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default" w:ascii="楷体_GB2312" w:eastAsia="楷体_GB2312"/>
          <w:bCs/>
          <w:sz w:val="48"/>
          <w:szCs w:val="48"/>
          <w:lang w:val="en-US" w:eastAsia="zh-CN"/>
        </w:rPr>
      </w:pPr>
      <w:r>
        <w:rPr>
          <w:rFonts w:hint="eastAsia" w:ascii="楷体_GB2312" w:eastAsia="楷体_GB2312"/>
          <w:bCs/>
          <w:sz w:val="48"/>
          <w:szCs w:val="48"/>
          <w:lang w:val="en-US" w:eastAsia="zh-CN"/>
        </w:rPr>
        <w:t>污染影响类</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送审</w:t>
      </w:r>
      <w:r>
        <w:rPr>
          <w:rFonts w:hint="eastAsia" w:ascii="楷体_GB2312" w:eastAsia="楷体_GB2312"/>
          <w:bCs/>
          <w:sz w:val="48"/>
          <w:szCs w:val="48"/>
        </w:rPr>
        <w:t>本）</w:t>
      </w:r>
    </w:p>
    <w:p>
      <w:pPr>
        <w:adjustRightInd w:val="0"/>
        <w:snapToGrid w:val="0"/>
        <w:spacing w:line="288" w:lineRule="auto"/>
        <w:jc w:val="center"/>
        <w:outlineLvl w:val="0"/>
        <w:rPr>
          <w:rFonts w:ascii="华文仿宋" w:hAnsi="华文仿宋" w:eastAsia="华文仿宋" w:cs="华文仿宋"/>
          <w:kern w:val="44"/>
          <w:sz w:val="44"/>
          <w:szCs w:val="44"/>
        </w:rPr>
      </w:pPr>
      <w:bookmarkStart w:id="4" w:name="_GoBack"/>
      <w:bookmarkEnd w:id="4"/>
    </w:p>
    <w:p>
      <w:pPr>
        <w:jc w:val="center"/>
        <w:rPr>
          <w:rFonts w:eastAsia="仿宋"/>
          <w:sz w:val="52"/>
          <w:szCs w:val="52"/>
        </w:rPr>
      </w:pPr>
    </w:p>
    <w:p>
      <w:pPr>
        <w:ind w:firstLine="1040"/>
        <w:rPr>
          <w:rFonts w:eastAsia="仿宋"/>
          <w:sz w:val="44"/>
          <w:szCs w:val="44"/>
        </w:rPr>
      </w:pPr>
    </w:p>
    <w:p>
      <w:pPr>
        <w:adjustRightInd w:val="0"/>
        <w:snapToGrid w:val="0"/>
        <w:spacing w:before="192" w:beforeLines="80"/>
        <w:jc w:val="left"/>
        <w:rPr>
          <w:rFonts w:hint="eastAsia"/>
          <w:b/>
          <w:bCs/>
          <w:sz w:val="24"/>
        </w:rPr>
      </w:pPr>
    </w:p>
    <w:p>
      <w:pPr>
        <w:adjustRightInd w:val="0"/>
        <w:snapToGrid w:val="0"/>
        <w:spacing w:before="192" w:beforeLines="80" w:line="480" w:lineRule="auto"/>
        <w:ind w:firstLine="421" w:firstLineChars="131"/>
        <w:jc w:val="left"/>
        <w:rPr>
          <w:b/>
          <w:bCs/>
          <w:sz w:val="32"/>
          <w:szCs w:val="32"/>
        </w:rPr>
      </w:pPr>
      <w:r>
        <w:rPr>
          <w:rFonts w:hint="eastAsia"/>
          <w:b/>
          <w:bCs/>
          <w:sz w:val="32"/>
          <w:szCs w:val="32"/>
        </w:rPr>
        <w:t>项目名称：</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lang w:eastAsia="zh-CN"/>
        </w:rPr>
        <w:t>复合塑料筐及废塑料造粒生产项目</w:t>
      </w:r>
      <w:r>
        <w:rPr>
          <w:b/>
          <w:bCs/>
          <w:sz w:val="32"/>
          <w:szCs w:val="32"/>
          <w:u w:val="single"/>
        </w:rPr>
        <w:t xml:space="preserve">  </w:t>
      </w:r>
      <w:r>
        <w:rPr>
          <w:rFonts w:hint="eastAsia"/>
          <w:b/>
          <w:bCs/>
          <w:sz w:val="32"/>
          <w:szCs w:val="32"/>
          <w:u w:val="single"/>
        </w:rPr>
        <w:t xml:space="preserve">    </w:t>
      </w:r>
      <w:r>
        <w:rPr>
          <w:b/>
          <w:bCs/>
          <w:sz w:val="32"/>
          <w:szCs w:val="32"/>
          <w:u w:val="single"/>
        </w:rPr>
        <w:t xml:space="preserve">    </w:t>
      </w:r>
      <w:r>
        <w:rPr>
          <w:b/>
          <w:bCs/>
          <w:sz w:val="32"/>
          <w:szCs w:val="32"/>
        </w:rPr>
        <w:t xml:space="preserve">                     </w:t>
      </w:r>
    </w:p>
    <w:p>
      <w:pPr>
        <w:adjustRightInd w:val="0"/>
        <w:snapToGrid w:val="0"/>
        <w:spacing w:before="192" w:beforeLines="80" w:line="480" w:lineRule="auto"/>
        <w:ind w:firstLine="421" w:firstLineChars="131"/>
        <w:jc w:val="left"/>
        <w:rPr>
          <w:b/>
          <w:bCs/>
          <w:sz w:val="32"/>
          <w:szCs w:val="32"/>
        </w:rPr>
      </w:pPr>
      <w:r>
        <w:rPr>
          <w:b/>
          <w:bCs/>
          <w:sz w:val="32"/>
          <w:szCs w:val="32"/>
        </w:rPr>
        <w:t>建设单位（盖章）：</w:t>
      </w:r>
      <w:r>
        <w:rPr>
          <w:b/>
          <w:bCs/>
          <w:sz w:val="32"/>
          <w:szCs w:val="32"/>
          <w:u w:val="single"/>
        </w:rPr>
        <w:t xml:space="preserve">   </w:t>
      </w:r>
      <w:r>
        <w:rPr>
          <w:rFonts w:hint="eastAsia"/>
          <w:b/>
          <w:bCs/>
          <w:sz w:val="32"/>
          <w:szCs w:val="32"/>
          <w:u w:val="single"/>
          <w:lang w:eastAsia="zh-CN"/>
        </w:rPr>
        <w:t>遂宁辉耀复合塑料有限公司</w:t>
      </w:r>
      <w:r>
        <w:rPr>
          <w:b/>
          <w:bCs/>
          <w:sz w:val="32"/>
          <w:szCs w:val="32"/>
          <w:u w:val="single"/>
        </w:rPr>
        <w:t xml:space="preserve">    </w:t>
      </w:r>
      <w:r>
        <w:rPr>
          <w:b/>
          <w:bCs/>
          <w:sz w:val="32"/>
          <w:szCs w:val="32"/>
        </w:rPr>
        <w:t xml:space="preserve">  </w:t>
      </w:r>
    </w:p>
    <w:p>
      <w:pPr>
        <w:adjustRightInd w:val="0"/>
        <w:snapToGrid w:val="0"/>
        <w:spacing w:before="192" w:beforeLines="80" w:line="480" w:lineRule="auto"/>
        <w:ind w:firstLine="421" w:firstLineChars="131"/>
        <w:jc w:val="left"/>
        <w:rPr>
          <w:b/>
          <w:bCs/>
          <w:sz w:val="32"/>
          <w:szCs w:val="32"/>
        </w:rPr>
      </w:pPr>
      <w:r>
        <w:rPr>
          <w:b/>
          <w:bCs/>
          <w:sz w:val="32"/>
          <w:szCs w:val="32"/>
        </w:rPr>
        <w:t>编制日期：</w:t>
      </w:r>
      <w:r>
        <w:rPr>
          <w:b/>
          <w:bCs/>
          <w:sz w:val="32"/>
          <w:szCs w:val="32"/>
          <w:u w:val="single"/>
        </w:rPr>
        <w:t xml:space="preserve">               202</w:t>
      </w:r>
      <w:r>
        <w:rPr>
          <w:rFonts w:hint="eastAsia"/>
          <w:b/>
          <w:bCs/>
          <w:sz w:val="32"/>
          <w:szCs w:val="32"/>
          <w:u w:val="single"/>
          <w:lang w:val="en-US" w:eastAsia="zh-CN"/>
        </w:rPr>
        <w:t>4</w:t>
      </w:r>
      <w:r>
        <w:rPr>
          <w:b/>
          <w:bCs/>
          <w:sz w:val="32"/>
          <w:szCs w:val="32"/>
          <w:u w:val="single"/>
        </w:rPr>
        <w:t>年</w:t>
      </w:r>
      <w:r>
        <w:rPr>
          <w:rFonts w:hint="eastAsia"/>
          <w:b/>
          <w:bCs/>
          <w:sz w:val="32"/>
          <w:szCs w:val="32"/>
          <w:u w:val="single"/>
          <w:lang w:val="en-US" w:eastAsia="zh-CN"/>
        </w:rPr>
        <w:t>6</w:t>
      </w:r>
      <w:r>
        <w:rPr>
          <w:b/>
          <w:bCs/>
          <w:sz w:val="32"/>
          <w:szCs w:val="32"/>
          <w:u w:val="single"/>
        </w:rPr>
        <w:t xml:space="preserve">月                </w:t>
      </w:r>
      <w:r>
        <w:rPr>
          <w:b/>
          <w:bCs/>
          <w:sz w:val="32"/>
          <w:szCs w:val="32"/>
        </w:rPr>
        <w:t xml:space="preserve">        </w:t>
      </w:r>
    </w:p>
    <w:p>
      <w:pPr>
        <w:adjustRightInd w:val="0"/>
        <w:snapToGrid w:val="0"/>
        <w:spacing w:line="288" w:lineRule="auto"/>
        <w:ind w:firstLine="1040"/>
        <w:rPr>
          <w:rFonts w:eastAsia="仿宋_GB2312"/>
          <w:sz w:val="32"/>
          <w:szCs w:val="32"/>
          <w:u w:val="single"/>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1"/>
        <w:spacing w:before="0" w:beforeAutospacing="0" w:after="0" w:afterAutospacing="0"/>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362"/>
        <w:gridCol w:w="26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7106" w:type="dxa"/>
            <w:gridSpan w:val="3"/>
            <w:noWrap w:val="0"/>
            <w:vAlign w:val="center"/>
          </w:tcPr>
          <w:p>
            <w:pPr>
              <w:adjustRightInd w:val="0"/>
              <w:snapToGrid w:val="0"/>
              <w:jc w:val="center"/>
              <w:rPr>
                <w:rFonts w:hint="default" w:ascii="Times New Roman" w:hAnsi="Times New Roman" w:eastAsia="宋体" w:cs="Times New Roman"/>
                <w:szCs w:val="21"/>
                <w:lang w:eastAsia="zh-CN"/>
              </w:rPr>
            </w:pPr>
            <w:r>
              <w:rPr>
                <w:rFonts w:hint="eastAsia" w:cs="Times New Roman"/>
                <w:lang w:eastAsia="zh-CN"/>
              </w:rPr>
              <w:t>复合塑料筐及废塑料造粒生产项目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7106" w:type="dxa"/>
            <w:gridSpan w:val="3"/>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szCs w:val="21"/>
                <w:lang w:eastAsia="zh-CN"/>
              </w:rPr>
              <w:t>2405-510921-99-01-522135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2114" w:type="dxa"/>
            <w:noWrap w:val="0"/>
            <w:vAlign w:val="center"/>
          </w:tcPr>
          <w:p>
            <w:pPr>
              <w:adjustRightInd w:val="0"/>
              <w:snapToGrid w:val="0"/>
              <w:jc w:val="center"/>
              <w:rPr>
                <w:rFonts w:hint="eastAsia" w:ascii="Times New Roman" w:hAnsi="Times New Roman" w:eastAsia="宋体" w:cs="Times New Roman"/>
                <w:szCs w:val="21"/>
                <w:lang w:val="en-US" w:eastAsia="zh-CN"/>
              </w:rPr>
            </w:pPr>
          </w:p>
        </w:tc>
        <w:tc>
          <w:tcPr>
            <w:tcW w:w="2362"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2630" w:type="dxa"/>
            <w:noWrap w:val="0"/>
            <w:vAlign w:val="center"/>
          </w:tcPr>
          <w:p>
            <w:pPr>
              <w:adjustRightInd w:val="0"/>
              <w:snapToGrid w:val="0"/>
              <w:jc w:val="center"/>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7106" w:type="dxa"/>
            <w:gridSpan w:val="3"/>
            <w:noWrap w:val="0"/>
            <w:vAlign w:val="center"/>
          </w:tcPr>
          <w:p>
            <w:pPr>
              <w:adjustRightInd w:val="0"/>
              <w:snapToGrid w:val="0"/>
              <w:jc w:val="center"/>
              <w:rPr>
                <w:rFonts w:hint="eastAsia" w:ascii="Times New Roman" w:hAnsi="Times New Roman" w:eastAsia="宋体" w:cs="Times New Roman"/>
                <w:szCs w:val="21"/>
                <w:lang w:eastAsia="zh-CN"/>
              </w:rPr>
            </w:pPr>
            <w:r>
              <w:rPr>
                <w:rFonts w:hint="eastAsia" w:cs="Times New Roman"/>
                <w:lang w:eastAsia="zh-CN"/>
              </w:rPr>
              <w:t>四川省遂宁市蓬溪县上游 工业园区德才路 6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7106" w:type="dxa"/>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u w:val="single"/>
              </w:rPr>
              <w:t xml:space="preserve"> 105 </w:t>
            </w:r>
            <w:r>
              <w:rPr>
                <w:rFonts w:hint="default" w:ascii="Times New Roman" w:hAnsi="Times New Roman" w:cs="Times New Roman"/>
                <w:szCs w:val="21"/>
              </w:rPr>
              <w:t>度</w:t>
            </w:r>
            <w:r>
              <w:rPr>
                <w:rFonts w:hint="default" w:ascii="Times New Roman" w:hAnsi="Times New Roman" w:cs="Times New Roman"/>
                <w:szCs w:val="21"/>
                <w:u w:val="single"/>
              </w:rPr>
              <w:t xml:space="preserve"> 4</w:t>
            </w:r>
            <w:r>
              <w:rPr>
                <w:rFonts w:hint="default" w:ascii="Times New Roman" w:hAnsi="Times New Roman" w:cs="Times New Roman"/>
                <w:szCs w:val="21"/>
                <w:u w:val="single"/>
                <w:lang w:val="en-US" w:eastAsia="zh-CN"/>
              </w:rPr>
              <w:t>1</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2.929</w:t>
            </w:r>
            <w:r>
              <w:rPr>
                <w:rFonts w:hint="default" w:ascii="Times New Roman" w:hAnsi="Times New Roman" w:cs="Times New Roman"/>
                <w:szCs w:val="21"/>
              </w:rPr>
              <w:t>秒，</w:t>
            </w:r>
            <w:r>
              <w:rPr>
                <w:rFonts w:hint="default" w:ascii="Times New Roman" w:hAnsi="Times New Roman" w:cs="Times New Roman"/>
                <w:szCs w:val="21"/>
                <w:u w:val="single"/>
              </w:rPr>
              <w:t xml:space="preserve"> 30 </w:t>
            </w:r>
            <w:r>
              <w:rPr>
                <w:rFonts w:hint="default" w:ascii="Times New Roman" w:hAnsi="Times New Roman" w:cs="Times New Roman"/>
                <w:szCs w:val="21"/>
              </w:rPr>
              <w:t>度</w:t>
            </w:r>
            <w:r>
              <w:rPr>
                <w:rFonts w:hint="default" w:ascii="Times New Roman" w:hAnsi="Times New Roman" w:cs="Times New Roman"/>
                <w:szCs w:val="21"/>
                <w:u w:val="single"/>
              </w:rPr>
              <w:t xml:space="preserve"> 4</w:t>
            </w:r>
            <w:r>
              <w:rPr>
                <w:rFonts w:hint="default" w:ascii="Times New Roman" w:hAnsi="Times New Roman" w:cs="Times New Roman"/>
                <w:szCs w:val="21"/>
                <w:u w:val="single"/>
                <w:lang w:val="en-US" w:eastAsia="zh-CN"/>
              </w:rPr>
              <w:t>4</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20.731</w:t>
            </w:r>
            <w:r>
              <w:rPr>
                <w:rFonts w:hint="default" w:ascii="Times New Roman" w:hAnsi="Times New Roman" w:cs="Times New Roman"/>
                <w:szCs w:val="21"/>
                <w:u w:val="single"/>
              </w:rPr>
              <w:t xml:space="preserve"> </w:t>
            </w:r>
            <w:r>
              <w:rPr>
                <w:rFonts w:hint="default" w:ascii="Times New Roman" w:hAnsi="Times New Roman" w:cs="Times New Roman"/>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国民经济</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p>
        </w:tc>
        <w:tc>
          <w:tcPr>
            <w:tcW w:w="2114" w:type="dxa"/>
            <w:noWrap w:val="0"/>
            <w:vAlign w:val="center"/>
          </w:tcPr>
          <w:p>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rPr>
              <w:t>C</w:t>
            </w:r>
            <w:r>
              <w:rPr>
                <w:rFonts w:hint="eastAsia" w:ascii="Times New Roman" w:hAnsi="Times New Roman" w:eastAsia="宋体" w:cs="Times New Roman"/>
                <w:lang w:val="en-US" w:eastAsia="zh-CN"/>
              </w:rPr>
              <w:t>29</w:t>
            </w:r>
            <w:r>
              <w:rPr>
                <w:rFonts w:hint="eastAsia" w:cs="Times New Roman"/>
                <w:lang w:val="en-US" w:eastAsia="zh-CN"/>
              </w:rPr>
              <w:t>26</w:t>
            </w:r>
            <w:r>
              <w:rPr>
                <w:rFonts w:hint="eastAsia" w:ascii="Times New Roman" w:hAnsi="Times New Roman" w:eastAsia="宋体" w:cs="Times New Roman"/>
                <w:lang w:val="en-US" w:eastAsia="zh-CN"/>
              </w:rPr>
              <w:t>塑料</w:t>
            </w:r>
            <w:r>
              <w:rPr>
                <w:rFonts w:hint="eastAsia" w:cs="Times New Roman"/>
                <w:lang w:val="en-US" w:eastAsia="zh-CN"/>
              </w:rPr>
              <w:t>包装箱及容器制造</w:t>
            </w:r>
          </w:p>
          <w:p>
            <w:pPr>
              <w:adjustRightInd w:val="0"/>
              <w:snapToGrid w:val="0"/>
              <w:jc w:val="center"/>
              <w:rPr>
                <w:rFonts w:hint="default" w:ascii="Times New Roman" w:hAnsi="Times New Roman" w:cs="Times New Roman"/>
                <w:lang w:val="en-US" w:eastAsia="zh-CN"/>
              </w:rPr>
            </w:pPr>
            <w:r>
              <w:rPr>
                <w:rFonts w:hint="default" w:ascii="Times New Roman" w:hAnsi="Times New Roman" w:cs="Times New Roman"/>
                <w:color w:val="auto"/>
                <w:szCs w:val="21"/>
                <w:lang w:val="en-US" w:eastAsia="zh-CN"/>
              </w:rPr>
              <w:t>C4220非金属废料和碎屑加工处理</w:t>
            </w:r>
          </w:p>
        </w:tc>
        <w:tc>
          <w:tcPr>
            <w:tcW w:w="2362" w:type="dxa"/>
            <w:noWrap w:val="0"/>
            <w:vAlign w:val="center"/>
          </w:tcPr>
          <w:p>
            <w:pPr>
              <w:adjustRightInd w:val="0"/>
              <w:snapToGrid w:val="0"/>
              <w:jc w:val="center"/>
              <w:rPr>
                <w:rFonts w:hint="default" w:ascii="Times New Roman" w:hAnsi="Times New Roman" w:cs="Times New Roman"/>
                <w:szCs w:val="21"/>
              </w:rPr>
            </w:pPr>
            <w:bookmarkStart w:id="1" w:name="_Hlk49843745"/>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1"/>
          </w:p>
        </w:tc>
        <w:tc>
          <w:tcPr>
            <w:tcW w:w="2630" w:type="dxa"/>
            <w:noWrap w:val="0"/>
            <w:vAlign w:val="center"/>
          </w:tcPr>
          <w:p>
            <w:pPr>
              <w:adjustRightInd w:val="0"/>
              <w:snapToGrid w:val="0"/>
              <w:rPr>
                <w:rFonts w:hint="eastAsia" w:ascii="Times New Roman" w:hAnsi="Times New Roman" w:cs="Times New Roman"/>
                <w:lang w:val="en-US" w:eastAsia="zh-CN"/>
              </w:rPr>
            </w:pPr>
            <w:r>
              <w:rPr>
                <w:rFonts w:hint="eastAsia" w:ascii="Times New Roman" w:hAnsi="Times New Roman" w:cs="Times New Roman"/>
                <w:lang w:val="en-US" w:eastAsia="zh-CN"/>
              </w:rPr>
              <w:t>二十六</w:t>
            </w:r>
            <w:r>
              <w:rPr>
                <w:rFonts w:hint="default" w:ascii="Times New Roman" w:hAnsi="Times New Roman" w:cs="Times New Roman"/>
                <w:lang w:val="en-US" w:eastAsia="zh-CN"/>
              </w:rPr>
              <w:t>、</w:t>
            </w:r>
            <w:r>
              <w:rPr>
                <w:rFonts w:hint="eastAsia" w:ascii="Times New Roman" w:hAnsi="Times New Roman" w:cs="Times New Roman"/>
                <w:lang w:val="en-US" w:eastAsia="zh-CN"/>
              </w:rPr>
              <w:t>橡胶和塑料制品业29 塑料制品业292</w:t>
            </w:r>
          </w:p>
          <w:p>
            <w:pPr>
              <w:adjustRightInd w:val="0"/>
              <w:snapToGrid w:val="0"/>
              <w:rPr>
                <w:rFonts w:hint="default" w:ascii="Times New Roman" w:hAnsi="Times New Roman" w:cs="Times New Roman"/>
                <w:lang w:val="en-US" w:eastAsia="zh-CN"/>
              </w:rPr>
            </w:pPr>
            <w:r>
              <w:rPr>
                <w:rFonts w:hint="eastAsia" w:ascii="Times New Roman" w:hAnsi="Times New Roman" w:cs="Times New Roman"/>
                <w:color w:val="auto"/>
                <w:lang w:eastAsia="zh-CN"/>
              </w:rPr>
              <w:t>三十九</w:t>
            </w:r>
            <w:r>
              <w:rPr>
                <w:rFonts w:hint="default" w:ascii="Times New Roman" w:hAnsi="Times New Roman" w:cs="Times New Roman"/>
                <w:color w:val="auto"/>
              </w:rPr>
              <w:t>、</w:t>
            </w:r>
            <w:r>
              <w:rPr>
                <w:rFonts w:hint="default" w:ascii="Times New Roman" w:hAnsi="Times New Roman" w:cs="Times New Roman"/>
                <w:color w:val="auto"/>
                <w:szCs w:val="21"/>
                <w:lang w:val="en-US" w:eastAsia="zh-CN"/>
              </w:rPr>
              <w:t>废弃资源综合利用业85.金属废料和碎屑加工处理；非金属废料和碎屑加工处理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2114" w:type="dxa"/>
            <w:noWrap w:val="0"/>
            <w:vAlign w:val="center"/>
          </w:tcPr>
          <w:p>
            <w:pPr>
              <w:jc w:val="left"/>
              <w:rPr>
                <w:rFonts w:hint="eastAsia" w:ascii="Times New Roman" w:hAnsi="Times New Roman" w:eastAsia="宋体" w:cs="Times New Roman"/>
                <w:szCs w:val="21"/>
                <w:lang w:eastAsia="zh-CN"/>
              </w:rPr>
            </w:pPr>
            <w:r>
              <w:rPr>
                <w:rFonts w:hint="default" w:ascii="Times New Roman" w:hAnsi="Times New Roman" w:cs="Times New Roman"/>
                <w:szCs w:val="21"/>
              </w:rPr>
              <w:sym w:font="Wingdings 2" w:char="0052"/>
            </w:r>
            <w:r>
              <w:rPr>
                <w:rFonts w:hint="default" w:ascii="Times New Roman" w:hAnsi="Times New Roman" w:cs="Times New Roman"/>
                <w:szCs w:val="21"/>
              </w:rPr>
              <w:t>新建</w:t>
            </w:r>
            <w:r>
              <w:rPr>
                <w:rFonts w:hint="eastAsia" w:cs="Times New Roman"/>
                <w:szCs w:val="21"/>
                <w:lang w:val="en-US" w:eastAsia="zh-CN"/>
              </w:rPr>
              <w:t xml:space="preserve"> </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改建</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扩建</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技术改造</w:t>
            </w:r>
          </w:p>
        </w:tc>
        <w:tc>
          <w:tcPr>
            <w:tcW w:w="2362"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0"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首次申报项目</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不予批准后再次申报项目</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超五年重新审核项目</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2114"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rPr>
              <w:t>蓬溪县行政审批局</w:t>
            </w:r>
          </w:p>
        </w:tc>
        <w:tc>
          <w:tcPr>
            <w:tcW w:w="2362"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0" w:type="dxa"/>
            <w:noWrap w:val="0"/>
            <w:vAlign w:val="center"/>
          </w:tcPr>
          <w:p>
            <w:pPr>
              <w:adjustRightInd w:val="0"/>
              <w:snapToGrid w:val="0"/>
              <w:jc w:val="center"/>
              <w:rPr>
                <w:rFonts w:hint="default" w:ascii="Times New Roman" w:hAnsi="Times New Roman" w:eastAsia="宋体" w:cs="Times New Roman"/>
                <w:szCs w:val="21"/>
                <w:lang w:eastAsia="zh-CN"/>
              </w:rPr>
            </w:pPr>
            <w:r>
              <w:rPr>
                <w:rFonts w:hint="eastAsia" w:cs="Times New Roman"/>
                <w:kern w:val="0"/>
                <w:lang w:eastAsia="zh-CN"/>
              </w:rPr>
              <w:t>川投资备【2405-510921-99-01-522135】FGQB-0110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2114"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800</w:t>
            </w:r>
          </w:p>
        </w:tc>
        <w:tc>
          <w:tcPr>
            <w:tcW w:w="2362"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2114" w:type="dxa"/>
            <w:noWrap w:val="0"/>
            <w:vAlign w:val="center"/>
          </w:tcPr>
          <w:p>
            <w:pPr>
              <w:adjustRightInd w:val="0"/>
              <w:snapToGrid w:val="0"/>
              <w:jc w:val="center"/>
              <w:rPr>
                <w:rFonts w:hint="default" w:ascii="Times New Roman" w:hAnsi="Times New Roman" w:eastAsia="宋体" w:cs="Times New Roman"/>
                <w:szCs w:val="21"/>
                <w:lang w:eastAsia="zh-CN"/>
              </w:rPr>
            </w:pPr>
            <w:r>
              <w:rPr>
                <w:rFonts w:hint="eastAsia" w:cs="Times New Roman"/>
                <w:szCs w:val="21"/>
                <w:lang w:val="en-US" w:eastAsia="zh-CN"/>
              </w:rPr>
              <w:t xml:space="preserve"> </w:t>
            </w:r>
          </w:p>
        </w:tc>
        <w:tc>
          <w:tcPr>
            <w:tcW w:w="2362"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0" w:type="dxa"/>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2114" w:type="dxa"/>
            <w:noWrap w:val="0"/>
            <w:vAlign w:val="center"/>
          </w:tcPr>
          <w:p>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否</w:t>
            </w:r>
          </w:p>
          <w:p>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是：</w:t>
            </w:r>
          </w:p>
        </w:tc>
        <w:tc>
          <w:tcPr>
            <w:tcW w:w="2362"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0" w:type="dxa"/>
            <w:noWrap w:val="0"/>
            <w:vAlign w:val="center"/>
          </w:tcPr>
          <w:p>
            <w:pPr>
              <w:adjustRightInd w:val="0"/>
              <w:snapToGrid w:val="0"/>
              <w:jc w:val="center"/>
              <w:rPr>
                <w:rFonts w:hint="default" w:ascii="Times New Roman" w:hAnsi="Times New Roman" w:cs="Times New Roman"/>
                <w:szCs w:val="21"/>
              </w:rPr>
            </w:pPr>
            <w:r>
              <w:rPr>
                <w:rFonts w:hint="eastAsia" w:cs="Times New Roman"/>
                <w:szCs w:val="21"/>
                <w:lang w:val="en-US" w:eastAsia="zh-CN"/>
              </w:rPr>
              <w:t>5000</w:t>
            </w:r>
            <w:r>
              <w:rPr>
                <w:rFonts w:hint="default" w:ascii="Times New Roman" w:hAnsi="Times New Roman" w:cs="Times New Roman"/>
                <w:szCs w:val="21"/>
              </w:rPr>
              <w:t xml:space="preserve">平方米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5" w:type="dxa"/>
            <w:noWrap w:val="0"/>
            <w:vAlign w:val="center"/>
          </w:tcPr>
          <w:p>
            <w:pPr>
              <w:pStyle w:val="66"/>
              <w:spacing w:line="240" w:lineRule="auto"/>
              <w:ind w:firstLine="0" w:firstLineChars="0"/>
              <w:jc w:val="center"/>
              <w:rPr>
                <w:rFonts w:hint="default" w:ascii="Times New Roman" w:hAnsi="Times New Roman" w:cs="Times New Roman"/>
              </w:rPr>
            </w:pPr>
            <w:r>
              <w:rPr>
                <w:rFonts w:hint="default" w:ascii="Times New Roman" w:hAnsi="Times New Roman" w:cs="Times New Roman"/>
              </w:rPr>
              <w:t>专项评价设置情况</w:t>
            </w:r>
          </w:p>
        </w:tc>
        <w:tc>
          <w:tcPr>
            <w:tcW w:w="7106" w:type="dxa"/>
            <w:gridSpan w:val="3"/>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firstLine="0" w:firstLineChars="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根据指南，本项目专项评价设置情况如下：</w:t>
            </w:r>
          </w:p>
          <w:tbl>
            <w:tblPr>
              <w:tblStyle w:val="25"/>
              <w:tblW w:w="68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631"/>
              <w:gridCol w:w="1815"/>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专项评价类别</w:t>
                  </w:r>
                </w:p>
              </w:tc>
              <w:tc>
                <w:tcPr>
                  <w:tcW w:w="263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设置原则</w:t>
                  </w:r>
                </w:p>
              </w:tc>
              <w:tc>
                <w:tcPr>
                  <w:tcW w:w="1815"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本项目情况</w:t>
                  </w:r>
                </w:p>
              </w:tc>
              <w:tc>
                <w:tcPr>
                  <w:tcW w:w="1276"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大气</w:t>
                  </w:r>
                </w:p>
              </w:tc>
              <w:tc>
                <w:tcPr>
                  <w:tcW w:w="2631" w:type="dxa"/>
                  <w:tcBorders>
                    <w:tl2br w:val="nil"/>
                    <w:tr2bl w:val="nil"/>
                  </w:tcBorders>
                  <w:noWrap w:val="0"/>
                  <w:vAlign w:val="center"/>
                </w:tcPr>
                <w:p>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排放废气含有毒有害污染物 、二噁英、苯并[</w:t>
                  </w:r>
                  <w:r>
                    <w:rPr>
                      <w:rFonts w:hint="eastAsia" w:ascii="宋体" w:hAnsi="宋体" w:eastAsia="宋体" w:cs="宋体"/>
                      <w:i/>
                      <w:iCs/>
                      <w:color w:val="auto"/>
                      <w:kern w:val="0"/>
                      <w:sz w:val="21"/>
                      <w:szCs w:val="21"/>
                      <w:lang w:val="en-US" w:eastAsia="zh-CN" w:bidi="ar"/>
                    </w:rPr>
                    <w:t>a</w:t>
                  </w:r>
                  <w:r>
                    <w:rPr>
                      <w:rFonts w:hint="eastAsia" w:ascii="宋体" w:hAnsi="宋体" w:eastAsia="宋体" w:cs="宋体"/>
                      <w:color w:val="auto"/>
                      <w:kern w:val="0"/>
                      <w:sz w:val="21"/>
                      <w:szCs w:val="21"/>
                      <w:lang w:val="en-US" w:eastAsia="zh-CN" w:bidi="ar"/>
                    </w:rPr>
                    <w:t>]芘、氰化物、氯气且厂界外500米范围内有环境空气保护目标的建设项目</w:t>
                  </w:r>
                </w:p>
              </w:tc>
              <w:tc>
                <w:tcPr>
                  <w:tcW w:w="1815" w:type="dxa"/>
                  <w:tcBorders>
                    <w:tl2br w:val="nil"/>
                    <w:tr2bl w:val="nil"/>
                  </w:tcBorders>
                  <w:noWrap w:val="0"/>
                  <w:vAlign w:val="center"/>
                </w:tcPr>
                <w:p>
                  <w:pPr>
                    <w:pStyle w:val="17"/>
                    <w:pBdr>
                      <w:bottom w:val="none" w:color="auto" w:sz="0" w:space="0"/>
                    </w:pBdr>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rPr>
                    <w:t>本项目无有毒有害污染物、二噁英、苯并芘、氰化物、氯气排放</w:t>
                  </w:r>
                  <w:r>
                    <w:rPr>
                      <w:rFonts w:hint="eastAsia" w:ascii="宋体" w:hAnsi="宋体" w:eastAsia="宋体" w:cs="宋体"/>
                      <w:color w:val="auto"/>
                      <w:kern w:val="0"/>
                      <w:sz w:val="21"/>
                      <w:szCs w:val="21"/>
                      <w:lang w:eastAsia="zh-CN"/>
                    </w:rPr>
                    <w:t>。</w:t>
                  </w:r>
                </w:p>
              </w:tc>
              <w:tc>
                <w:tcPr>
                  <w:tcW w:w="1276"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地表水</w:t>
                  </w:r>
                </w:p>
              </w:tc>
              <w:tc>
                <w:tcPr>
                  <w:tcW w:w="2631" w:type="dxa"/>
                  <w:tcBorders>
                    <w:tl2br w:val="nil"/>
                    <w:tr2bl w:val="nil"/>
                  </w:tcBorders>
                  <w:noWrap w:val="0"/>
                  <w:vAlign w:val="center"/>
                </w:tcPr>
                <w:p>
                  <w:pPr>
                    <w:keepNext w:val="0"/>
                    <w:keepLines w:val="0"/>
                    <w:widowControl/>
                    <w:suppressLineNumbers w:val="0"/>
                    <w:jc w:val="both"/>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新增工业废水直排建设项目（槽罐车外送污水处理厂的除外）； </w:t>
                  </w:r>
                </w:p>
                <w:p>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新增废水直排的污水集中处理厂</w:t>
                  </w:r>
                </w:p>
              </w:tc>
              <w:tc>
                <w:tcPr>
                  <w:tcW w:w="1815" w:type="dxa"/>
                  <w:tcBorders>
                    <w:tl2br w:val="nil"/>
                    <w:tr2bl w:val="nil"/>
                  </w:tcBorders>
                  <w:noWrap w:val="0"/>
                  <w:vAlign w:val="center"/>
                </w:tcPr>
                <w:p>
                  <w:pPr>
                    <w:pStyle w:val="17"/>
                    <w:pBdr>
                      <w:bottom w:val="none" w:color="auto" w:sz="0" w:space="0"/>
                    </w:pBdr>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rPr>
                    <w:t>本项目无生产废水</w:t>
                  </w:r>
                  <w:r>
                    <w:rPr>
                      <w:rFonts w:hint="eastAsia" w:ascii="宋体" w:hAnsi="宋体" w:cs="宋体"/>
                      <w:color w:val="auto"/>
                      <w:kern w:val="0"/>
                      <w:sz w:val="21"/>
                      <w:szCs w:val="21"/>
                      <w:lang w:val="en-US" w:eastAsia="zh-CN"/>
                    </w:rPr>
                    <w:t>直接</w:t>
                  </w:r>
                  <w:r>
                    <w:rPr>
                      <w:rFonts w:hint="eastAsia" w:ascii="宋体" w:hAnsi="宋体" w:eastAsia="宋体" w:cs="宋体"/>
                      <w:color w:val="auto"/>
                      <w:kern w:val="0"/>
                      <w:sz w:val="21"/>
                      <w:szCs w:val="21"/>
                    </w:rPr>
                    <w:t>排放</w:t>
                  </w:r>
                  <w:r>
                    <w:rPr>
                      <w:rFonts w:hint="eastAsia" w:ascii="宋体" w:hAnsi="宋体" w:eastAsia="宋体" w:cs="宋体"/>
                      <w:color w:val="auto"/>
                      <w:kern w:val="0"/>
                      <w:sz w:val="21"/>
                      <w:szCs w:val="21"/>
                      <w:lang w:eastAsia="zh-CN"/>
                    </w:rPr>
                    <w:t>。</w:t>
                  </w:r>
                </w:p>
              </w:tc>
              <w:tc>
                <w:tcPr>
                  <w:tcW w:w="1276"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08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环境风险</w:t>
                  </w:r>
                </w:p>
              </w:tc>
              <w:tc>
                <w:tcPr>
                  <w:tcW w:w="2631" w:type="dxa"/>
                  <w:tcBorders>
                    <w:tl2br w:val="nil"/>
                    <w:tr2bl w:val="nil"/>
                  </w:tcBorders>
                  <w:noWrap w:val="0"/>
                  <w:vAlign w:val="center"/>
                </w:tcPr>
                <w:p>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有毒有害和易燃易爆危险物质存储量超过临界量的建设项目</w:t>
                  </w:r>
                </w:p>
              </w:tc>
              <w:tc>
                <w:tcPr>
                  <w:tcW w:w="1815" w:type="dxa"/>
                  <w:tcBorders>
                    <w:tl2br w:val="nil"/>
                    <w:tr2bl w:val="nil"/>
                  </w:tcBorders>
                  <w:noWrap w:val="0"/>
                  <w:vAlign w:val="center"/>
                </w:tcPr>
                <w:p>
                  <w:pPr>
                    <w:pStyle w:val="17"/>
                    <w:pBdr>
                      <w:bottom w:val="none" w:color="auto" w:sz="0" w:space="0"/>
                    </w:pBdr>
                    <w:jc w:val="both"/>
                    <w:rPr>
                      <w:rFonts w:hint="eastAsia" w:ascii="宋体" w:hAnsi="宋体" w:eastAsia="宋体" w:cs="宋体"/>
                      <w:color w:val="auto"/>
                      <w:sz w:val="21"/>
                      <w:szCs w:val="21"/>
                      <w:vertAlign w:val="baseline"/>
                      <w:lang w:eastAsia="zh-CN"/>
                    </w:rPr>
                  </w:pPr>
                  <w:r>
                    <w:rPr>
                      <w:rFonts w:hint="eastAsia" w:ascii="宋体" w:hAnsi="宋体" w:eastAsia="宋体" w:cs="宋体"/>
                      <w:color w:val="auto"/>
                      <w:kern w:val="0"/>
                      <w:sz w:val="21"/>
                      <w:szCs w:val="21"/>
                    </w:rPr>
                    <w:t>本项目无有毒有害及易燃易爆物质超过临界量</w:t>
                  </w:r>
                  <w:r>
                    <w:rPr>
                      <w:rFonts w:hint="eastAsia" w:ascii="宋体" w:hAnsi="宋体" w:eastAsia="宋体" w:cs="宋体"/>
                      <w:color w:val="auto"/>
                      <w:kern w:val="0"/>
                      <w:sz w:val="21"/>
                      <w:szCs w:val="21"/>
                      <w:lang w:eastAsia="zh-CN"/>
                    </w:rPr>
                    <w:t>。</w:t>
                  </w:r>
                </w:p>
              </w:tc>
              <w:tc>
                <w:tcPr>
                  <w:tcW w:w="1276"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生态</w:t>
                  </w:r>
                </w:p>
              </w:tc>
              <w:tc>
                <w:tcPr>
                  <w:tcW w:w="2631" w:type="dxa"/>
                  <w:tcBorders>
                    <w:tl2br w:val="nil"/>
                    <w:tr2bl w:val="nil"/>
                  </w:tcBorders>
                  <w:noWrap w:val="0"/>
                  <w:vAlign w:val="center"/>
                </w:tcPr>
                <w:p>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取水口下游500 米范围内有重要水生生物的自然产卵场、索饵场、越冬场和洄游通道的新增河道取水的污染类建设项目</w:t>
                  </w:r>
                </w:p>
              </w:tc>
              <w:tc>
                <w:tcPr>
                  <w:tcW w:w="1815" w:type="dxa"/>
                  <w:tcBorders>
                    <w:tl2br w:val="nil"/>
                    <w:tr2bl w:val="nil"/>
                  </w:tcBorders>
                  <w:noWrap w:val="0"/>
                  <w:vAlign w:val="center"/>
                </w:tcPr>
                <w:p>
                  <w:pPr>
                    <w:pStyle w:val="17"/>
                    <w:pBdr>
                      <w:bottom w:val="none" w:color="auto" w:sz="0" w:space="0"/>
                    </w:pBd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项目位于园区内，不涉及生态专章。</w:t>
                  </w:r>
                </w:p>
              </w:tc>
              <w:tc>
                <w:tcPr>
                  <w:tcW w:w="1276"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海洋</w:t>
                  </w:r>
                </w:p>
              </w:tc>
              <w:tc>
                <w:tcPr>
                  <w:tcW w:w="2631" w:type="dxa"/>
                  <w:tcBorders>
                    <w:tl2br w:val="nil"/>
                    <w:tr2bl w:val="nil"/>
                  </w:tcBorders>
                  <w:noWrap w:val="0"/>
                  <w:vAlign w:val="center"/>
                </w:tcPr>
                <w:p>
                  <w:pPr>
                    <w:keepNext w:val="0"/>
                    <w:keepLines w:val="0"/>
                    <w:widowControl/>
                    <w:suppressLineNumbers w:val="0"/>
                    <w:jc w:val="both"/>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直接向海排放污染物的海洋工程建设项目</w:t>
                  </w:r>
                </w:p>
              </w:tc>
              <w:tc>
                <w:tcPr>
                  <w:tcW w:w="1815" w:type="dxa"/>
                  <w:tcBorders>
                    <w:tl2br w:val="nil"/>
                    <w:tr2bl w:val="nil"/>
                  </w:tcBorders>
                  <w:noWrap w:val="0"/>
                  <w:vAlign w:val="center"/>
                </w:tcPr>
                <w:p>
                  <w:pPr>
                    <w:pStyle w:val="17"/>
                    <w:pBdr>
                      <w:bottom w:val="none" w:color="auto" w:sz="0" w:space="0"/>
                    </w:pBd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项目不涉及海洋。</w:t>
                  </w:r>
                </w:p>
              </w:tc>
              <w:tc>
                <w:tcPr>
                  <w:tcW w:w="1276" w:type="dxa"/>
                  <w:tcBorders>
                    <w:tl2br w:val="nil"/>
                    <w:tr2bl w:val="nil"/>
                  </w:tcBorders>
                  <w:noWrap w:val="0"/>
                  <w:vAlign w:val="center"/>
                </w:tcPr>
                <w:p>
                  <w:pPr>
                    <w:pStyle w:val="17"/>
                    <w:pBdr>
                      <w:bottom w:val="none" w:color="auto" w:sz="0" w:space="0"/>
                    </w:pBdr>
                    <w:jc w:val="center"/>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val="en-US" w:eastAsia="zh-CN"/>
                    </w:rPr>
                    <w:t>否</w:t>
                  </w:r>
                </w:p>
              </w:tc>
            </w:tr>
          </w:tbl>
          <w:p>
            <w:pPr>
              <w:autoSpaceDE w:val="0"/>
              <w:autoSpaceDN w:val="0"/>
              <w:adjustRightInd w:val="0"/>
              <w:snapToGrid w:val="0"/>
              <w:jc w:val="both"/>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pPr>
              <w:pStyle w:val="66"/>
              <w:spacing w:line="240" w:lineRule="auto"/>
              <w:ind w:firstLine="0" w:firstLineChars="0"/>
              <w:jc w:val="center"/>
              <w:rPr>
                <w:rFonts w:hint="default" w:ascii="Times New Roman" w:hAnsi="Times New Roman" w:cs="Times New Roman"/>
              </w:rPr>
            </w:pPr>
            <w:r>
              <w:rPr>
                <w:rFonts w:hint="default" w:ascii="Times New Roman" w:hAnsi="Times New Roman" w:cs="Times New Roman"/>
              </w:rPr>
              <w:t>规划情况</w:t>
            </w:r>
          </w:p>
        </w:tc>
        <w:tc>
          <w:tcPr>
            <w:tcW w:w="7106" w:type="dxa"/>
            <w:gridSpan w:val="3"/>
            <w:noWrap w:val="0"/>
            <w:vAlign w:val="center"/>
          </w:tcPr>
          <w:p>
            <w:pPr>
              <w:pStyle w:val="66"/>
              <w:bidi w:val="0"/>
              <w:spacing w:line="360" w:lineRule="auto"/>
              <w:rPr>
                <w:rFonts w:hint="eastAsia" w:ascii="宋体" w:hAnsi="宋体" w:eastAsia="宋体" w:cs="宋体"/>
                <w:sz w:val="24"/>
                <w:szCs w:val="24"/>
                <w:lang w:eastAsia="zh-CN"/>
              </w:rPr>
            </w:pPr>
            <w:r>
              <w:rPr>
                <w:rFonts w:hint="default" w:ascii="Times New Roman" w:hAnsi="Times New Roman" w:cs="Times New Roman"/>
                <w:color w:val="FF0000"/>
              </w:rPr>
              <w:t xml:space="preserve"> </w:t>
            </w:r>
            <w:r>
              <w:rPr>
                <w:rFonts w:hint="default" w:ascii="Times New Roman" w:hAnsi="Times New Roman" w:cs="Times New Roman"/>
                <w:color w:val="auto"/>
                <w:kern w:val="0"/>
                <w:szCs w:val="24"/>
              </w:rPr>
              <w:t xml:space="preserve"> </w:t>
            </w:r>
          </w:p>
          <w:p>
            <w:pPr>
              <w:pStyle w:val="66"/>
              <w:bidi w:val="0"/>
              <w:spacing w:line="360" w:lineRule="auto"/>
              <w:jc w:val="both"/>
              <w:rPr>
                <w:rFonts w:hint="default" w:ascii="Times New Roman" w:hAnsi="Times New Roman" w:cs="Times New Roman"/>
                <w:color w:val="FF0000"/>
                <w:kern w:val="0"/>
              </w:rPr>
            </w:pPr>
            <w:r>
              <w:rPr>
                <w:rFonts w:hint="eastAsia" w:ascii="宋体" w:hAnsi="宋体" w:eastAsia="宋体" w:cs="宋体"/>
                <w:sz w:val="24"/>
                <w:szCs w:val="24"/>
                <w:lang w:eastAsia="zh-CN"/>
              </w:rPr>
              <w:t>规划名称：《</w:t>
            </w:r>
            <w:r>
              <w:rPr>
                <w:rFonts w:hint="eastAsia" w:ascii="宋体" w:hAnsi="宋体" w:eastAsia="宋体" w:cs="宋体"/>
                <w:sz w:val="24"/>
                <w:szCs w:val="24"/>
                <w:lang w:val="en-US" w:eastAsia="zh-CN"/>
              </w:rPr>
              <w:t>蓬溪县上游工业园产业聚集区发展规划（20</w:t>
            </w:r>
            <w:r>
              <w:rPr>
                <w:rFonts w:hint="eastAsia" w:cs="宋体"/>
                <w:sz w:val="24"/>
                <w:szCs w:val="24"/>
                <w:lang w:val="en-US" w:eastAsia="zh-CN"/>
              </w:rPr>
              <w:t>20</w:t>
            </w:r>
            <w:r>
              <w:rPr>
                <w:rFonts w:hint="eastAsia" w:ascii="宋体" w:hAnsi="宋体" w:eastAsia="宋体" w:cs="宋体"/>
                <w:sz w:val="24"/>
                <w:szCs w:val="24"/>
                <w:lang w:val="en-US" w:eastAsia="zh-CN"/>
              </w:rPr>
              <w:t>-203</w:t>
            </w:r>
            <w:r>
              <w:rPr>
                <w:rFonts w:hint="eastAsia" w:cs="宋体"/>
                <w:sz w:val="24"/>
                <w:szCs w:val="24"/>
                <w:lang w:val="en-US" w:eastAsia="zh-CN"/>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pPr>
              <w:pStyle w:val="66"/>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规划环境影响</w:t>
            </w:r>
          </w:p>
          <w:p>
            <w:pPr>
              <w:pStyle w:val="66"/>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评价情况</w:t>
            </w:r>
          </w:p>
        </w:tc>
        <w:tc>
          <w:tcPr>
            <w:tcW w:w="7106" w:type="dxa"/>
            <w:gridSpan w:val="3"/>
            <w:noWrap w:val="0"/>
            <w:vAlign w:val="center"/>
          </w:tcPr>
          <w:p>
            <w:pPr>
              <w:pStyle w:val="66"/>
              <w:ind w:firstLine="480"/>
              <w:rPr>
                <w:rFonts w:hint="default" w:ascii="Times New Roman" w:hAnsi="Times New Roman" w:cs="Times New Roman"/>
                <w:color w:val="auto"/>
              </w:rPr>
            </w:pPr>
            <w:r>
              <w:rPr>
                <w:rFonts w:hint="default" w:ascii="Times New Roman" w:hAnsi="Times New Roman" w:cs="Times New Roman"/>
                <w:color w:val="auto"/>
              </w:rPr>
              <w:t>已开展园区规划环评。</w:t>
            </w:r>
          </w:p>
          <w:p>
            <w:pPr>
              <w:pStyle w:val="66"/>
              <w:ind w:firstLine="480"/>
              <w:rPr>
                <w:rFonts w:hint="default" w:ascii="Times New Roman" w:hAnsi="Times New Roman" w:cs="Times New Roman"/>
                <w:color w:val="auto"/>
              </w:rPr>
            </w:pPr>
            <w:r>
              <w:rPr>
                <w:rFonts w:hint="default" w:ascii="Times New Roman" w:hAnsi="Times New Roman" w:cs="Times New Roman"/>
                <w:color w:val="auto"/>
              </w:rPr>
              <w:t>规划环评审批机关：</w:t>
            </w:r>
            <w:r>
              <w:rPr>
                <w:rFonts w:hint="default" w:ascii="Times New Roman" w:hAnsi="Times New Roman" w:cs="Times New Roman"/>
                <w:color w:val="auto"/>
                <w:lang w:val="en-US" w:eastAsia="zh-CN"/>
              </w:rPr>
              <w:t>遂宁市生态环境局</w:t>
            </w:r>
            <w:r>
              <w:rPr>
                <w:rFonts w:hint="default" w:ascii="Times New Roman" w:hAnsi="Times New Roman" w:cs="Times New Roman"/>
                <w:color w:val="auto"/>
              </w:rPr>
              <w:t>；</w:t>
            </w:r>
          </w:p>
          <w:p>
            <w:pPr>
              <w:pStyle w:val="66"/>
              <w:ind w:firstLine="480"/>
              <w:rPr>
                <w:rFonts w:hint="default" w:ascii="Times New Roman" w:hAnsi="Times New Roman" w:cs="Times New Roman"/>
                <w:color w:val="auto"/>
              </w:rPr>
            </w:pPr>
            <w:r>
              <w:rPr>
                <w:rFonts w:hint="default" w:ascii="Times New Roman" w:hAnsi="Times New Roman" w:cs="Times New Roman"/>
                <w:color w:val="auto"/>
              </w:rPr>
              <w:t>规划环评名称：《四川蓬溪经济开发区（上游片区）（暨蓬溪县上游工业园产业聚集区）规划修编环境影响报告书》；</w:t>
            </w:r>
          </w:p>
          <w:p>
            <w:pPr>
              <w:pStyle w:val="66"/>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审查文件名称及文号：</w:t>
            </w:r>
            <w:r>
              <w:rPr>
                <w:rFonts w:hint="eastAsia" w:ascii="Times New Roman" w:hAnsi="Times New Roman" w:cs="Times New Roman"/>
                <w:color w:val="auto"/>
                <w:lang w:val="en-US" w:eastAsia="zh-CN"/>
              </w:rPr>
              <w:t>遂环函〔2022〕67号</w:t>
            </w:r>
          </w:p>
          <w:p>
            <w:pPr>
              <w:pStyle w:val="66"/>
              <w:ind w:firstLine="480"/>
              <w:rPr>
                <w:rFonts w:hint="default" w:ascii="Times New Roman" w:hAnsi="Times New Roman" w:cs="Times New Roman"/>
                <w:color w:val="auto"/>
                <w:kern w:val="0"/>
              </w:rPr>
            </w:pPr>
            <w:r>
              <w:rPr>
                <w:rFonts w:hint="default" w:ascii="Times New Roman" w:hAnsi="Times New Roman" w:cs="Times New Roman"/>
                <w:color w:val="auto"/>
              </w:rPr>
              <w:t>批复时间：20</w:t>
            </w:r>
            <w:r>
              <w:rPr>
                <w:rFonts w:hint="default" w:ascii="Times New Roman" w:hAnsi="Times New Roman" w:cs="Times New Roman"/>
                <w:color w:val="auto"/>
                <w:lang w:val="en-US" w:eastAsia="zh-CN"/>
              </w:rPr>
              <w:t>22</w:t>
            </w:r>
            <w:r>
              <w:rPr>
                <w:rFonts w:hint="default" w:ascii="Times New Roman" w:hAnsi="Times New Roman" w:cs="Times New Roman"/>
                <w:color w:val="auto"/>
              </w:rPr>
              <w:t>年</w:t>
            </w:r>
            <w:r>
              <w:rPr>
                <w:rFonts w:hint="eastAsia" w:ascii="Times New Roman" w:hAnsi="Times New Roman" w:cs="Times New Roman"/>
                <w:color w:val="auto"/>
                <w:lang w:val="en-US" w:eastAsia="zh-CN"/>
              </w:rPr>
              <w:t>5</w:t>
            </w:r>
            <w:r>
              <w:rPr>
                <w:rFonts w:hint="default" w:ascii="Times New Roman" w:hAnsi="Times New Roman" w:cs="Times New Roman"/>
                <w:color w:val="auto"/>
              </w:rPr>
              <w:t>月</w:t>
            </w:r>
            <w:r>
              <w:rPr>
                <w:rFonts w:hint="eastAsia" w:ascii="Times New Roman" w:hAnsi="Times New Roman" w:cs="Times New Roman"/>
                <w:color w:val="auto"/>
                <w:lang w:val="en-US" w:eastAsia="zh-CN"/>
              </w:rPr>
              <w:t>25</w:t>
            </w:r>
            <w:r>
              <w:rPr>
                <w:rFonts w:hint="default" w:ascii="Times New Roman" w:hAnsi="Times New Roman" w:cs="Times New Roman"/>
                <w:color w:val="auto"/>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61" w:type="dxa"/>
            <w:gridSpan w:val="4"/>
            <w:noWrap w:val="0"/>
            <w:vAlign w:val="center"/>
          </w:tcPr>
          <w:p>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 w:val="24"/>
              </w:rPr>
              <w:t>规划及规划环境影响评价符合性分析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1" w:type="dxa"/>
            <w:gridSpan w:val="4"/>
            <w:noWrap w:val="0"/>
            <w:vAlign w:val="center"/>
          </w:tcPr>
          <w:p>
            <w:pPr>
              <w:pStyle w:val="66"/>
              <w:ind w:firstLine="482"/>
              <w:rPr>
                <w:rFonts w:hint="default" w:ascii="Times New Roman" w:hAnsi="Times New Roman" w:cs="Times New Roman"/>
                <w:b/>
                <w:bCs/>
                <w:color w:val="auto"/>
              </w:rPr>
            </w:pPr>
            <w:r>
              <w:rPr>
                <w:rFonts w:hint="default" w:ascii="Times New Roman" w:hAnsi="Times New Roman" w:cs="Times New Roman"/>
                <w:b/>
                <w:bCs/>
                <w:color w:val="auto"/>
              </w:rPr>
              <w:t>（1）与四川蓬溪经济开发区（上游片区）规划及规划环评符合性分析</w:t>
            </w:r>
          </w:p>
          <w:p>
            <w:pPr>
              <w:pStyle w:val="66"/>
              <w:bidi w:val="0"/>
              <w:rPr>
                <w:rFonts w:hint="default" w:ascii="Times New Roman" w:hAnsi="Times New Roman" w:cs="Times New Roman"/>
                <w:color w:val="auto"/>
              </w:rPr>
            </w:pPr>
            <w:r>
              <w:rPr>
                <w:rFonts w:hint="default" w:ascii="Times New Roman" w:hAnsi="Times New Roman" w:cs="Times New Roman"/>
                <w:color w:val="auto"/>
              </w:rPr>
              <w:t>2007年，蓬溪县人民政府决定成立蓬溪县上游工业集中发展区，规划面积约5.3km2，主导产业方向为纺织、轻化工业、食品加工、仓储物流。2008年取得了原遂宁市环境保护局出具的规划环评审查意见（遂环函</w:t>
            </w:r>
            <w:r>
              <w:rPr>
                <w:rFonts w:hint="eastAsia" w:ascii="Times New Roman" w:hAnsi="Times New Roman" w:cs="Times New Roman"/>
                <w:color w:val="auto"/>
                <w:lang w:eastAsia="zh-CN"/>
              </w:rPr>
              <w:t>〔</w:t>
            </w:r>
            <w:r>
              <w:rPr>
                <w:rFonts w:hint="default" w:ascii="Times New Roman" w:hAnsi="Times New Roman" w:cs="Times New Roman"/>
                <w:color w:val="auto"/>
              </w:rPr>
              <w:t>2008</w:t>
            </w:r>
            <w:r>
              <w:rPr>
                <w:rFonts w:hint="eastAsia" w:ascii="Times New Roman" w:hAnsi="Times New Roman" w:cs="Times New Roman"/>
                <w:color w:val="auto"/>
                <w:lang w:eastAsia="zh-CN"/>
              </w:rPr>
              <w:t>〕</w:t>
            </w:r>
            <w:r>
              <w:rPr>
                <w:rFonts w:hint="default" w:ascii="Times New Roman" w:hAnsi="Times New Roman" w:cs="Times New Roman"/>
                <w:color w:val="auto"/>
              </w:rPr>
              <w:t>4号）。</w:t>
            </w:r>
          </w:p>
          <w:p>
            <w:pPr>
              <w:pStyle w:val="66"/>
              <w:bidi w:val="0"/>
              <w:rPr>
                <w:rFonts w:hint="default" w:ascii="Times New Roman" w:hAnsi="Times New Roman" w:cs="Times New Roman"/>
                <w:color w:val="auto"/>
              </w:rPr>
            </w:pPr>
            <w:r>
              <w:rPr>
                <w:rFonts w:hint="default" w:ascii="Times New Roman" w:hAnsi="Times New Roman" w:cs="Times New Roman"/>
                <w:color w:val="auto"/>
              </w:rPr>
              <w:t>2012年，为解决主导产业导向问题，突出打造门业及配套产业，蓬溪县人民政府对上一轮规划进行了调整，编制了《蓬溪县上游工业集中发展区规划调整》（以下简称集中区规划），组织编制了规划环评并取得了原遂宁市环境保护局出具的批复（遂环函</w:t>
            </w:r>
            <w:r>
              <w:rPr>
                <w:rFonts w:hint="eastAsia" w:ascii="Times New Roman" w:hAnsi="Times New Roman" w:cs="Times New Roman"/>
                <w:color w:val="auto"/>
                <w:lang w:eastAsia="zh-CN"/>
              </w:rPr>
              <w:t>〔</w:t>
            </w:r>
            <w:r>
              <w:rPr>
                <w:rFonts w:hint="default" w:ascii="Times New Roman" w:hAnsi="Times New Roman" w:cs="Times New Roman"/>
                <w:color w:val="auto"/>
              </w:rPr>
              <w:t>2013</w:t>
            </w:r>
            <w:r>
              <w:rPr>
                <w:rFonts w:hint="eastAsia" w:ascii="Times New Roman" w:hAnsi="Times New Roman" w:cs="Times New Roman"/>
                <w:color w:val="auto"/>
                <w:lang w:eastAsia="zh-CN"/>
              </w:rPr>
              <w:t>〕</w:t>
            </w:r>
            <w:r>
              <w:rPr>
                <w:rFonts w:hint="default" w:ascii="Times New Roman" w:hAnsi="Times New Roman" w:cs="Times New Roman"/>
                <w:color w:val="auto"/>
              </w:rPr>
              <w:t>67号）。调整后规划总规划面积5.3km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，主导产业为门业及其配套、纺织产业、电子产业、食品产业、南部仓储物流。</w:t>
            </w:r>
          </w:p>
          <w:p>
            <w:pPr>
              <w:pStyle w:val="66"/>
              <w:bidi w:val="0"/>
              <w:rPr>
                <w:rFonts w:hint="default" w:ascii="Times New Roman" w:hAnsi="Times New Roman" w:cs="Times New Roman"/>
                <w:color w:val="auto"/>
              </w:rPr>
            </w:pPr>
            <w:r>
              <w:rPr>
                <w:rFonts w:hint="default" w:ascii="Times New Roman" w:hAnsi="Times New Roman" w:cs="Times New Roman"/>
                <w:color w:val="auto"/>
              </w:rPr>
              <w:t>2013年，为从园区长远发展考虑，拓展门业配套产业发展空间，蓬溪县人民政府编制了《蓬溪县上游工业集中发展区拓展区规划》（以下简称拓展区规划），组织编制了规划环评并取得了原四川省环境保护厅出具的审查意见（川环建函</w:t>
            </w:r>
            <w:r>
              <w:rPr>
                <w:rFonts w:hint="eastAsia" w:ascii="Times New Roman" w:hAnsi="Times New Roman" w:cs="Times New Roman"/>
                <w:color w:val="auto"/>
                <w:lang w:eastAsia="zh-CN"/>
              </w:rPr>
              <w:t>〔</w:t>
            </w:r>
            <w:r>
              <w:rPr>
                <w:rFonts w:hint="default" w:ascii="Times New Roman" w:hAnsi="Times New Roman" w:cs="Times New Roman"/>
                <w:color w:val="auto"/>
              </w:rPr>
              <w:t>2014</w:t>
            </w:r>
            <w:r>
              <w:rPr>
                <w:rFonts w:hint="eastAsia" w:ascii="Times New Roman" w:hAnsi="Times New Roman" w:cs="Times New Roman"/>
                <w:color w:val="auto"/>
                <w:lang w:eastAsia="zh-CN"/>
              </w:rPr>
              <w:t>〕</w:t>
            </w:r>
            <w:r>
              <w:rPr>
                <w:rFonts w:hint="default" w:ascii="Times New Roman" w:hAnsi="Times New Roman" w:cs="Times New Roman"/>
                <w:color w:val="auto"/>
              </w:rPr>
              <w:t>249号），规划面积3.78km</w:t>
            </w:r>
            <w:r>
              <w:rPr>
                <w:rFonts w:hint="default" w:ascii="Times New Roman" w:hAnsi="Times New Roman" w:cs="Times New Roman"/>
                <w:color w:val="auto"/>
                <w:vertAlign w:val="superscript"/>
              </w:rPr>
              <w:t>2</w:t>
            </w:r>
            <w:r>
              <w:rPr>
                <w:rFonts w:hint="default" w:ascii="Times New Roman" w:hAnsi="Times New Roman" w:cs="Times New Roman"/>
                <w:color w:val="auto"/>
              </w:rPr>
              <w:t>，主导产业为</w:t>
            </w:r>
            <w:r>
              <w:rPr>
                <w:rFonts w:hint="eastAsia" w:ascii="Times New Roman" w:hAnsi="Times New Roman" w:cs="Times New Roman"/>
                <w:color w:val="auto"/>
                <w:lang w:eastAsia="zh-CN"/>
              </w:rPr>
              <w:t>家具</w:t>
            </w:r>
            <w:r>
              <w:rPr>
                <w:rFonts w:hint="default" w:ascii="Times New Roman" w:hAnsi="Times New Roman" w:cs="Times New Roman"/>
                <w:color w:val="auto"/>
              </w:rPr>
              <w:t>制造（主要发展门业及门业配套产业）、化工（限定为与门业配套的油漆、涂料）等产业。</w:t>
            </w:r>
          </w:p>
          <w:p>
            <w:pPr>
              <w:pStyle w:val="66"/>
              <w:bidi w:val="0"/>
              <w:rPr>
                <w:rFonts w:hint="default" w:ascii="Times New Roman" w:hAnsi="Times New Roman" w:cs="Times New Roman"/>
                <w:color w:val="auto"/>
              </w:rPr>
            </w:pPr>
            <w:r>
              <w:rPr>
                <w:rFonts w:hint="default" w:ascii="Times New Roman" w:hAnsi="Times New Roman" w:cs="Times New Roman"/>
                <w:color w:val="auto"/>
              </w:rPr>
              <w:t>2019年1月，四川省人民政府出具《关于设立四川蒲江经济开发区等64家省级开发区的批复》（川府函〔2019〕20号），同意设立四川蓬溪经济开发区（以下简称蓬溪经开区）。蓬溪经开区以家具、服装、食品饮料为主导产业，核准面积5.7437 km</w:t>
            </w:r>
            <w:r>
              <w:rPr>
                <w:rFonts w:hint="default" w:ascii="Times New Roman" w:hAnsi="Times New Roman" w:cs="Times New Roman"/>
                <w:color w:val="auto"/>
                <w:vertAlign w:val="superscript"/>
              </w:rPr>
              <w:t>2</w:t>
            </w:r>
            <w:r>
              <w:rPr>
                <w:rFonts w:hint="default" w:ascii="Times New Roman" w:hAnsi="Times New Roman" w:cs="Times New Roman"/>
                <w:color w:val="auto"/>
              </w:rPr>
              <w:t>，其中上游片区2.6195 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，重点发展门业家居、纺织服装等产业，金桥片区3.1242 km</w:t>
            </w:r>
            <w:r>
              <w:rPr>
                <w:rFonts w:hint="default" w:ascii="Times New Roman" w:hAnsi="Times New Roman" w:cs="Times New Roman"/>
                <w:color w:val="auto"/>
                <w:vertAlign w:val="superscript"/>
              </w:rPr>
              <w:t>2</w:t>
            </w:r>
            <w:r>
              <w:rPr>
                <w:rFonts w:hint="default" w:ascii="Times New Roman" w:hAnsi="Times New Roman" w:cs="Times New Roman"/>
                <w:color w:val="auto"/>
              </w:rPr>
              <w:t>，重点发展食品饮料等产业。</w:t>
            </w:r>
          </w:p>
          <w:p>
            <w:pPr>
              <w:pStyle w:val="66"/>
              <w:bidi w:val="0"/>
              <w:rPr>
                <w:rFonts w:hint="default" w:ascii="Times New Roman" w:hAnsi="Times New Roman" w:cs="Times New Roman"/>
                <w:color w:val="auto"/>
                <w:lang w:eastAsia="zh-CN"/>
              </w:rPr>
            </w:pPr>
            <w:r>
              <w:rPr>
                <w:rFonts w:hint="default" w:ascii="Times New Roman" w:hAnsi="Times New Roman" w:cs="Times New Roman"/>
                <w:color w:val="auto"/>
              </w:rPr>
              <w:t>为适应区域经济、社会、环境可持续发展的要求和贯彻《蓬溪县国民经济和社会发展第十四个五年规划和二〇三五年远景目标纲要》精神，四川蓬溪经开区管委会启动了园区修编工作，编制了《四川蓬溪经济开发区（上游片区）（暨蓬溪县上游工业园产业聚集区）产业规划》和《四川蓬溪经济开发区（上游片区）（暨蓬溪县上游工业园产业聚集区）控制性详细规划修编》</w:t>
            </w:r>
            <w:r>
              <w:rPr>
                <w:rFonts w:hint="default" w:ascii="Times New Roman" w:hAnsi="Times New Roman" w:cs="Times New Roman"/>
                <w:color w:val="auto"/>
                <w:lang w:eastAsia="zh-CN"/>
              </w:rPr>
              <w:t>。</w:t>
            </w:r>
          </w:p>
          <w:p>
            <w:pPr>
              <w:pStyle w:val="66"/>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根据规划，</w:t>
            </w:r>
            <w:r>
              <w:rPr>
                <w:rFonts w:hint="default" w:ascii="Times New Roman" w:hAnsi="Times New Roman" w:cs="Times New Roman"/>
                <w:color w:val="auto"/>
                <w:lang w:eastAsia="zh-CN"/>
              </w:rPr>
              <w:t>蓬溪县上游工业园产业聚集区位于遂宁市蓬溪县，规划面积约11.70 km</w:t>
            </w:r>
            <w:r>
              <w:rPr>
                <w:rFonts w:hint="default" w:ascii="Times New Roman" w:hAnsi="Times New Roman" w:cs="Times New Roman"/>
                <w:color w:val="auto"/>
                <w:vertAlign w:val="superscript"/>
                <w:lang w:eastAsia="zh-CN"/>
              </w:rPr>
              <w:t>2</w:t>
            </w:r>
            <w:r>
              <w:rPr>
                <w:rFonts w:hint="default" w:ascii="Times New Roman" w:hAnsi="Times New Roman" w:cs="Times New Roman"/>
                <w:color w:val="auto"/>
                <w:lang w:eastAsia="zh-CN"/>
              </w:rPr>
              <w:t>，四至范围为南至普安街道任家桥村5组，北至芝溪河南岸（沿河岸线退10m间距），东至鸣凤镇白猴村4组，西至赤城镇跃进村5组。</w:t>
            </w:r>
          </w:p>
          <w:p>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本次修编后，园区主导产业为：门业及智能家居产业、线缆线束产业。</w:t>
            </w:r>
          </w:p>
          <w:p>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根据修编后规划环评，园区生态环境准入要求如下：</w:t>
            </w:r>
          </w:p>
          <w:p>
            <w:pPr>
              <w:spacing w:line="420" w:lineRule="auto"/>
              <w:jc w:val="center"/>
              <w:rPr>
                <w:rFonts w:hint="default" w:ascii="Times New Roman" w:hAnsi="Times New Roman" w:cs="Times New Roman"/>
                <w:b/>
                <w:bCs/>
                <w:color w:val="auto"/>
                <w:sz w:val="24"/>
                <w:lang w:val="zh-CN"/>
              </w:rPr>
            </w:pPr>
            <w:r>
              <w:rPr>
                <w:rFonts w:hint="default" w:ascii="Times New Roman" w:hAnsi="Times New Roman" w:cs="Times New Roman"/>
                <w:b/>
                <w:bCs/>
                <w:color w:val="auto"/>
                <w:sz w:val="24"/>
                <w:lang w:val="zh-CN"/>
              </w:rPr>
              <w:t>表1-</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val="zh-CN"/>
              </w:rPr>
              <w:t>本项目与园区</w:t>
            </w:r>
            <w:r>
              <w:rPr>
                <w:rFonts w:hint="default" w:ascii="Times New Roman" w:hAnsi="Times New Roman" w:cs="Times New Roman"/>
                <w:b/>
                <w:bCs/>
                <w:color w:val="auto"/>
                <w:sz w:val="24"/>
                <w:lang w:val="en-US" w:eastAsia="zh-CN"/>
              </w:rPr>
              <w:t>规划修编环评</w:t>
            </w:r>
            <w:r>
              <w:rPr>
                <w:rFonts w:hint="default" w:ascii="Times New Roman" w:hAnsi="Times New Roman" w:cs="Times New Roman"/>
                <w:b/>
                <w:bCs/>
                <w:color w:val="auto"/>
                <w:sz w:val="24"/>
                <w:lang w:val="zh-CN"/>
              </w:rPr>
              <w:t>准入符合性对比</w:t>
            </w:r>
          </w:p>
          <w:tbl>
            <w:tblPr>
              <w:tblStyle w:val="2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5299"/>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477" w:type="dxa"/>
                  <w:noWrap w:val="0"/>
                  <w:vAlign w:val="center"/>
                </w:tcPr>
                <w:p>
                  <w:pPr>
                    <w:spacing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准入类别</w:t>
                  </w:r>
                </w:p>
              </w:tc>
              <w:tc>
                <w:tcPr>
                  <w:tcW w:w="5299" w:type="dxa"/>
                  <w:noWrap w:val="0"/>
                  <w:vAlign w:val="center"/>
                </w:tcPr>
                <w:p>
                  <w:pPr>
                    <w:spacing w:line="240" w:lineRule="auto"/>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准入要求</w:t>
                  </w:r>
                </w:p>
              </w:tc>
              <w:tc>
                <w:tcPr>
                  <w:tcW w:w="1728" w:type="dxa"/>
                  <w:noWrap w:val="0"/>
                  <w:vAlign w:val="center"/>
                </w:tcPr>
                <w:p>
                  <w:pPr>
                    <w:spacing w:line="24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4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lang w:val="en-US" w:eastAsia="zh-CN"/>
                    </w:rPr>
                    <w:t>总体要求</w:t>
                  </w:r>
                </w:p>
              </w:tc>
              <w:tc>
                <w:tcPr>
                  <w:tcW w:w="5299" w:type="dxa"/>
                  <w:noWrap w:val="0"/>
                  <w:vAlign w:val="center"/>
                </w:tcPr>
                <w:p>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1、鼓励发展门业及智能家居产业、线缆线束产业及与主导产业相符的项目。</w:t>
                  </w:r>
                </w:p>
                <w:p>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门业及智能家居产业：主要包括木门窗，金属门窗，木制家具，竹、藤家具，金属家具，塑料家具，其他家具等。</w:t>
                  </w:r>
                </w:p>
                <w:p>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线缆线束产业：主要为电线、电缆制造。</w:t>
                  </w:r>
                </w:p>
                <w:p>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2、鼓励其发展主导产业或重要项目的上下游企业，有利于区域实现循环经济和可持续发展的企业，若与规划区或片区主业发展不形成交叉影响。</w:t>
                  </w:r>
                </w:p>
              </w:tc>
              <w:tc>
                <w:tcPr>
                  <w:tcW w:w="1728" w:type="dxa"/>
                  <w:vMerge w:val="restart"/>
                  <w:noWrap w:val="0"/>
                  <w:vAlign w:val="center"/>
                </w:tcPr>
                <w:p>
                  <w:pPr>
                    <w:spacing w:line="360" w:lineRule="auto"/>
                    <w:jc w:val="center"/>
                    <w:rPr>
                      <w:rFonts w:hint="default" w:ascii="Times New Roman" w:hAnsi="Times New Roman" w:cs="Times New Roman"/>
                      <w:bCs/>
                      <w:color w:val="auto"/>
                      <w:sz w:val="24"/>
                      <w:lang w:val="en-US"/>
                    </w:rPr>
                  </w:pPr>
                  <w:r>
                    <w:rPr>
                      <w:rFonts w:hint="default" w:ascii="Times New Roman" w:hAnsi="Times New Roman" w:cs="Times New Roman"/>
                      <w:bCs/>
                      <w:color w:val="auto"/>
                      <w:kern w:val="0"/>
                      <w:sz w:val="24"/>
                    </w:rPr>
                    <w:t>本项目属于</w:t>
                  </w:r>
                  <w:r>
                    <w:rPr>
                      <w:rFonts w:hint="eastAsia" w:cs="Times New Roman"/>
                      <w:bCs/>
                      <w:color w:val="auto"/>
                      <w:kern w:val="0"/>
                      <w:sz w:val="24"/>
                      <w:lang w:val="en-US" w:eastAsia="zh-CN"/>
                    </w:rPr>
                    <w:t>塑料制品业和废弃资源回收业，</w:t>
                  </w:r>
                  <w:r>
                    <w:rPr>
                      <w:rFonts w:hint="eastAsia" w:ascii="Times New Roman" w:hAnsi="Times New Roman" w:cs="Times New Roman"/>
                      <w:bCs/>
                      <w:color w:val="auto"/>
                      <w:kern w:val="0"/>
                      <w:sz w:val="24"/>
                      <w:lang w:val="en-US" w:eastAsia="zh-CN"/>
                    </w:rPr>
                    <w:t>项目</w:t>
                  </w:r>
                  <w:r>
                    <w:rPr>
                      <w:rFonts w:hint="eastAsia" w:cs="Times New Roman"/>
                      <w:bCs/>
                      <w:color w:val="auto"/>
                      <w:kern w:val="0"/>
                      <w:sz w:val="24"/>
                      <w:lang w:val="en-US" w:eastAsia="zh-CN"/>
                    </w:rPr>
                    <w:t>不属于园区鼓励行业和禁止行业，可视为允许类</w:t>
                  </w:r>
                  <w:r>
                    <w:rPr>
                      <w:rFonts w:hint="eastAsia" w:ascii="Times New Roman" w:hAnsi="Times New Roman" w:cs="Times New Roman"/>
                      <w:bCs/>
                      <w:color w:val="auto"/>
                      <w:kern w:val="0"/>
                      <w:sz w:val="24"/>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77" w:type="dxa"/>
                  <w:noWrap w:val="0"/>
                  <w:vAlign w:val="center"/>
                </w:tcPr>
                <w:p>
                  <w:pPr>
                    <w:spacing w:line="360" w:lineRule="auto"/>
                    <w:jc w:val="left"/>
                    <w:rPr>
                      <w:rFonts w:hint="default" w:ascii="Times New Roman" w:hAnsi="Times New Roman" w:cs="Times New Roman"/>
                      <w:b/>
                      <w:bCs/>
                      <w:color w:val="auto"/>
                      <w:sz w:val="24"/>
                    </w:rPr>
                  </w:pPr>
                  <w:r>
                    <w:rPr>
                      <w:rFonts w:hint="default" w:ascii="Times New Roman" w:hAnsi="Times New Roman" w:eastAsia="宋体" w:cs="Times New Roman"/>
                      <w:b/>
                      <w:color w:val="auto"/>
                      <w:sz w:val="24"/>
                      <w:lang w:val="en-US" w:eastAsia="zh-CN"/>
                    </w:rPr>
                    <w:t>分区管控要求</w:t>
                  </w:r>
                </w:p>
              </w:tc>
              <w:tc>
                <w:tcPr>
                  <w:tcW w:w="5299" w:type="dxa"/>
                  <w:noWrap w:val="0"/>
                  <w:vAlign w:val="center"/>
                </w:tcPr>
                <w:p>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1、线缆线束产业园：禁止引入6千伏及以上（陆上用）干法交联电力电缆项目。</w:t>
                  </w:r>
                </w:p>
                <w:p>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2、门业及智能家居产业园：禁止引入溶剂型涂料涂装的木质家具（高流量低压[HVLP]喷漆工艺除外）。</w:t>
                  </w:r>
                </w:p>
              </w:tc>
              <w:tc>
                <w:tcPr>
                  <w:tcW w:w="1728" w:type="dxa"/>
                  <w:vMerge w:val="continue"/>
                  <w:noWrap w:val="0"/>
                  <w:vAlign w:val="center"/>
                </w:tcPr>
                <w:p>
                  <w:pPr>
                    <w:spacing w:line="360" w:lineRule="auto"/>
                    <w:jc w:val="left"/>
                    <w:rPr>
                      <w:rFonts w:hint="default" w:ascii="Times New Roman" w:hAnsi="Times New Roman" w:cs="Times New Roman"/>
                      <w:bCs/>
                      <w:color w:val="auto"/>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477" w:type="dxa"/>
                  <w:noWrap w:val="0"/>
                  <w:vAlign w:val="center"/>
                </w:tcPr>
                <w:p>
                  <w:pPr>
                    <w:spacing w:line="360" w:lineRule="auto"/>
                    <w:jc w:val="left"/>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
                      <w:color w:val="auto"/>
                      <w:sz w:val="24"/>
                      <w:lang w:val="en-US" w:eastAsia="zh-CN"/>
                    </w:rPr>
                    <w:t>规划主导产业外</w:t>
                  </w:r>
                </w:p>
              </w:tc>
              <w:tc>
                <w:tcPr>
                  <w:tcW w:w="5299" w:type="dxa"/>
                  <w:noWrap w:val="0"/>
                  <w:vAlign w:val="center"/>
                </w:tcPr>
                <w:p>
                  <w:pPr>
                    <w:spacing w:line="360" w:lineRule="auto"/>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禁止引入不符合法律法规、产业政策及相关环境管理要求的项目；</w:t>
                  </w:r>
                </w:p>
                <w:p>
                  <w:pPr>
                    <w:spacing w:line="360" w:lineRule="auto"/>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禁止引入《</w:t>
                  </w:r>
                  <w:r>
                    <w:rPr>
                      <w:rFonts w:hint="default" w:ascii="Times New Roman" w:hAnsi="Times New Roman" w:eastAsia="宋体" w:cs="Times New Roman"/>
                      <w:bCs/>
                      <w:color w:val="auto"/>
                      <w:sz w:val="24"/>
                    </w:rPr>
                    <w:t>环境保护综合名录</w:t>
                  </w:r>
                  <w:r>
                    <w:rPr>
                      <w:rFonts w:hint="eastAsia" w:ascii="Times New Roman" w:hAnsi="Times New Roman" w:eastAsia="宋体" w:cs="Times New Roman"/>
                      <w:bCs/>
                      <w:color w:val="auto"/>
                      <w:sz w:val="24"/>
                    </w:rPr>
                    <w:t>》中涉及的</w:t>
                  </w:r>
                  <w:r>
                    <w:rPr>
                      <w:rFonts w:hint="default" w:ascii="Times New Roman" w:hAnsi="Times New Roman" w:eastAsia="宋体" w:cs="Times New Roman"/>
                      <w:bCs/>
                      <w:color w:val="auto"/>
                      <w:sz w:val="24"/>
                    </w:rPr>
                    <w:t>“高污染、高环境风险”</w:t>
                  </w:r>
                  <w:r>
                    <w:rPr>
                      <w:rFonts w:hint="eastAsia" w:ascii="Times New Roman" w:hAnsi="Times New Roman" w:eastAsia="宋体" w:cs="Times New Roman"/>
                      <w:bCs/>
                      <w:color w:val="auto"/>
                      <w:sz w:val="24"/>
                    </w:rPr>
                    <w:t>项目。</w:t>
                  </w:r>
                </w:p>
                <w:p>
                  <w:pPr>
                    <w:spacing w:line="360" w:lineRule="auto"/>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禁止引入清洁生产水平不能达二级或国内先进水平的项目。</w:t>
                  </w:r>
                </w:p>
                <w:p>
                  <w:pPr>
                    <w:spacing w:line="360" w:lineRule="auto"/>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禁止新建医药、农药、制浆（含废纸制浆）、</w:t>
                  </w:r>
                  <w:r>
                    <w:rPr>
                      <w:rFonts w:hint="default" w:ascii="Times New Roman" w:hAnsi="Times New Roman" w:eastAsia="宋体" w:cs="Times New Roman"/>
                      <w:bCs/>
                      <w:color w:val="auto"/>
                      <w:sz w:val="24"/>
                    </w:rPr>
                    <w:t>造纸、</w:t>
                  </w:r>
                  <w:r>
                    <w:rPr>
                      <w:rFonts w:hint="eastAsia" w:ascii="Times New Roman" w:hAnsi="Times New Roman" w:eastAsia="宋体" w:cs="Times New Roman"/>
                      <w:bCs/>
                      <w:color w:val="auto"/>
                      <w:sz w:val="24"/>
                    </w:rPr>
                    <w:t>印染染整、制革、水泥、专业电镀、</w:t>
                  </w:r>
                  <w:r>
                    <w:rPr>
                      <w:rFonts w:hint="default" w:ascii="Times New Roman" w:hAnsi="Times New Roman" w:eastAsia="宋体" w:cs="Times New Roman"/>
                      <w:bCs/>
                      <w:color w:val="auto"/>
                      <w:sz w:val="24"/>
                    </w:rPr>
                    <w:t>制革、洗选、</w:t>
                  </w:r>
                  <w:r>
                    <w:rPr>
                      <w:rFonts w:hint="eastAsia" w:ascii="Times New Roman" w:hAnsi="Times New Roman" w:eastAsia="宋体" w:cs="Times New Roman"/>
                      <w:bCs/>
                      <w:color w:val="auto"/>
                      <w:sz w:val="24"/>
                    </w:rPr>
                    <w:t>含前工序的集成电路、</w:t>
                  </w:r>
                  <w:r>
                    <w:rPr>
                      <w:rFonts w:hint="default" w:ascii="Times New Roman" w:hAnsi="Times New Roman" w:eastAsia="宋体" w:cs="Times New Roman"/>
                      <w:bCs/>
                      <w:color w:val="auto"/>
                      <w:sz w:val="24"/>
                    </w:rPr>
                    <w:t>平板玻璃、印制电路板、</w:t>
                  </w:r>
                  <w:r>
                    <w:rPr>
                      <w:rFonts w:hint="eastAsia" w:ascii="Times New Roman" w:hAnsi="Times New Roman" w:eastAsia="宋体" w:cs="Times New Roman"/>
                      <w:bCs/>
                      <w:color w:val="auto"/>
                      <w:sz w:val="24"/>
                    </w:rPr>
                    <w:t>石墨及</w:t>
                  </w:r>
                  <w:r>
                    <w:rPr>
                      <w:rFonts w:hint="eastAsia" w:cs="Times New Roman"/>
                      <w:bCs/>
                      <w:color w:val="auto"/>
                      <w:sz w:val="24"/>
                      <w:lang w:eastAsia="zh-CN"/>
                    </w:rPr>
                    <w:t>碳素制品</w:t>
                  </w:r>
                  <w:r>
                    <w:rPr>
                      <w:rFonts w:hint="eastAsia" w:ascii="Times New Roman" w:hAnsi="Times New Roman" w:eastAsia="宋体" w:cs="Times New Roman"/>
                      <w:bCs/>
                      <w:color w:val="auto"/>
                      <w:sz w:val="24"/>
                    </w:rPr>
                    <w:t>、有色金属冶炼（钒、钛除外）等与主导产业环境不相容或不属于主导产业的高污染行业。</w:t>
                  </w:r>
                </w:p>
                <w:p>
                  <w:pPr>
                    <w:spacing w:line="360" w:lineRule="auto"/>
                    <w:jc w:val="left"/>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禁止引入酒精饮料及酒类制造、屠宰、粮食及饲料加工、农产品加工等废水排放大的行业。</w:t>
                  </w:r>
                </w:p>
              </w:tc>
              <w:tc>
                <w:tcPr>
                  <w:tcW w:w="1728" w:type="dxa"/>
                  <w:vMerge w:val="continue"/>
                  <w:noWrap w:val="0"/>
                  <w:vAlign w:val="center"/>
                </w:tcPr>
                <w:p>
                  <w:pPr>
                    <w:spacing w:line="360" w:lineRule="auto"/>
                    <w:jc w:val="left"/>
                    <w:rPr>
                      <w:rFonts w:hint="default" w:ascii="Times New Roman" w:hAnsi="Times New Roman" w:cs="Times New Roman"/>
                      <w:bCs/>
                      <w:color w:val="auto"/>
                      <w:sz w:val="24"/>
                    </w:rPr>
                  </w:pPr>
                </w:p>
              </w:tc>
            </w:tr>
          </w:tbl>
          <w:p>
            <w:pPr>
              <w:pStyle w:val="66"/>
              <w:ind w:firstLine="480"/>
              <w:rPr>
                <w:rFonts w:hint="default" w:ascii="Times New Roman" w:hAnsi="Times New Roman" w:cs="Times New Roman"/>
                <w:color w:val="auto"/>
                <w:kern w:val="0"/>
                <w:szCs w:val="24"/>
                <w:lang w:val="en-US"/>
              </w:rPr>
            </w:pPr>
            <w:r>
              <w:rPr>
                <w:rFonts w:hint="default" w:ascii="Times New Roman" w:hAnsi="Times New Roman" w:cs="Times New Roman"/>
                <w:bCs/>
                <w:color w:val="auto"/>
                <w:kern w:val="0"/>
                <w:sz w:val="24"/>
              </w:rPr>
              <w:t>本项目属于</w:t>
            </w:r>
            <w:r>
              <w:rPr>
                <w:rFonts w:hint="eastAsia" w:cs="Times New Roman"/>
                <w:bCs/>
                <w:color w:val="auto"/>
                <w:kern w:val="0"/>
                <w:sz w:val="24"/>
                <w:lang w:val="en-US" w:eastAsia="zh-CN"/>
              </w:rPr>
              <w:t>塑料制品业和废弃资源回收业，</w:t>
            </w:r>
            <w:r>
              <w:rPr>
                <w:rFonts w:hint="eastAsia" w:ascii="Times New Roman" w:hAnsi="Times New Roman" w:cs="Times New Roman"/>
                <w:bCs/>
                <w:color w:val="auto"/>
                <w:kern w:val="0"/>
                <w:sz w:val="24"/>
                <w:lang w:val="en-US" w:eastAsia="zh-CN"/>
              </w:rPr>
              <w:t>项目</w:t>
            </w:r>
            <w:r>
              <w:rPr>
                <w:rFonts w:hint="eastAsia" w:cs="Times New Roman"/>
                <w:bCs/>
                <w:color w:val="auto"/>
                <w:kern w:val="0"/>
                <w:sz w:val="24"/>
                <w:lang w:val="en-US" w:eastAsia="zh-CN"/>
              </w:rPr>
              <w:t>不属于园区鼓励行业和禁止行业，可视为允许类</w:t>
            </w:r>
            <w:r>
              <w:rPr>
                <w:rFonts w:hint="eastAsia" w:ascii="Times New Roman" w:hAnsi="Times New Roman" w:cs="Times New Roman"/>
                <w:bCs/>
                <w:color w:val="auto"/>
                <w:kern w:val="0"/>
                <w:sz w:val="24"/>
                <w:lang w:val="en-US" w:eastAsia="zh-CN"/>
              </w:rPr>
              <w:t>。</w:t>
            </w:r>
            <w:r>
              <w:rPr>
                <w:rFonts w:hint="default" w:ascii="Times New Roman" w:hAnsi="Times New Roman" w:cs="Times New Roman"/>
                <w:color w:val="auto"/>
                <w:szCs w:val="22"/>
                <w:lang w:val="en-US" w:eastAsia="zh-CN"/>
              </w:rPr>
              <w:t>项目的建设符合四川蓬溪经济开发区（上游片区）规划及规划环评的相关要求。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61" w:type="dxa"/>
            <w:gridSpan w:val="4"/>
            <w:noWrap w:val="0"/>
            <w:vAlign w:val="center"/>
          </w:tcPr>
          <w:p>
            <w:pPr>
              <w:pStyle w:val="66"/>
              <w:spacing w:line="240" w:lineRule="auto"/>
              <w:ind w:firstLine="0" w:firstLineChars="0"/>
              <w:rPr>
                <w:rFonts w:hint="default" w:ascii="Times New Roman" w:hAnsi="Times New Roman" w:cs="Times New Roman"/>
              </w:rPr>
            </w:pPr>
            <w:r>
              <w:rPr>
                <w:rFonts w:hint="default" w:ascii="Times New Roman" w:hAnsi="Times New Roman" w:cs="Times New Roman"/>
                <w:b/>
                <w:bCs/>
              </w:rPr>
              <w:t>其他符合性分析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861" w:type="dxa"/>
            <w:gridSpan w:val="4"/>
            <w:noWrap w:val="0"/>
            <w:vAlign w:val="center"/>
          </w:tcPr>
          <w:p>
            <w:pPr>
              <w:pStyle w:val="66"/>
              <w:ind w:firstLine="482"/>
              <w:rPr>
                <w:rFonts w:hint="default" w:ascii="Times New Roman" w:hAnsi="Times New Roman" w:cs="Times New Roman"/>
                <w:b/>
                <w:bCs/>
                <w:lang w:val="zh-CN"/>
              </w:rPr>
            </w:pPr>
            <w:r>
              <w:rPr>
                <w:rFonts w:hint="default" w:ascii="Times New Roman" w:hAnsi="Times New Roman" w:cs="Times New Roman"/>
                <w:b/>
                <w:bCs/>
                <w:lang w:val="zh-CN"/>
              </w:rPr>
              <w:t>（1）产业政策符合性分析</w:t>
            </w:r>
          </w:p>
          <w:p>
            <w:pPr>
              <w:pStyle w:val="66"/>
              <w:ind w:firstLine="480"/>
              <w:rPr>
                <w:rFonts w:hint="default" w:ascii="Times New Roman" w:hAnsi="Times New Roman" w:cs="Times New Roman"/>
              </w:rPr>
            </w:pPr>
            <w:r>
              <w:rPr>
                <w:rFonts w:hint="default" w:ascii="Times New Roman" w:hAnsi="Times New Roman" w:cs="Times New Roman"/>
                <w:szCs w:val="22"/>
              </w:rPr>
              <w:t>根据《国民经济行业分类》（GB/T4754-2017）（2019修正），本项目属于</w:t>
            </w:r>
            <w:r>
              <w:rPr>
                <w:rFonts w:hint="eastAsia" w:ascii="Times New Roman" w:hAnsi="Times New Roman" w:cs="Times New Roman"/>
                <w:szCs w:val="22"/>
                <w:lang w:eastAsia="zh-CN"/>
              </w:rPr>
              <w:t>“C2926塑料包装箱及容器制造</w:t>
            </w:r>
            <w:r>
              <w:rPr>
                <w:rFonts w:hint="eastAsia" w:ascii="Times New Roman" w:hAnsi="Times New Roman" w:cs="Times New Roman"/>
                <w:szCs w:val="22"/>
                <w:lang w:val="en-US" w:eastAsia="zh-CN"/>
              </w:rPr>
              <w:t>和</w:t>
            </w:r>
            <w:r>
              <w:rPr>
                <w:rFonts w:hint="default" w:ascii="Times New Roman" w:hAnsi="Times New Roman" w:cs="Times New Roman"/>
                <w:color w:val="auto"/>
                <w:szCs w:val="21"/>
                <w:lang w:val="en-US" w:eastAsia="zh-CN"/>
              </w:rPr>
              <w:t>C4220非金属废料和碎屑加工处理</w:t>
            </w:r>
            <w:r>
              <w:rPr>
                <w:rFonts w:hint="eastAsia" w:ascii="Times New Roman" w:hAnsi="Times New Roman" w:cs="Times New Roman"/>
                <w:szCs w:val="22"/>
                <w:lang w:eastAsia="zh-CN"/>
              </w:rPr>
              <w:t>”</w:t>
            </w:r>
            <w:r>
              <w:rPr>
                <w:rFonts w:hint="default" w:ascii="Times New Roman" w:hAnsi="Times New Roman" w:cs="Times New Roman"/>
                <w:szCs w:val="22"/>
              </w:rPr>
              <w:t>。</w:t>
            </w:r>
            <w:r>
              <w:rPr>
                <w:rFonts w:hint="eastAsia" w:ascii="Times New Roman" w:hAnsi="Times New Roman" w:cs="Times New Roman"/>
                <w:color w:val="auto"/>
                <w:szCs w:val="24"/>
                <w:highlight w:val="none"/>
                <w:lang w:val="en-US" w:eastAsia="zh-CN"/>
              </w:rPr>
              <w:t>根据</w:t>
            </w:r>
            <w:r>
              <w:rPr>
                <w:rFonts w:hint="default" w:ascii="Times New Roman" w:hAnsi="Times New Roman" w:cs="Times New Roman"/>
                <w:color w:val="auto"/>
                <w:szCs w:val="24"/>
                <w:highlight w:val="none"/>
              </w:rPr>
              <w:t>《产业结构调整指导目录（20</w:t>
            </w:r>
            <w:r>
              <w:rPr>
                <w:rFonts w:hint="eastAsia" w:ascii="Times New Roman" w:hAnsi="Times New Roman" w:cs="Times New Roman"/>
                <w:color w:val="auto"/>
                <w:szCs w:val="24"/>
                <w:highlight w:val="none"/>
                <w:lang w:val="en-US" w:eastAsia="zh-CN"/>
              </w:rPr>
              <w:t>24</w:t>
            </w:r>
            <w:r>
              <w:rPr>
                <w:rFonts w:hint="default" w:ascii="Times New Roman" w:hAnsi="Times New Roman" w:cs="Times New Roman"/>
                <w:color w:val="auto"/>
                <w:szCs w:val="24"/>
                <w:highlight w:val="none"/>
              </w:rPr>
              <w:t>年本）》</w:t>
            </w:r>
            <w:r>
              <w:rPr>
                <w:rFonts w:hint="eastAsia" w:ascii="Times New Roman" w:hAnsi="Times New Roman" w:cs="Times New Roman"/>
                <w:szCs w:val="22"/>
                <w:lang w:eastAsia="zh-CN"/>
              </w:rPr>
              <w:t>C2926塑料包装箱及容器制造</w:t>
            </w:r>
            <w:r>
              <w:rPr>
                <w:rFonts w:hint="eastAsia" w:ascii="Times New Roman" w:hAnsi="Times New Roman" w:cs="Times New Roman"/>
                <w:szCs w:val="22"/>
                <w:lang w:val="en-US" w:eastAsia="zh-CN"/>
              </w:rPr>
              <w:t>不属于目录</w:t>
            </w:r>
            <w:r>
              <w:rPr>
                <w:rFonts w:hint="default" w:ascii="Times New Roman" w:hAnsi="Times New Roman" w:cs="Times New Roman"/>
                <w:color w:val="auto"/>
                <w:szCs w:val="24"/>
                <w:highlight w:val="none"/>
              </w:rPr>
              <w:t>中的</w:t>
            </w:r>
            <w:r>
              <w:rPr>
                <w:rFonts w:hint="default" w:ascii="Times New Roman" w:hAnsi="Times New Roman" w:cs="Times New Roman"/>
                <w:bCs/>
                <w:color w:val="auto"/>
                <w:kern w:val="0"/>
                <w:szCs w:val="24"/>
                <w:highlight w:val="none"/>
              </w:rPr>
              <w:t>“限制类</w:t>
            </w:r>
            <w:r>
              <w:rPr>
                <w:rFonts w:hint="eastAsia" w:ascii="Times New Roman" w:hAnsi="Times New Roman" w:cs="Times New Roman"/>
                <w:bCs/>
                <w:color w:val="auto"/>
                <w:kern w:val="0"/>
                <w:szCs w:val="24"/>
                <w:highlight w:val="none"/>
                <w:lang w:eastAsia="zh-CN"/>
              </w:rPr>
              <w:t>”“</w:t>
            </w:r>
            <w:r>
              <w:rPr>
                <w:rFonts w:hint="default" w:ascii="Times New Roman" w:hAnsi="Times New Roman" w:cs="Times New Roman"/>
                <w:bCs/>
                <w:color w:val="auto"/>
                <w:kern w:val="0"/>
                <w:szCs w:val="24"/>
                <w:highlight w:val="none"/>
              </w:rPr>
              <w:t>淘汰</w:t>
            </w:r>
            <w:r>
              <w:rPr>
                <w:rFonts w:hint="eastAsia" w:ascii="Times New Roman" w:hAnsi="Times New Roman" w:cs="Times New Roman"/>
                <w:bCs/>
                <w:color w:val="auto"/>
                <w:kern w:val="0"/>
                <w:szCs w:val="24"/>
                <w:highlight w:val="none"/>
                <w:lang w:val="en-US" w:eastAsia="zh-CN"/>
              </w:rPr>
              <w:t>类</w:t>
            </w:r>
            <w:r>
              <w:rPr>
                <w:rFonts w:hint="default" w:ascii="Times New Roman" w:hAnsi="Times New Roman" w:cs="Times New Roman"/>
                <w:bCs/>
                <w:color w:val="auto"/>
                <w:kern w:val="0"/>
                <w:szCs w:val="24"/>
                <w:highlight w:val="none"/>
              </w:rPr>
              <w:t>”和“鼓励类”</w:t>
            </w:r>
            <w:r>
              <w:rPr>
                <w:rFonts w:hint="eastAsia" w:ascii="Times New Roman" w:hAnsi="Times New Roman" w:cs="Times New Roman"/>
                <w:bCs/>
                <w:color w:val="auto"/>
                <w:kern w:val="0"/>
                <w:szCs w:val="24"/>
                <w:highlight w:val="none"/>
                <w:lang w:eastAsia="zh-CN"/>
              </w:rPr>
              <w:t>，</w:t>
            </w:r>
            <w:r>
              <w:rPr>
                <w:rFonts w:hint="eastAsia" w:ascii="Times New Roman" w:hAnsi="Times New Roman" w:cs="Times New Roman"/>
                <w:bCs/>
                <w:color w:val="auto"/>
                <w:kern w:val="0"/>
                <w:szCs w:val="24"/>
                <w:highlight w:val="none"/>
                <w:lang w:val="en-US" w:eastAsia="zh-CN"/>
              </w:rPr>
              <w:t>可视为允许类</w:t>
            </w:r>
            <w:r>
              <w:rPr>
                <w:rFonts w:hint="default" w:ascii="Times New Roman" w:hAnsi="Times New Roman" w:cs="Times New Roman"/>
                <w:bCs/>
                <w:color w:val="auto"/>
                <w:kern w:val="0"/>
                <w:szCs w:val="24"/>
                <w:highlight w:val="none"/>
              </w:rPr>
              <w:t>。</w:t>
            </w:r>
            <w:r>
              <w:rPr>
                <w:rFonts w:hint="default" w:ascii="Times New Roman" w:hAnsi="Times New Roman" w:cs="Times New Roman"/>
                <w:color w:val="auto"/>
                <w:szCs w:val="21"/>
                <w:lang w:val="en-US" w:eastAsia="zh-CN"/>
              </w:rPr>
              <w:t>C4220非金属废料和碎屑加工处理</w:t>
            </w:r>
            <w:r>
              <w:rPr>
                <w:rFonts w:hint="eastAsia" w:ascii="Times New Roman" w:hAnsi="Times New Roman" w:cs="Times New Roman"/>
                <w:color w:val="auto"/>
                <w:szCs w:val="21"/>
                <w:lang w:val="en-US" w:eastAsia="zh-CN"/>
              </w:rPr>
              <w:t>属于</w:t>
            </w:r>
            <w:r>
              <w:rPr>
                <w:rFonts w:hint="default" w:ascii="Times New Roman" w:hAnsi="Times New Roman" w:cs="Times New Roman"/>
                <w:color w:val="auto"/>
                <w:sz w:val="24"/>
                <w:szCs w:val="22"/>
                <w:lang w:eastAsia="zh-CN"/>
              </w:rPr>
              <w:t>鼓励类</w:t>
            </w:r>
            <w:r>
              <w:rPr>
                <w:rFonts w:hint="default" w:ascii="Times New Roman" w:hAnsi="Times New Roman" w:cs="Times New Roman"/>
                <w:color w:val="auto"/>
                <w:sz w:val="24"/>
                <w:szCs w:val="22"/>
              </w:rPr>
              <w:t>中的</w:t>
            </w:r>
            <w:r>
              <w:rPr>
                <w:rFonts w:hint="default" w:ascii="Times New Roman" w:hAnsi="Times New Roman" w:cs="Times New Roman"/>
                <w:color w:val="auto"/>
                <w:sz w:val="24"/>
                <w:szCs w:val="22"/>
                <w:lang w:eastAsia="zh-CN"/>
              </w:rPr>
              <w:t>“四十三、环境保护与资源节约综合利用</w:t>
            </w:r>
            <w:r>
              <w:rPr>
                <w:rFonts w:hint="eastAsia" w:ascii="Times New Roman" w:hAnsi="Times New Roman" w:cs="Times New Roman"/>
                <w:color w:val="auto"/>
                <w:sz w:val="24"/>
                <w:szCs w:val="22"/>
                <w:lang w:val="en-US" w:eastAsia="zh-CN"/>
              </w:rPr>
              <w:t xml:space="preserve">  8.</w:t>
            </w:r>
            <w:r>
              <w:rPr>
                <w:rFonts w:hint="default" w:ascii="Times New Roman" w:hAnsi="Times New Roman" w:cs="Times New Roman"/>
                <w:color w:val="auto"/>
                <w:sz w:val="24"/>
                <w:szCs w:val="22"/>
                <w:lang w:eastAsia="zh-CN"/>
              </w:rPr>
              <w:t>废弃物循环利用”</w:t>
            </w:r>
            <w:r>
              <w:rPr>
                <w:rFonts w:hint="default" w:ascii="Times New Roman" w:hAnsi="Times New Roman" w:cs="Times New Roman"/>
                <w:color w:val="auto"/>
                <w:lang w:eastAsia="zh-CN"/>
              </w:rPr>
              <w:t>。</w:t>
            </w:r>
            <w:r>
              <w:rPr>
                <w:rFonts w:hint="default" w:ascii="Times New Roman" w:hAnsi="Times New Roman" w:cs="Times New Roman"/>
                <w:bCs/>
                <w:color w:val="auto"/>
                <w:kern w:val="0"/>
                <w:szCs w:val="24"/>
                <w:highlight w:val="none"/>
              </w:rPr>
              <w:t>因此，本项目的建设符合国家产业政策。</w:t>
            </w:r>
          </w:p>
          <w:p>
            <w:pPr>
              <w:pStyle w:val="66"/>
              <w:ind w:firstLine="480"/>
              <w:jc w:val="both"/>
              <w:rPr>
                <w:rFonts w:hint="default" w:ascii="Times New Roman" w:hAnsi="Times New Roman" w:cs="Times New Roman"/>
              </w:rPr>
            </w:pPr>
            <w:r>
              <w:rPr>
                <w:rFonts w:hint="default" w:ascii="Times New Roman" w:hAnsi="Times New Roman" w:cs="Times New Roman"/>
              </w:rPr>
              <w:t>202</w:t>
            </w:r>
            <w:r>
              <w:rPr>
                <w:rFonts w:hint="eastAsia" w:ascii="Times New Roman" w:hAnsi="Times New Roman" w:cs="Times New Roman"/>
                <w:lang w:val="en-US" w:eastAsia="zh-CN"/>
              </w:rPr>
              <w:t>4</w:t>
            </w:r>
            <w:r>
              <w:rPr>
                <w:rFonts w:hint="default" w:ascii="Times New Roman" w:hAnsi="Times New Roman" w:cs="Times New Roman"/>
              </w:rPr>
              <w:t>年</w:t>
            </w:r>
            <w:r>
              <w:rPr>
                <w:rFonts w:hint="eastAsia" w:ascii="Times New Roman" w:hAnsi="Times New Roman" w:cs="Times New Roman"/>
                <w:lang w:val="en-US" w:eastAsia="zh-CN"/>
              </w:rPr>
              <w:t>5</w:t>
            </w:r>
            <w:r>
              <w:rPr>
                <w:rFonts w:hint="default" w:ascii="Times New Roman" w:hAnsi="Times New Roman" w:cs="Times New Roman"/>
              </w:rPr>
              <w:t>月</w:t>
            </w:r>
            <w:r>
              <w:rPr>
                <w:rFonts w:hint="eastAsia" w:ascii="Times New Roman" w:hAnsi="Times New Roman" w:cs="Times New Roman"/>
                <w:lang w:val="en-US" w:eastAsia="zh-CN"/>
              </w:rPr>
              <w:t>15</w:t>
            </w:r>
            <w:r>
              <w:rPr>
                <w:rFonts w:hint="default" w:ascii="Times New Roman" w:hAnsi="Times New Roman" w:cs="Times New Roman"/>
              </w:rPr>
              <w:t>日蓬溪县行政审批局以</w:t>
            </w:r>
            <w:r>
              <w:rPr>
                <w:rFonts w:hint="eastAsia" w:ascii="Times New Roman" w:hAnsi="Times New Roman" w:cs="Times New Roman"/>
                <w:lang w:eastAsia="zh-CN"/>
              </w:rPr>
              <w:t>川投资备【2405-510921-99-01-522135】FGQB-0110 号</w:t>
            </w:r>
            <w:r>
              <w:rPr>
                <w:rFonts w:hint="default" w:ascii="Times New Roman" w:hAnsi="Times New Roman" w:cs="Times New Roman"/>
              </w:rPr>
              <w:t>项目备案表对本项目进行了备案支持（附件2）。</w:t>
            </w:r>
          </w:p>
          <w:p>
            <w:pPr>
              <w:pStyle w:val="66"/>
              <w:ind w:firstLine="482"/>
              <w:rPr>
                <w:rFonts w:hint="default" w:ascii="Times New Roman" w:hAnsi="Times New Roman" w:cs="Times New Roman"/>
                <w:b/>
                <w:bCs/>
                <w:lang w:val="zh-CN"/>
              </w:rPr>
            </w:pPr>
            <w:r>
              <w:rPr>
                <w:rFonts w:hint="default" w:ascii="Times New Roman" w:hAnsi="Times New Roman" w:cs="Times New Roman"/>
                <w:b/>
                <w:bCs/>
                <w:lang w:val="zh-CN"/>
              </w:rPr>
              <w:t>（</w:t>
            </w:r>
            <w:r>
              <w:rPr>
                <w:rFonts w:hint="default" w:ascii="Times New Roman" w:hAnsi="Times New Roman" w:cs="Times New Roman"/>
                <w:b/>
                <w:bCs/>
              </w:rPr>
              <w:t>2</w:t>
            </w:r>
            <w:r>
              <w:rPr>
                <w:rFonts w:hint="default" w:ascii="Times New Roman" w:hAnsi="Times New Roman" w:cs="Times New Roman"/>
                <w:b/>
                <w:bCs/>
                <w:lang w:val="zh-CN"/>
              </w:rPr>
              <w:t>）与《长江经济带发展负面指南试行（</w:t>
            </w:r>
            <w:r>
              <w:rPr>
                <w:rFonts w:hint="default" w:ascii="Times New Roman" w:hAnsi="Times New Roman" w:cs="Times New Roman"/>
                <w:b/>
                <w:bCs/>
              </w:rPr>
              <w:t>2022版</w:t>
            </w:r>
            <w:r>
              <w:rPr>
                <w:rFonts w:hint="default" w:ascii="Times New Roman" w:hAnsi="Times New Roman" w:cs="Times New Roman"/>
                <w:b/>
                <w:bCs/>
                <w:lang w:val="zh-CN"/>
              </w:rPr>
              <w:t>）》符合性分析</w:t>
            </w:r>
          </w:p>
          <w:p>
            <w:pPr>
              <w:pStyle w:val="66"/>
              <w:ind w:firstLine="480"/>
              <w:rPr>
                <w:rFonts w:hint="eastAsia" w:ascii="宋体" w:hAnsi="宋体" w:eastAsia="宋体" w:cs="宋体"/>
                <w:color w:val="auto"/>
                <w:lang w:val="zh-CN"/>
              </w:rPr>
            </w:pPr>
            <w:r>
              <w:rPr>
                <w:rFonts w:hint="eastAsia" w:ascii="宋体" w:hAnsi="宋体" w:eastAsia="宋体" w:cs="宋体"/>
                <w:color w:val="auto"/>
              </w:rPr>
              <w:t>20</w:t>
            </w:r>
            <w:r>
              <w:rPr>
                <w:rFonts w:hint="eastAsia" w:ascii="宋体" w:hAnsi="宋体" w:eastAsia="宋体" w:cs="宋体"/>
                <w:color w:val="auto"/>
                <w:lang w:val="en-US" w:eastAsia="zh-CN"/>
              </w:rPr>
              <w:t>22</w:t>
            </w:r>
            <w:r>
              <w:rPr>
                <w:rFonts w:hint="eastAsia" w:ascii="宋体" w:hAnsi="宋体" w:eastAsia="宋体" w:cs="宋体"/>
                <w:color w:val="auto"/>
              </w:rPr>
              <w:t>年</w:t>
            </w:r>
            <w:r>
              <w:rPr>
                <w:rFonts w:hint="eastAsia" w:ascii="宋体" w:hAnsi="宋体" w:eastAsia="宋体" w:cs="宋体"/>
                <w:color w:val="auto"/>
                <w:lang w:val="en-US" w:eastAsia="zh-CN"/>
              </w:rPr>
              <w:t>1</w:t>
            </w:r>
            <w:r>
              <w:rPr>
                <w:rFonts w:hint="eastAsia" w:ascii="宋体" w:hAnsi="宋体" w:eastAsia="宋体" w:cs="宋体"/>
                <w:color w:val="auto"/>
              </w:rPr>
              <w:t>月2</w:t>
            </w:r>
            <w:r>
              <w:rPr>
                <w:rFonts w:hint="eastAsia" w:ascii="宋体" w:hAnsi="宋体" w:eastAsia="宋体" w:cs="宋体"/>
                <w:color w:val="auto"/>
                <w:lang w:val="en-US" w:eastAsia="zh-CN"/>
              </w:rPr>
              <w:t>9</w:t>
            </w:r>
            <w:r>
              <w:rPr>
                <w:rFonts w:hint="eastAsia" w:ascii="宋体" w:hAnsi="宋体" w:eastAsia="宋体" w:cs="宋体"/>
                <w:color w:val="auto"/>
              </w:rPr>
              <w:t>日推动长江经济带发展领导小组</w:t>
            </w:r>
            <w:r>
              <w:rPr>
                <w:rFonts w:hint="eastAsia" w:ascii="宋体" w:hAnsi="宋体" w:eastAsia="宋体" w:cs="宋体"/>
                <w:color w:val="auto"/>
                <w:lang w:eastAsia="zh-CN"/>
              </w:rPr>
              <w:t>办公室</w:t>
            </w:r>
            <w:r>
              <w:rPr>
                <w:rFonts w:hint="eastAsia" w:ascii="宋体" w:hAnsi="宋体" w:eastAsia="宋体" w:cs="宋体"/>
                <w:color w:val="auto"/>
              </w:rPr>
              <w:t>发布了</w:t>
            </w:r>
            <w:r>
              <w:rPr>
                <w:rFonts w:hint="eastAsia" w:ascii="宋体" w:hAnsi="宋体" w:eastAsia="宋体" w:cs="宋体"/>
                <w:b w:val="0"/>
                <w:bCs w:val="0"/>
                <w:color w:val="auto"/>
                <w:lang w:val="zh-CN"/>
              </w:rPr>
              <w:t>《长江经济带发展负面指南试行（</w:t>
            </w:r>
            <w:r>
              <w:rPr>
                <w:rFonts w:hint="eastAsia" w:ascii="宋体" w:hAnsi="宋体" w:eastAsia="宋体" w:cs="宋体"/>
                <w:b w:val="0"/>
                <w:bCs w:val="0"/>
                <w:color w:val="auto"/>
                <w:lang w:val="en-US" w:eastAsia="zh-CN"/>
              </w:rPr>
              <w:t>2022版</w:t>
            </w:r>
            <w:r>
              <w:rPr>
                <w:rFonts w:hint="eastAsia" w:ascii="宋体" w:hAnsi="宋体" w:eastAsia="宋体" w:cs="宋体"/>
                <w:b w:val="0"/>
                <w:bCs w:val="0"/>
                <w:color w:val="auto"/>
                <w:lang w:val="zh-CN"/>
              </w:rPr>
              <w:t>）》（长江办〔</w:t>
            </w:r>
            <w:r>
              <w:rPr>
                <w:rFonts w:hint="eastAsia" w:ascii="宋体" w:hAnsi="宋体" w:eastAsia="宋体" w:cs="宋体"/>
                <w:b w:val="0"/>
                <w:bCs w:val="0"/>
                <w:color w:val="auto"/>
              </w:rPr>
              <w:t>20</w:t>
            </w:r>
            <w:r>
              <w:rPr>
                <w:rFonts w:hint="eastAsia" w:ascii="宋体" w:hAnsi="宋体" w:eastAsia="宋体" w:cs="宋体"/>
                <w:b w:val="0"/>
                <w:bCs w:val="0"/>
                <w:color w:val="auto"/>
                <w:lang w:val="en-US" w:eastAsia="zh-CN"/>
              </w:rPr>
              <w:t>22</w:t>
            </w:r>
            <w:r>
              <w:rPr>
                <w:rFonts w:hint="eastAsia" w:ascii="宋体" w:hAnsi="宋体" w:eastAsia="宋体" w:cs="宋体"/>
                <w:b w:val="0"/>
                <w:bCs w:val="0"/>
                <w:color w:val="auto"/>
                <w:lang w:val="zh-CN"/>
              </w:rPr>
              <w:t>〕</w:t>
            </w:r>
            <w:r>
              <w:rPr>
                <w:rFonts w:hint="eastAsia" w:ascii="宋体" w:hAnsi="宋体" w:eastAsia="宋体" w:cs="宋体"/>
                <w:b w:val="0"/>
                <w:bCs w:val="0"/>
                <w:color w:val="auto"/>
                <w:lang w:val="en-US" w:eastAsia="zh-CN"/>
              </w:rPr>
              <w:t>7</w:t>
            </w:r>
            <w:r>
              <w:rPr>
                <w:rFonts w:hint="eastAsia" w:ascii="宋体" w:hAnsi="宋体" w:eastAsia="宋体" w:cs="宋体"/>
                <w:b w:val="0"/>
                <w:bCs w:val="0"/>
                <w:color w:val="auto"/>
              </w:rPr>
              <w:t>号</w:t>
            </w:r>
            <w:r>
              <w:rPr>
                <w:rFonts w:hint="eastAsia" w:ascii="宋体" w:hAnsi="宋体" w:eastAsia="宋体" w:cs="宋体"/>
                <w:b w:val="0"/>
                <w:bCs w:val="0"/>
                <w:color w:val="auto"/>
                <w:lang w:val="zh-CN"/>
              </w:rPr>
              <w:t>）</w:t>
            </w:r>
            <w:r>
              <w:rPr>
                <w:rFonts w:hint="eastAsia" w:ascii="宋体" w:hAnsi="宋体" w:eastAsia="宋体" w:cs="宋体"/>
                <w:b w:val="0"/>
                <w:bCs w:val="0"/>
                <w:color w:val="000000"/>
                <w:lang w:val="en-US" w:eastAsia="zh-CN"/>
              </w:rPr>
              <w:t>，2022年8月25日四川省及重庆市推动长江经济带发展领导小组办公室发布了</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四川省、重庆市</w:t>
            </w:r>
            <w:r>
              <w:rPr>
                <w:rFonts w:hint="eastAsia" w:ascii="宋体" w:hAnsi="宋体" w:eastAsia="宋体" w:cs="宋体"/>
                <w:b w:val="0"/>
                <w:bCs w:val="0"/>
                <w:color w:val="000000"/>
                <w:lang w:val="zh-CN"/>
              </w:rPr>
              <w:t>长江经济带发展负面</w:t>
            </w:r>
            <w:r>
              <w:rPr>
                <w:rFonts w:hint="eastAsia" w:ascii="宋体" w:hAnsi="宋体" w:eastAsia="宋体" w:cs="宋体"/>
                <w:b w:val="0"/>
                <w:bCs w:val="0"/>
                <w:color w:val="000000"/>
                <w:lang w:val="en-US" w:eastAsia="zh-CN"/>
              </w:rPr>
              <w:t>清单实施细则</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试行，</w:t>
            </w:r>
            <w:r>
              <w:rPr>
                <w:rFonts w:hint="eastAsia" w:ascii="宋体" w:hAnsi="宋体" w:eastAsia="宋体" w:cs="宋体"/>
                <w:b w:val="0"/>
                <w:bCs w:val="0"/>
                <w:color w:val="000000"/>
              </w:rPr>
              <w:t>2022版</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川长江办</w:t>
            </w:r>
            <w:r>
              <w:rPr>
                <w:rFonts w:hint="eastAsia" w:ascii="宋体" w:hAnsi="宋体" w:eastAsia="宋体" w:cs="宋体"/>
                <w:b w:val="0"/>
                <w:bCs w:val="0"/>
                <w:color w:val="000000"/>
                <w:lang w:val="zh-CN"/>
              </w:rPr>
              <w:t>〔</w:t>
            </w:r>
            <w:r>
              <w:rPr>
                <w:rFonts w:hint="eastAsia" w:ascii="宋体" w:hAnsi="宋体" w:eastAsia="宋体" w:cs="宋体"/>
                <w:b w:val="0"/>
                <w:bCs w:val="0"/>
                <w:color w:val="000000"/>
              </w:rPr>
              <w:t>2022</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1</w:t>
            </w:r>
            <w:r>
              <w:rPr>
                <w:rFonts w:hint="eastAsia" w:ascii="宋体" w:hAnsi="宋体" w:eastAsia="宋体" w:cs="宋体"/>
                <w:b w:val="0"/>
                <w:bCs w:val="0"/>
                <w:color w:val="000000"/>
              </w:rPr>
              <w:t>7号</w:t>
            </w:r>
            <w:r>
              <w:rPr>
                <w:rFonts w:hint="eastAsia" w:ascii="宋体" w:hAnsi="宋体" w:eastAsia="宋体" w:cs="宋体"/>
                <w:b w:val="0"/>
                <w:bCs w:val="0"/>
                <w:color w:val="000000"/>
                <w:lang w:val="zh-CN"/>
              </w:rPr>
              <w:t>）</w:t>
            </w:r>
            <w:r>
              <w:rPr>
                <w:rFonts w:hint="eastAsia" w:ascii="宋体" w:hAnsi="宋体" w:eastAsia="宋体" w:cs="宋体"/>
                <w:color w:val="auto"/>
                <w:lang w:val="zh-CN"/>
              </w:rPr>
              <w:t>。根据文件精神，本项目符合性分析如下：</w:t>
            </w:r>
          </w:p>
          <w:p>
            <w:pPr>
              <w:jc w:val="center"/>
              <w:rPr>
                <w:rFonts w:hint="default" w:ascii="Times New Roman" w:hAnsi="Times New Roman" w:cs="Times New Roman"/>
                <w:b/>
                <w:bCs/>
                <w:sz w:val="24"/>
                <w:lang w:val="zh-CN"/>
              </w:rPr>
            </w:pPr>
            <w:r>
              <w:rPr>
                <w:rFonts w:hint="default" w:ascii="Times New Roman" w:hAnsi="Times New Roman" w:cs="Times New Roman"/>
                <w:b/>
                <w:bCs/>
                <w:sz w:val="24"/>
                <w:lang w:val="zh-CN"/>
              </w:rPr>
              <w:t>表1-2 项目与《长江经济带发展负面指南试行（2022版）符合性分析</w:t>
            </w:r>
          </w:p>
          <w:tbl>
            <w:tblPr>
              <w:tblStyle w:val="24"/>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59"/>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359" w:type="dxa"/>
                  <w:noWrap w:val="0"/>
                  <w:vAlign w:val="center"/>
                </w:tcPr>
                <w:p>
                  <w:pPr>
                    <w:pStyle w:val="66"/>
                    <w:spacing w:line="36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政策要求</w:t>
                  </w:r>
                </w:p>
              </w:tc>
              <w:tc>
                <w:tcPr>
                  <w:tcW w:w="2145" w:type="dxa"/>
                  <w:noWrap w:val="0"/>
                  <w:vAlign w:val="top"/>
                </w:tcPr>
                <w:p>
                  <w:pPr>
                    <w:pStyle w:val="66"/>
                    <w:spacing w:line="36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本项目情况及符合性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禁止建设不符合全国和省级港口布局规划以及港口总体规划的码头项目，禁止建设不符合《长江干线过江通道布局规划》的过江通道项目。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禁止未经许可在长江</w:t>
                  </w:r>
                  <w:r>
                    <w:rPr>
                      <w:rFonts w:hint="eastAsia" w:ascii="Times New Roman" w:hAnsi="Times New Roman" w:cs="Times New Roman"/>
                      <w:sz w:val="21"/>
                      <w:szCs w:val="21"/>
                      <w:lang w:eastAsia="zh-CN"/>
                    </w:rPr>
                    <w:t>干支流</w:t>
                  </w:r>
                  <w:r>
                    <w:rPr>
                      <w:rFonts w:hint="default" w:ascii="Times New Roman" w:hAnsi="Times New Roman" w:cs="Times New Roman"/>
                      <w:sz w:val="21"/>
                      <w:szCs w:val="21"/>
                    </w:rPr>
                    <w:t>及湖泊新设、改设或扩大排污口。</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禁止在“一江一口两湖七河”和332个水生生物保护区开展生产性捕捞。</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禁止在长江</w:t>
                  </w:r>
                  <w:r>
                    <w:rPr>
                      <w:rFonts w:hint="eastAsia" w:ascii="Times New Roman" w:hAnsi="Times New Roman" w:cs="Times New Roman"/>
                      <w:sz w:val="21"/>
                      <w:szCs w:val="21"/>
                      <w:lang w:eastAsia="zh-CN"/>
                    </w:rPr>
                    <w:t>干支流</w:t>
                  </w:r>
                  <w:r>
                    <w:rPr>
                      <w:rFonts w:hint="default" w:ascii="Times New Roman" w:hAnsi="Times New Roman" w:cs="Times New Roman"/>
                      <w:sz w:val="21"/>
                      <w:szCs w:val="21"/>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禁止在合规园区外新建、扩建钢铁、石化、化工、焦化、建材、有色、制浆造纸等高污染项目。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不属于高污染行业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禁止新建、扩建不符合国家石化、现代煤化工等产业布局规划的项目。</w:t>
                  </w:r>
                </w:p>
              </w:tc>
              <w:tc>
                <w:tcPr>
                  <w:tcW w:w="2145" w:type="dxa"/>
                  <w:noWrap w:val="0"/>
                  <w:vAlign w:val="center"/>
                </w:tcPr>
                <w:p>
                  <w:pPr>
                    <w:pStyle w:val="66"/>
                    <w:spacing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59" w:type="dxa"/>
                  <w:noWrap w:val="0"/>
                  <w:vAlign w:val="top"/>
                </w:tcPr>
                <w:p>
                  <w:pPr>
                    <w:pStyle w:val="66"/>
                    <w:spacing w:line="360" w:lineRule="auto"/>
                    <w:ind w:firstLine="480"/>
                    <w:rPr>
                      <w:rFonts w:hint="default" w:ascii="Times New Roman" w:hAnsi="Times New Roman" w:cs="Times New Roman"/>
                      <w:sz w:val="21"/>
                      <w:szCs w:val="21"/>
                    </w:rPr>
                  </w:pPr>
                  <w:r>
                    <w:rPr>
                      <w:rFonts w:hint="default" w:ascii="Times New Roman" w:hAnsi="Times New Roman" w:cs="Times New Roman"/>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145" w:type="dxa"/>
                  <w:noWrap w:val="0"/>
                  <w:vAlign w:val="center"/>
                </w:tcPr>
                <w:p>
                  <w:pPr>
                    <w:pStyle w:val="66"/>
                    <w:spacing w:line="36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本项目</w:t>
                  </w:r>
                  <w:r>
                    <w:rPr>
                      <w:rFonts w:hint="default" w:ascii="Times New Roman" w:hAnsi="Times New Roman" w:cs="Times New Roman"/>
                      <w:sz w:val="21"/>
                      <w:szCs w:val="21"/>
                      <w:lang w:val="en-US" w:eastAsia="zh-CN"/>
                    </w:rPr>
                    <w:t>不属于淘汰的落后产能</w:t>
                  </w:r>
                </w:p>
              </w:tc>
            </w:tr>
          </w:tbl>
          <w:p>
            <w:pPr>
              <w:pStyle w:val="66"/>
              <w:ind w:firstLine="480"/>
              <w:rPr>
                <w:rFonts w:hint="default" w:ascii="Times New Roman" w:hAnsi="Times New Roman" w:cs="Times New Roman"/>
                <w:lang w:val="zh-CN"/>
              </w:rPr>
            </w:pPr>
            <w:r>
              <w:rPr>
                <w:rFonts w:hint="default" w:ascii="Times New Roman" w:hAnsi="Times New Roman" w:cs="Times New Roman"/>
              </w:rPr>
              <w:t>根据以上分析，</w:t>
            </w:r>
            <w:r>
              <w:rPr>
                <w:rFonts w:hint="default" w:ascii="Times New Roman" w:hAnsi="Times New Roman" w:cs="Times New Roman"/>
                <w:lang w:val="zh-CN"/>
              </w:rPr>
              <w:t>本项目的建设符合《长江经济带发展负面指南试行（</w:t>
            </w:r>
            <w:r>
              <w:rPr>
                <w:rFonts w:hint="default" w:ascii="Times New Roman" w:hAnsi="Times New Roman" w:cs="Times New Roman"/>
              </w:rPr>
              <w:t>2022版</w:t>
            </w:r>
            <w:r>
              <w:rPr>
                <w:rFonts w:hint="default" w:ascii="Times New Roman" w:hAnsi="Times New Roman" w:cs="Times New Roman"/>
                <w:lang w:val="zh-CN"/>
              </w:rPr>
              <w:t>）》（长江办〔</w:t>
            </w:r>
            <w:r>
              <w:rPr>
                <w:rFonts w:hint="default" w:ascii="Times New Roman" w:hAnsi="Times New Roman" w:cs="Times New Roman"/>
              </w:rPr>
              <w:t>2022</w:t>
            </w:r>
            <w:r>
              <w:rPr>
                <w:rFonts w:hint="default" w:ascii="Times New Roman" w:hAnsi="Times New Roman" w:cs="Times New Roman"/>
                <w:lang w:val="zh-CN"/>
              </w:rPr>
              <w:t>〕</w:t>
            </w:r>
            <w:r>
              <w:rPr>
                <w:rFonts w:hint="default" w:ascii="Times New Roman" w:hAnsi="Times New Roman" w:cs="Times New Roman"/>
              </w:rPr>
              <w:t>7号</w:t>
            </w:r>
            <w:r>
              <w:rPr>
                <w:rFonts w:hint="default" w:ascii="Times New Roman" w:hAnsi="Times New Roman" w:cs="Times New Roman"/>
                <w:lang w:val="zh-CN"/>
              </w:rPr>
              <w:t>）的政策要求。</w:t>
            </w:r>
          </w:p>
          <w:p>
            <w:pPr>
              <w:jc w:val="center"/>
              <w:rPr>
                <w:rFonts w:hint="eastAsia" w:ascii="宋体" w:hAnsi="宋体" w:eastAsia="宋体" w:cs="宋体"/>
                <w:b/>
                <w:bCs/>
                <w:color w:val="000000"/>
                <w:sz w:val="24"/>
                <w:szCs w:val="24"/>
                <w:lang w:val="zh-CN"/>
              </w:rPr>
            </w:pPr>
            <w:r>
              <w:rPr>
                <w:rFonts w:hint="eastAsia" w:ascii="宋体" w:hAnsi="宋体" w:eastAsia="宋体" w:cs="宋体"/>
                <w:b/>
                <w:bCs/>
                <w:color w:val="000000"/>
                <w:sz w:val="24"/>
                <w:szCs w:val="24"/>
                <w:lang w:val="zh-CN"/>
              </w:rPr>
              <w:t>表1-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lang w:val="zh-CN"/>
              </w:rPr>
              <w:t>项目与</w:t>
            </w:r>
            <w:r>
              <w:rPr>
                <w:rFonts w:hint="eastAsia" w:ascii="宋体" w:hAnsi="宋体" w:cs="宋体"/>
                <w:b/>
                <w:bCs/>
                <w:color w:val="000000"/>
                <w:sz w:val="24"/>
                <w:szCs w:val="24"/>
                <w:lang w:val="zh-CN"/>
              </w:rPr>
              <w:t>《</w:t>
            </w:r>
            <w:r>
              <w:rPr>
                <w:rFonts w:hint="eastAsia" w:ascii="宋体" w:hAnsi="宋体" w:eastAsia="宋体" w:cs="宋体"/>
                <w:b/>
                <w:bCs/>
                <w:color w:val="000000"/>
                <w:sz w:val="24"/>
                <w:szCs w:val="24"/>
                <w:lang w:val="zh-CN"/>
              </w:rPr>
              <w:t>四川省、重庆市长江经济带发展负面清单实施细则（试行，2022版）》符合性分析</w:t>
            </w:r>
          </w:p>
          <w:tbl>
            <w:tblPr>
              <w:tblStyle w:val="24"/>
              <w:tblW w:w="83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6"/>
              <w:gridCol w:w="1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666"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川</w:t>
                  </w:r>
                  <w:r>
                    <w:rPr>
                      <w:rFonts w:hint="eastAsia" w:ascii="宋体" w:hAnsi="宋体" w:eastAsia="宋体" w:cs="宋体"/>
                      <w:b/>
                      <w:bCs/>
                      <w:color w:val="000000"/>
                      <w:sz w:val="24"/>
                      <w:szCs w:val="24"/>
                      <w:lang w:val="zh-CN"/>
                    </w:rPr>
                    <w:t>长江办〔2022〕</w:t>
                  </w: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lang w:val="zh-CN"/>
                    </w:rPr>
                    <w:t>7号</w:t>
                  </w:r>
                  <w:r>
                    <w:rPr>
                      <w:rFonts w:hint="eastAsia" w:ascii="宋体" w:hAnsi="宋体" w:eastAsia="宋体" w:cs="宋体"/>
                      <w:b/>
                      <w:bCs/>
                      <w:color w:val="000000"/>
                      <w:sz w:val="24"/>
                      <w:szCs w:val="24"/>
                      <w:lang w:val="en-US" w:eastAsia="zh-CN"/>
                    </w:rPr>
                    <w:t>文件</w:t>
                  </w:r>
                  <w:r>
                    <w:rPr>
                      <w:rFonts w:hint="eastAsia" w:ascii="宋体" w:hAnsi="宋体" w:eastAsia="宋体" w:cs="宋体"/>
                      <w:b/>
                      <w:bCs/>
                      <w:color w:val="000000"/>
                      <w:sz w:val="24"/>
                      <w:szCs w:val="24"/>
                    </w:rPr>
                    <w:t>要求</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本项目</w:t>
                  </w:r>
                  <w:r>
                    <w:rPr>
                      <w:rFonts w:hint="eastAsia" w:ascii="宋体" w:hAnsi="宋体" w:eastAsia="宋体" w:cs="宋体"/>
                      <w:b/>
                      <w:bCs/>
                      <w:color w:val="000000"/>
                      <w:sz w:val="24"/>
                      <w:szCs w:val="24"/>
                      <w:lang w:val="en-US" w:eastAsia="zh-CN"/>
                    </w:rPr>
                    <w:t>衔接情况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第五条</w:t>
                  </w:r>
                  <w:r>
                    <w:rPr>
                      <w:rFonts w:hint="eastAsia" w:ascii="宋体" w:hAnsi="宋体" w:eastAsia="宋体" w:cs="宋体"/>
                      <w:color w:val="000000"/>
                      <w:sz w:val="21"/>
                      <w:szCs w:val="21"/>
                    </w:rPr>
                    <w:t>禁止新建、改建和扩建不符合全国港口布局规划，以及《四川省内河水运发展规划》《泸州—宜宾—乐山港口群布局规划》《重庆港总体规划</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2035年</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》等省级港口布局规划及市级港口总体规划的码头项目。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第六条</w:t>
                  </w:r>
                  <w:r>
                    <w:rPr>
                      <w:rFonts w:hint="eastAsia" w:ascii="宋体" w:hAnsi="宋体" w:eastAsia="宋体" w:cs="宋体"/>
                      <w:color w:val="000000"/>
                      <w:sz w:val="21"/>
                      <w:szCs w:val="21"/>
                    </w:rPr>
                    <w:t>禁止新建、改建和扩建不符合《长江干线过江通道布局规划</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2020——2035年</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》的过长江通道项目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含桥梁、隧道</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，国家发展改革委同意过长江通道线位调整的除外。</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第七条禁止在自然保护区核心区、缓冲区的岸线和河段范围内投资建设旅游和生产经营项目。自然保护区的内部未分区的，依照核心区和缓冲区的规定管控。</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第八条禁止违反风景名胜区规划，在风景名胜区内设立各类开发区。禁止在风景名胜区核心景区的岸线和河段范围内建设宾馆、招待所、培训中心、疗养院以及与风景名</w:t>
                  </w:r>
                  <w:r>
                    <w:rPr>
                      <w:rFonts w:hint="eastAsia" w:cs="宋体"/>
                      <w:color w:val="000000"/>
                      <w:sz w:val="21"/>
                      <w:szCs w:val="21"/>
                      <w:lang w:eastAsia="zh-CN"/>
                    </w:rPr>
                    <w:t>胜区</w:t>
                  </w:r>
                  <w:r>
                    <w:rPr>
                      <w:rFonts w:hint="eastAsia" w:ascii="宋体" w:hAnsi="宋体" w:eastAsia="宋体" w:cs="宋体"/>
                      <w:color w:val="000000"/>
                      <w:sz w:val="21"/>
                      <w:szCs w:val="21"/>
                    </w:rPr>
                    <w:t>资源保护无关的项目。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第九条禁止在饮用水水源准保护区的岸线和河段范围内新建、扩建对水体污染严重的建设项目，禁止改建增加排污量的建设项目。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第十条饮用水水源二级保护区的岸线和河段范围内，除遵守准保护区规定外，禁止新建、改建、扩建排放污染物的投资建设项目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禁止从事对水体有污染的水产养殖等活动。</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第十二条禁止在水产种质资源保护区岸线和河段范围内新建围湖造田、围湖造地或挖沙采石等投资建设项目。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第十三条禁止在国家湿地公园的岸线和河段范围内开</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宋体" w:hAnsi="宋体" w:eastAsia="宋体" w:cs="宋体"/>
                      <w:color w:val="000000"/>
                      <w:sz w:val="21"/>
                      <w:szCs w:val="21"/>
                      <w:lang w:eastAsia="zh-CN"/>
                    </w:rPr>
                    <w:t>洄游</w:t>
                  </w:r>
                  <w:r>
                    <w:rPr>
                      <w:rFonts w:hint="eastAsia" w:ascii="宋体" w:hAnsi="宋体" w:eastAsia="宋体" w:cs="宋体"/>
                      <w:color w:val="000000"/>
                      <w:sz w:val="21"/>
                      <w:szCs w:val="21"/>
                    </w:rPr>
                    <w:t>通道。</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第十五条禁止在《全国重要江河湖泊水功能区划》划定的河段及湖泊保护区、保留区内投资建设不利于水资源及自然生态保护的项目。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第十六条禁止在长江流域江河、湖泊新设、改设或者扩大排污口，经有管辖权的生态环境主管部门或者长江流域生态环境监督管理机构同意的除外。</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第十七条禁止在长江干流、大渡河、岷江、赤水河、沱江、嘉陵江、乌江、汉江和51个（四川省45个、重庆市6个）水生生物保护区开展生产性捕捞。</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第十八条禁止在长江干支流、重要湖泊岸线一公里范围内新建、扩建化工园区和化工项目。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第十九条禁止在长江干流岸线三公里范围内和重要支流岸线一公里范围内新建、改建、扩建尾矿库、冶炼渣库、磷石膏库，以提升安全、生态环境保护水平为目的的改建除外。</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第二十条禁止在生态保护红线区域、永久基本农田集中区域和其他需要特别保护的区域内选址建设尾矿库﹑冶炼渣库、磷石膏库。</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第二十一条禁止在合规园区外新建、扩建钢铁、石化、化工、焦化、建材、有色、制浆造纸等高污染项目。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本项目不属于禁止建设的高污染项目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第二十二条禁止新建、扩建不符合国家石化、现代煤化工等产业布局规划的项目。</w:t>
                  </w:r>
                </w:p>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一</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严格控制新增炼油产能，未列入《石化产业规划布局方案（修订版</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》的新增炼油产能一律不得建设。</w:t>
                  </w:r>
                </w:p>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二）新建煤制烯经、煤制芳经项目必须列入《现代煤化工产业创新发展布局方案》，必须符合《现代煤化工建设项目环境准入条件（试行</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》要求。</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本项目不属于石化及煤化工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第二十三条禁止新建、扩建法律法规和相关政策明令禁止的落后产能项目。对《产业结构调整指导目录》中淘汰类项目，禁止投资</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限制类的新建项目，禁止投资，对属于限制类的现有生产能力，允许企业在一定期限内采取措施改造升级。</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宋体" w:hAnsi="宋体" w:eastAsia="宋体" w:cs="宋体"/>
                      <w:color w:val="000000"/>
                      <w:sz w:val="21"/>
                      <w:szCs w:val="21"/>
                      <w:lang w:val="en-US"/>
                    </w:rPr>
                  </w:pPr>
                  <w:r>
                    <w:rPr>
                      <w:rFonts w:hint="eastAsia" w:ascii="宋体" w:hAnsi="宋体" w:eastAsia="宋体" w:cs="宋体"/>
                      <w:color w:val="000000"/>
                      <w:sz w:val="21"/>
                      <w:szCs w:val="21"/>
                      <w:lang w:val="en-US" w:eastAsia="zh-CN"/>
                    </w:rPr>
                    <w:t>根据</w:t>
                  </w:r>
                  <w:r>
                    <w:rPr>
                      <w:rFonts w:hint="eastAsia" w:ascii="宋体" w:hAnsi="宋体" w:eastAsia="宋体" w:cs="宋体"/>
                      <w:color w:val="000000"/>
                      <w:sz w:val="21"/>
                      <w:szCs w:val="21"/>
                    </w:rPr>
                    <w:t>《产业结构调整指导目录》</w:t>
                  </w:r>
                  <w:r>
                    <w:rPr>
                      <w:rFonts w:hint="eastAsia" w:ascii="宋体" w:hAnsi="宋体" w:eastAsia="宋体" w:cs="宋体"/>
                      <w:color w:val="000000"/>
                      <w:sz w:val="21"/>
                      <w:szCs w:val="21"/>
                      <w:lang w:val="en-US" w:eastAsia="zh-CN"/>
                    </w:rPr>
                    <w:t>本项目</w:t>
                  </w:r>
                  <w:r>
                    <w:rPr>
                      <w:rFonts w:hint="eastAsia" w:cs="宋体"/>
                      <w:color w:val="000000"/>
                      <w:sz w:val="21"/>
                      <w:szCs w:val="21"/>
                      <w:lang w:val="en-US" w:eastAsia="zh-CN"/>
                    </w:rPr>
                    <w:t>废塑料回收</w:t>
                  </w:r>
                  <w:r>
                    <w:rPr>
                      <w:rFonts w:hint="eastAsia" w:ascii="宋体" w:hAnsi="宋体" w:eastAsia="宋体" w:cs="宋体"/>
                      <w:color w:val="000000"/>
                      <w:sz w:val="21"/>
                      <w:szCs w:val="21"/>
                      <w:lang w:val="en-US" w:eastAsia="zh-CN"/>
                    </w:rPr>
                    <w:t>属于</w:t>
                  </w:r>
                  <w:r>
                    <w:rPr>
                      <w:rFonts w:hint="eastAsia" w:cs="宋体"/>
                      <w:color w:val="000000"/>
                      <w:sz w:val="21"/>
                      <w:szCs w:val="21"/>
                      <w:lang w:val="en-US" w:eastAsia="zh-CN"/>
                    </w:rPr>
                    <w:t>鼓励</w:t>
                  </w:r>
                  <w:r>
                    <w:rPr>
                      <w:rFonts w:hint="eastAsia" w:ascii="宋体" w:hAnsi="宋体" w:eastAsia="宋体" w:cs="宋体"/>
                      <w:color w:val="000000"/>
                      <w:sz w:val="21"/>
                      <w:szCs w:val="21"/>
                      <w:lang w:val="en-US" w:eastAsia="zh-CN"/>
                    </w:rPr>
                    <w:t>类</w:t>
                  </w:r>
                  <w:r>
                    <w:rPr>
                      <w:rFonts w:hint="eastAsia" w:cs="宋体"/>
                      <w:color w:val="000000"/>
                      <w:sz w:val="21"/>
                      <w:szCs w:val="21"/>
                      <w:lang w:val="en-US" w:eastAsia="zh-CN"/>
                    </w:rPr>
                    <w:t>、塑料框生产属于允许类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第二十五条禁止建设以下燃油汽车投资项目（不在中国境内销售产品的投资项目除外</w:t>
                  </w:r>
                  <w:r>
                    <w:rPr>
                      <w:rFonts w:hint="eastAsia" w:ascii="宋体" w:hAnsi="宋体" w:eastAsia="宋体" w:cs="宋体"/>
                      <w:color w:val="000000"/>
                      <w:sz w:val="21"/>
                      <w:szCs w:val="21"/>
                      <w:lang w:eastAsia="zh-CN"/>
                    </w:rPr>
                    <w:t>）：</w:t>
                  </w:r>
                </w:p>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一）新建独立燃油汽车企业</w:t>
                  </w:r>
                  <w:r>
                    <w:rPr>
                      <w:rFonts w:hint="eastAsia" w:ascii="宋体" w:hAnsi="宋体" w:eastAsia="宋体" w:cs="宋体"/>
                      <w:color w:val="000000"/>
                      <w:sz w:val="21"/>
                      <w:szCs w:val="21"/>
                      <w:lang w:eastAsia="zh-CN"/>
                    </w:rPr>
                    <w:t>；</w:t>
                  </w:r>
                </w:p>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二）现有汽车企业跨乘用车、商用车类别建设燃油汽车生产能力</w:t>
                  </w:r>
                  <w:r>
                    <w:rPr>
                      <w:rFonts w:hint="eastAsia" w:ascii="宋体" w:hAnsi="宋体" w:eastAsia="宋体" w:cs="宋体"/>
                      <w:color w:val="000000"/>
                      <w:sz w:val="21"/>
                      <w:szCs w:val="21"/>
                      <w:lang w:eastAsia="zh-CN"/>
                    </w:rPr>
                    <w:t>；</w:t>
                  </w:r>
                </w:p>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三）外省现有燃油汽车企业整体搬迁至本省（列入国家级区域发展规划或不改变企业股权结构的项目除外</w:t>
                  </w:r>
                  <w:r>
                    <w:rPr>
                      <w:rFonts w:hint="eastAsia" w:ascii="宋体" w:hAnsi="宋体" w:eastAsia="宋体" w:cs="宋体"/>
                      <w:color w:val="000000"/>
                      <w:sz w:val="21"/>
                      <w:szCs w:val="21"/>
                      <w:lang w:eastAsia="zh-CN"/>
                    </w:rPr>
                    <w:t>）；</w:t>
                  </w:r>
                </w:p>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四）对行业管理部门特别公示的燃油汽车企业进行投资企业原有股东投资或将该企业转为非独立法人的投资项目除</w:t>
                  </w:r>
                  <w:r>
                    <w:rPr>
                      <w:rFonts w:hint="eastAsia" w:ascii="宋体" w:hAnsi="宋体" w:eastAsia="宋体" w:cs="宋体"/>
                      <w:color w:val="000000"/>
                      <w:sz w:val="21"/>
                      <w:szCs w:val="21"/>
                      <w:lang w:val="en-US" w:eastAsia="zh-CN"/>
                    </w:rPr>
                    <w:t>外。</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本项目不涉及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6" w:type="dxa"/>
                  <w:noWrap w:val="0"/>
                  <w:vAlign w:val="top"/>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48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第二十六条﹐禁止新建、扩建不符合要求的高耗能、高排放、低水平项目。</w:t>
                  </w:r>
                </w:p>
              </w:tc>
              <w:tc>
                <w:tcPr>
                  <w:tcW w:w="1699" w:type="dxa"/>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本项目不涉及</w:t>
                  </w:r>
                </w:p>
              </w:tc>
            </w:tr>
          </w:tbl>
          <w:p>
            <w:pPr>
              <w:pStyle w:val="66"/>
              <w:ind w:firstLine="480"/>
              <w:rPr>
                <w:rFonts w:hint="eastAsia" w:ascii="宋体" w:hAnsi="宋体" w:eastAsia="宋体" w:cs="宋体"/>
                <w:color w:val="auto"/>
                <w:lang w:val="zh-CN"/>
              </w:rPr>
            </w:pPr>
            <w:r>
              <w:rPr>
                <w:rFonts w:hint="eastAsia" w:ascii="宋体" w:hAnsi="宋体" w:eastAsia="宋体" w:cs="宋体"/>
                <w:color w:val="000000"/>
                <w:lang w:val="en-US" w:eastAsia="zh-CN"/>
              </w:rPr>
              <w:t>因此</w:t>
            </w:r>
            <w:r>
              <w:rPr>
                <w:rFonts w:hint="eastAsia" w:ascii="宋体" w:hAnsi="宋体" w:eastAsia="宋体" w:cs="宋体"/>
                <w:color w:val="000000"/>
              </w:rPr>
              <w:t>，</w:t>
            </w:r>
            <w:r>
              <w:rPr>
                <w:rFonts w:hint="eastAsia" w:ascii="宋体" w:hAnsi="宋体" w:eastAsia="宋体" w:cs="宋体"/>
                <w:color w:val="000000"/>
                <w:lang w:val="zh-CN"/>
              </w:rPr>
              <w:t>本项目的建设符合</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四川省、重庆市</w:t>
            </w:r>
            <w:r>
              <w:rPr>
                <w:rFonts w:hint="eastAsia" w:ascii="宋体" w:hAnsi="宋体" w:eastAsia="宋体" w:cs="宋体"/>
                <w:b w:val="0"/>
                <w:bCs w:val="0"/>
                <w:color w:val="000000"/>
                <w:lang w:val="zh-CN"/>
              </w:rPr>
              <w:t>长江经济带发展负面</w:t>
            </w:r>
            <w:r>
              <w:rPr>
                <w:rFonts w:hint="eastAsia" w:ascii="宋体" w:hAnsi="宋体" w:eastAsia="宋体" w:cs="宋体"/>
                <w:b w:val="0"/>
                <w:bCs w:val="0"/>
                <w:color w:val="000000"/>
                <w:lang w:val="en-US" w:eastAsia="zh-CN"/>
              </w:rPr>
              <w:t>清单实施细则</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试行，</w:t>
            </w:r>
            <w:r>
              <w:rPr>
                <w:rFonts w:hint="eastAsia" w:ascii="宋体" w:hAnsi="宋体" w:eastAsia="宋体" w:cs="宋体"/>
                <w:b w:val="0"/>
                <w:bCs w:val="0"/>
                <w:color w:val="000000"/>
              </w:rPr>
              <w:t>2022版</w:t>
            </w:r>
            <w:r>
              <w:rPr>
                <w:rFonts w:hint="eastAsia" w:ascii="宋体" w:hAnsi="宋体" w:eastAsia="宋体" w:cs="宋体"/>
                <w:b w:val="0"/>
                <w:bCs w:val="0"/>
                <w:color w:val="000000"/>
                <w:lang w:val="zh-CN"/>
              </w:rPr>
              <w:t>）》（</w:t>
            </w:r>
            <w:r>
              <w:rPr>
                <w:rFonts w:hint="eastAsia" w:ascii="宋体" w:hAnsi="宋体" w:eastAsia="宋体" w:cs="宋体"/>
                <w:b w:val="0"/>
                <w:bCs w:val="0"/>
                <w:color w:val="000000"/>
                <w:lang w:val="en-US" w:eastAsia="zh-CN"/>
              </w:rPr>
              <w:t>川长江办</w:t>
            </w:r>
            <w:r>
              <w:rPr>
                <w:rFonts w:hint="eastAsia" w:ascii="宋体" w:hAnsi="宋体" w:eastAsia="宋体" w:cs="宋体"/>
                <w:b w:val="0"/>
                <w:bCs w:val="0"/>
                <w:color w:val="000000"/>
                <w:lang w:val="zh-CN"/>
              </w:rPr>
              <w:t>〔2022〕</w:t>
            </w:r>
            <w:r>
              <w:rPr>
                <w:rFonts w:hint="eastAsia" w:ascii="宋体" w:hAnsi="宋体" w:eastAsia="宋体" w:cs="宋体"/>
                <w:b w:val="0"/>
                <w:bCs w:val="0"/>
                <w:color w:val="000000"/>
                <w:lang w:val="en-US" w:eastAsia="zh-CN"/>
              </w:rPr>
              <w:t>1</w:t>
            </w:r>
            <w:r>
              <w:rPr>
                <w:rFonts w:hint="eastAsia" w:ascii="宋体" w:hAnsi="宋体" w:eastAsia="宋体" w:cs="宋体"/>
                <w:b w:val="0"/>
                <w:bCs w:val="0"/>
                <w:color w:val="000000"/>
                <w:lang w:val="zh-CN"/>
              </w:rPr>
              <w:t>7号）的</w:t>
            </w:r>
            <w:r>
              <w:rPr>
                <w:rFonts w:hint="eastAsia" w:ascii="宋体" w:hAnsi="宋体" w:eastAsia="宋体" w:cs="宋体"/>
                <w:b w:val="0"/>
                <w:bCs w:val="0"/>
                <w:color w:val="000000"/>
                <w:lang w:val="en-US" w:eastAsia="zh-CN"/>
              </w:rPr>
              <w:t>文件</w:t>
            </w:r>
            <w:r>
              <w:rPr>
                <w:rFonts w:hint="eastAsia" w:ascii="宋体" w:hAnsi="宋体" w:eastAsia="宋体" w:cs="宋体"/>
                <w:b w:val="0"/>
                <w:bCs w:val="0"/>
                <w:color w:val="000000"/>
                <w:lang w:val="zh-CN"/>
              </w:rPr>
              <w:t>要求。</w:t>
            </w:r>
          </w:p>
          <w:p>
            <w:pPr>
              <w:pStyle w:val="66"/>
              <w:numPr>
                <w:ilvl w:val="0"/>
                <w:numId w:val="1"/>
              </w:numPr>
              <w:ind w:firstLine="482"/>
              <w:rPr>
                <w:rFonts w:hint="default" w:ascii="Times New Roman" w:hAnsi="Times New Roman" w:cs="Times New Roman"/>
                <w:b/>
                <w:bCs/>
              </w:rPr>
            </w:pPr>
            <w:r>
              <w:rPr>
                <w:rFonts w:hint="default" w:ascii="Times New Roman" w:hAnsi="Times New Roman" w:cs="Times New Roman"/>
                <w:b/>
                <w:bCs/>
              </w:rPr>
              <w:t>“三线一单”符合性分析</w:t>
            </w:r>
          </w:p>
          <w:p>
            <w:pPr>
              <w:pStyle w:val="66"/>
              <w:bidi w:val="0"/>
              <w:rPr>
                <w:rFonts w:hint="default" w:ascii="Times New Roman" w:hAnsi="Times New Roman" w:cs="Times New Roman"/>
              </w:rPr>
            </w:pPr>
            <w:r>
              <w:rPr>
                <w:rFonts w:hint="default" w:ascii="Times New Roman" w:hAnsi="Times New Roman" w:cs="Times New Roman"/>
              </w:rPr>
              <w:t>根据《项目环评“三线一单”符合性技术分析要求（试行）》川环办函</w:t>
            </w:r>
            <w:r>
              <w:rPr>
                <w:rFonts w:hint="default" w:ascii="Times New Roman" w:hAnsi="Times New Roman" w:cs="Times New Roman"/>
                <w:lang w:val="zh-CN"/>
              </w:rPr>
              <w:t>〔</w:t>
            </w:r>
            <w:r>
              <w:rPr>
                <w:rFonts w:hint="default" w:ascii="Times New Roman" w:hAnsi="Times New Roman" w:cs="Times New Roman"/>
              </w:rPr>
              <w:t>2021</w:t>
            </w:r>
            <w:r>
              <w:rPr>
                <w:rFonts w:hint="default" w:ascii="Times New Roman" w:hAnsi="Times New Roman" w:cs="Times New Roman"/>
                <w:lang w:val="zh-CN"/>
              </w:rPr>
              <w:t>〕</w:t>
            </w:r>
            <w:r>
              <w:rPr>
                <w:rFonts w:hint="default" w:ascii="Times New Roman" w:hAnsi="Times New Roman" w:cs="Times New Roman"/>
              </w:rPr>
              <w:t>469号文件：如建设项目位于产业园区内，且产业园区规划环境影响评价中已开展了园区与“三线一单”符合性分析，则项目环评只需分析与产业园区生态环境准入要求的符合性。</w:t>
            </w:r>
          </w:p>
          <w:p>
            <w:pPr>
              <w:pStyle w:val="66"/>
              <w:bidi w:val="0"/>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eastAsia="zh-CN"/>
              </w:rPr>
              <w:t>1</w:t>
            </w:r>
            <w:r>
              <w:rPr>
                <w:rFonts w:hint="default" w:ascii="Times New Roman" w:hAnsi="Times New Roman" w:cs="Times New Roman"/>
              </w:rPr>
              <w:t>年</w:t>
            </w:r>
            <w:r>
              <w:rPr>
                <w:rFonts w:hint="default" w:ascii="Times New Roman" w:hAnsi="Times New Roman" w:cs="Times New Roman"/>
                <w:lang w:val="en-US" w:eastAsia="zh-CN"/>
              </w:rPr>
              <w:t>蓬溪经开区管委会组织</w:t>
            </w:r>
            <w:r>
              <w:rPr>
                <w:rFonts w:hint="default" w:ascii="Times New Roman" w:hAnsi="Times New Roman" w:cs="Times New Roman"/>
                <w:color w:val="auto"/>
                <w:lang w:val="en-US" w:eastAsia="zh-CN"/>
              </w:rPr>
              <w:t>编制了</w:t>
            </w:r>
            <w:r>
              <w:rPr>
                <w:rFonts w:hint="default" w:ascii="Times New Roman" w:hAnsi="Times New Roman" w:cs="Times New Roman"/>
                <w:color w:val="auto"/>
                <w:lang w:val="zh-CN"/>
              </w:rPr>
              <w:t>《四川蓬溪经济开发区（上游片区）（暨蓬溪县上游工业园产业聚集区）规划修编环境影响报告</w:t>
            </w:r>
            <w:r>
              <w:rPr>
                <w:rFonts w:hint="default" w:ascii="Times New Roman" w:hAnsi="Times New Roman" w:cs="Times New Roman"/>
                <w:color w:val="auto"/>
                <w:lang w:val="en-US" w:eastAsia="zh-CN"/>
              </w:rPr>
              <w:t>书</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并于</w:t>
            </w:r>
            <w:r>
              <w:rPr>
                <w:rFonts w:hint="default" w:ascii="Times New Roman" w:hAnsi="Times New Roman" w:cs="Times New Roman"/>
                <w:color w:val="auto"/>
                <w:lang w:val="zh-CN"/>
              </w:rPr>
              <w:t xml:space="preserve"> 20</w:t>
            </w: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lang w:val="zh-CN"/>
              </w:rPr>
              <w:t>年</w:t>
            </w:r>
            <w:r>
              <w:rPr>
                <w:rFonts w:hint="eastAsia" w:ascii="Times New Roman" w:hAnsi="Times New Roman" w:cs="Times New Roman"/>
                <w:color w:val="auto"/>
                <w:lang w:val="en-US" w:eastAsia="zh-CN"/>
              </w:rPr>
              <w:t>5</w:t>
            </w:r>
            <w:r>
              <w:rPr>
                <w:rFonts w:hint="default" w:ascii="Times New Roman" w:hAnsi="Times New Roman" w:cs="Times New Roman"/>
                <w:color w:val="auto"/>
                <w:lang w:val="zh-CN"/>
              </w:rPr>
              <w:t>月</w:t>
            </w:r>
            <w:r>
              <w:rPr>
                <w:rFonts w:hint="eastAsia" w:ascii="Times New Roman" w:hAnsi="Times New Roman" w:cs="Times New Roman"/>
                <w:color w:val="auto"/>
                <w:lang w:val="en-US" w:eastAsia="zh-CN"/>
              </w:rPr>
              <w:t>25日</w:t>
            </w:r>
            <w:r>
              <w:rPr>
                <w:rFonts w:hint="default" w:ascii="Times New Roman" w:hAnsi="Times New Roman" w:cs="Times New Roman"/>
                <w:color w:val="auto"/>
                <w:lang w:val="zh-CN"/>
              </w:rPr>
              <w:t>取得</w:t>
            </w:r>
            <w:r>
              <w:rPr>
                <w:rFonts w:hint="default" w:ascii="Times New Roman" w:hAnsi="Times New Roman" w:cs="Times New Roman"/>
                <w:color w:val="auto"/>
                <w:lang w:val="en-US" w:eastAsia="zh-CN"/>
              </w:rPr>
              <w:t>了遂宁市生态环境局的批复</w:t>
            </w:r>
            <w:r>
              <w:rPr>
                <w:rFonts w:hint="default" w:ascii="Times New Roman" w:hAnsi="Times New Roman" w:cs="Times New Roman"/>
                <w:color w:val="auto"/>
                <w:lang w:val="zh-CN"/>
              </w:rPr>
              <w:t>。根据</w:t>
            </w:r>
            <w:r>
              <w:rPr>
                <w:rFonts w:hint="default" w:ascii="Times New Roman" w:hAnsi="Times New Roman" w:cs="Times New Roman"/>
                <w:lang w:val="zh-CN"/>
              </w:rPr>
              <w:t>《四川蓬溪经济开发区（上游片区）（暨蓬溪县上游工业园产业聚集区）规划修编环境影响报告</w:t>
            </w:r>
            <w:r>
              <w:rPr>
                <w:rFonts w:hint="default" w:ascii="Times New Roman" w:hAnsi="Times New Roman" w:cs="Times New Roman"/>
                <w:lang w:val="en-US" w:eastAsia="zh-CN"/>
              </w:rPr>
              <w:t>书</w:t>
            </w:r>
            <w:r>
              <w:rPr>
                <w:rFonts w:hint="default" w:ascii="Times New Roman" w:hAnsi="Times New Roman" w:cs="Times New Roman"/>
                <w:lang w:val="zh-CN"/>
              </w:rPr>
              <w:t>》，</w:t>
            </w:r>
            <w:r>
              <w:rPr>
                <w:rFonts w:hint="default" w:ascii="Times New Roman" w:hAnsi="Times New Roman" w:cs="Times New Roman"/>
                <w:lang w:val="en-US" w:eastAsia="zh-CN"/>
              </w:rPr>
              <w:t>报告书</w:t>
            </w:r>
            <w:r>
              <w:rPr>
                <w:rFonts w:hint="default" w:ascii="Times New Roman" w:hAnsi="Times New Roman" w:cs="Times New Roman"/>
                <w:lang w:val="zh-CN"/>
              </w:rPr>
              <w:t>已开展了与</w:t>
            </w:r>
            <w:r>
              <w:rPr>
                <w:rFonts w:hint="default" w:ascii="Times New Roman" w:hAnsi="Times New Roman" w:cs="Times New Roman"/>
              </w:rPr>
              <w:t>《遂宁市“三线一单”生态环境分区管控优化完善工作阶段性成果》的符合性分析，因此本项目符合“三线一单”简化分析的要求。</w:t>
            </w:r>
          </w:p>
          <w:p>
            <w:pPr>
              <w:pStyle w:val="66"/>
              <w:ind w:left="0" w:leftChars="0" w:firstLine="0" w:firstLineChars="0"/>
              <w:jc w:val="center"/>
              <w:rPr>
                <w:rFonts w:hint="default" w:ascii="宋体" w:hAnsi="宋体" w:eastAsia="宋体" w:cs="宋体"/>
                <w:color w:val="auto"/>
                <w:lang w:val="en-US" w:eastAsia="zh-CN"/>
              </w:rPr>
            </w:pPr>
            <w:r>
              <w:drawing>
                <wp:inline distT="0" distB="0" distL="114300" distR="114300">
                  <wp:extent cx="5610225" cy="3510915"/>
                  <wp:effectExtent l="0" t="0" r="952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610225" cy="3510915"/>
                          </a:xfrm>
                          <a:prstGeom prst="rect">
                            <a:avLst/>
                          </a:prstGeom>
                          <a:noFill/>
                          <a:ln>
                            <a:noFill/>
                          </a:ln>
                        </pic:spPr>
                      </pic:pic>
                    </a:graphicData>
                  </a:graphic>
                </wp:inline>
              </w:drawing>
            </w:r>
            <w:r>
              <w:rPr>
                <w:rFonts w:hint="eastAsia" w:ascii="宋体" w:hAnsi="宋体" w:eastAsia="宋体" w:cs="宋体"/>
                <w:b/>
                <w:bCs/>
                <w:color w:val="auto"/>
                <w:lang w:val="en-US" w:eastAsia="zh-CN"/>
              </w:rPr>
              <w:t xml:space="preserve">图1-1 </w:t>
            </w:r>
            <w:r>
              <w:rPr>
                <w:rFonts w:hint="eastAsia" w:ascii="宋体" w:hAnsi="宋体" w:eastAsia="宋体" w:cs="宋体"/>
                <w:b/>
                <w:bCs/>
                <w:color w:val="auto"/>
                <w:kern w:val="0"/>
                <w:highlight w:val="none"/>
              </w:rPr>
              <w:t>“三线一单”</w:t>
            </w:r>
            <w:r>
              <w:rPr>
                <w:rFonts w:hint="eastAsia" w:ascii="宋体" w:hAnsi="宋体" w:eastAsia="宋体" w:cs="宋体"/>
                <w:b/>
                <w:bCs/>
                <w:color w:val="auto"/>
                <w:kern w:val="0"/>
                <w:highlight w:val="none"/>
                <w:lang w:val="en-US" w:eastAsia="zh-CN"/>
              </w:rPr>
              <w:t>符合性分析结果图</w:t>
            </w:r>
          </w:p>
          <w:p>
            <w:pPr>
              <w:pStyle w:val="66"/>
              <w:bidi w:val="0"/>
              <w:rPr>
                <w:rFonts w:hint="eastAsia"/>
                <w:color w:val="auto"/>
                <w:lang w:val="en-US" w:eastAsia="zh-CN"/>
              </w:rPr>
            </w:pPr>
            <w:r>
              <w:rPr>
                <w:rFonts w:hint="eastAsia"/>
                <w:color w:val="auto"/>
                <w:lang w:val="en-US" w:eastAsia="zh-CN"/>
              </w:rPr>
              <w:t>根据查询，该项目涉及环境管控单元5个，涉及管控单元见下表：</w:t>
            </w:r>
          </w:p>
          <w:p>
            <w:pPr>
              <w:pStyle w:val="60"/>
              <w:bidi w:val="0"/>
              <w:rPr>
                <w:rFonts w:hint="default"/>
                <w:lang w:val="en-US" w:eastAsia="zh-CN"/>
              </w:rPr>
            </w:pPr>
            <w:r>
              <w:rPr>
                <w:rFonts w:hint="eastAsia"/>
                <w:lang w:val="en-US" w:eastAsia="zh-CN"/>
              </w:rPr>
              <w:t>表1-4 项目所涉及的环境管控单元</w:t>
            </w:r>
          </w:p>
          <w:tbl>
            <w:tblPr>
              <w:tblStyle w:val="24"/>
              <w:tblW w:w="86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9"/>
              <w:gridCol w:w="1922"/>
              <w:gridCol w:w="969"/>
              <w:gridCol w:w="836"/>
              <w:gridCol w:w="1226"/>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439" w:type="dxa"/>
                  <w:tcBorders>
                    <w:top w:val="single" w:color="000000" w:sz="12"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环境管控单元编码</w:t>
                  </w:r>
                </w:p>
              </w:tc>
              <w:tc>
                <w:tcPr>
                  <w:tcW w:w="1922"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环境管控单元名称</w:t>
                  </w:r>
                </w:p>
              </w:tc>
              <w:tc>
                <w:tcPr>
                  <w:tcW w:w="969"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top"/>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所属市（州）</w:t>
                  </w:r>
                </w:p>
              </w:tc>
              <w:tc>
                <w:tcPr>
                  <w:tcW w:w="836"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所属区县</w:t>
                  </w:r>
                </w:p>
              </w:tc>
              <w:tc>
                <w:tcPr>
                  <w:tcW w:w="1226" w:type="dxa"/>
                  <w:tcBorders>
                    <w:top w:val="single" w:color="000000" w:sz="12"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准入清单类型</w:t>
                  </w:r>
                </w:p>
              </w:tc>
              <w:tc>
                <w:tcPr>
                  <w:tcW w:w="2235" w:type="dxa"/>
                  <w:tcBorders>
                    <w:top w:val="single" w:color="000000" w:sz="12"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管控类型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ZH51092120004</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四川蓬溪经济开发区（上游片区）</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遂宁市</w:t>
                  </w:r>
                </w:p>
              </w:tc>
              <w:tc>
                <w:tcPr>
                  <w:tcW w:w="8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w:t>
                  </w:r>
                </w:p>
              </w:tc>
              <w:tc>
                <w:tcPr>
                  <w:tcW w:w="122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环境综合</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环境综合管控单元工业重点管控单元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YS5109212310003</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四川蓬溪经济开发区（上游片区）</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遂宁市</w:t>
                  </w:r>
                </w:p>
              </w:tc>
              <w:tc>
                <w:tcPr>
                  <w:tcW w:w="8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w:t>
                  </w:r>
                </w:p>
              </w:tc>
              <w:tc>
                <w:tcPr>
                  <w:tcW w:w="122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大气环境分区</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大气环境排放重点管控区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YS5109212530001</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蓬溪县城镇开发边界</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遂宁市</w:t>
                  </w:r>
                </w:p>
              </w:tc>
              <w:tc>
                <w:tcPr>
                  <w:tcW w:w="8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w:t>
                  </w:r>
                </w:p>
              </w:tc>
              <w:tc>
                <w:tcPr>
                  <w:tcW w:w="122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资源利用</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土地资源重点管控区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1439"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YS5109212540002</w:t>
                  </w:r>
                </w:p>
              </w:tc>
              <w:tc>
                <w:tcPr>
                  <w:tcW w:w="1922"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蓬溪县上游工业园产业聚集区</w:t>
                  </w:r>
                </w:p>
              </w:tc>
              <w:tc>
                <w:tcPr>
                  <w:tcW w:w="969"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遂宁市</w:t>
                  </w:r>
                </w:p>
              </w:tc>
              <w:tc>
                <w:tcPr>
                  <w:tcW w:w="8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w:t>
                  </w:r>
                </w:p>
              </w:tc>
              <w:tc>
                <w:tcPr>
                  <w:tcW w:w="122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资源利用</w:t>
                  </w:r>
                </w:p>
              </w:tc>
              <w:tc>
                <w:tcPr>
                  <w:tcW w:w="2235" w:type="dxa"/>
                  <w:tcBorders>
                    <w:top w:val="single" w:color="000000" w:sz="8" w:space="0"/>
                    <w:left w:val="single" w:color="000000" w:sz="8" w:space="0"/>
                    <w:bottom w:val="single" w:color="000000" w:sz="8" w:space="0"/>
                    <w:right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高污染燃料禁燃区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439" w:type="dxa"/>
                  <w:tcBorders>
                    <w:top w:val="single" w:color="000000" w:sz="8" w:space="0"/>
                    <w:left w:val="nil"/>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YS5109212550001</w:t>
                  </w:r>
                </w:p>
              </w:tc>
              <w:tc>
                <w:tcPr>
                  <w:tcW w:w="1922"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蓬溪县自然资源重点管控区</w:t>
                  </w:r>
                </w:p>
              </w:tc>
              <w:tc>
                <w:tcPr>
                  <w:tcW w:w="969"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遂宁市</w:t>
                  </w:r>
                </w:p>
              </w:tc>
              <w:tc>
                <w:tcPr>
                  <w:tcW w:w="836"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蓬溪县</w:t>
                  </w:r>
                </w:p>
              </w:tc>
              <w:tc>
                <w:tcPr>
                  <w:tcW w:w="1226" w:type="dxa"/>
                  <w:tcBorders>
                    <w:top w:val="single" w:color="000000" w:sz="8" w:space="0"/>
                    <w:left w:val="single" w:color="000000" w:sz="8" w:space="0"/>
                    <w:bottom w:val="single" w:color="000000" w:sz="12" w:space="0"/>
                    <w:right w:val="single" w:color="000000" w:sz="8"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资源利用</w:t>
                  </w:r>
                </w:p>
              </w:tc>
              <w:tc>
                <w:tcPr>
                  <w:tcW w:w="2235" w:type="dxa"/>
                  <w:tcBorders>
                    <w:top w:val="single" w:color="000000" w:sz="8" w:space="0"/>
                    <w:left w:val="single" w:color="000000" w:sz="8" w:space="0"/>
                    <w:bottom w:val="single" w:color="000000" w:sz="12" w:space="0"/>
                    <w:right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eastAsia="宋体" w:cs="Times New Roman"/>
                      <w:i w:val="0"/>
                      <w:iCs w:val="0"/>
                      <w:color w:val="auto"/>
                      <w:kern w:val="0"/>
                      <w:sz w:val="24"/>
                      <w:szCs w:val="24"/>
                      <w:u w:val="none"/>
                      <w:lang w:val="en-US" w:eastAsia="zh-CN" w:bidi="ar"/>
                    </w:rPr>
                    <w:t>自然资源重点管控区</w:t>
                  </w:r>
                </w:p>
              </w:tc>
            </w:tr>
          </w:tbl>
          <w:p>
            <w:pPr>
              <w:pStyle w:val="66"/>
              <w:spacing w:line="240" w:lineRule="auto"/>
              <w:ind w:firstLine="0" w:firstLineChars="0"/>
              <w:rPr>
                <w:rFonts w:hint="default" w:ascii="Times New Roman" w:hAnsi="Times New Roman" w:cs="Times New Roman"/>
                <w:lang w:val="en-US" w:eastAsia="zh-CN"/>
              </w:rPr>
            </w:pP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9"/>
        <w:rPr>
          <w:rFonts w:hint="eastAsia" w:ascii="宋体" w:hAnsi="宋体" w:cs="宋体"/>
          <w:color w:val="auto"/>
          <w:kern w:val="0"/>
          <w:sz w:val="24"/>
          <w:highlight w:val="none"/>
          <w:lang w:bidi="ar"/>
        </w:rPr>
      </w:pPr>
      <w:r>
        <w:rPr>
          <w:rFonts w:hint="eastAsia" w:ascii="宋体" w:hAnsi="宋体" w:eastAsia="宋体" w:cs="宋体"/>
          <w:color w:val="auto"/>
        </w:rPr>
        <w:t>项目与</w:t>
      </w:r>
      <w:r>
        <w:rPr>
          <w:rFonts w:hint="eastAsia" w:ascii="宋体" w:hAnsi="宋体" w:eastAsia="宋体" w:cs="宋体"/>
          <w:color w:val="auto"/>
          <w:lang w:eastAsia="zh-CN"/>
        </w:rPr>
        <w:t>“</w:t>
      </w:r>
      <w:r>
        <w:rPr>
          <w:rFonts w:hint="eastAsia" w:ascii="宋体" w:hAnsi="宋体" w:eastAsia="宋体" w:cs="宋体"/>
          <w:color w:val="auto"/>
        </w:rPr>
        <w:t>三线一单</w:t>
      </w:r>
      <w:r>
        <w:rPr>
          <w:rFonts w:hint="eastAsia" w:ascii="宋体" w:hAnsi="宋体" w:eastAsia="宋体" w:cs="宋体"/>
          <w:color w:val="auto"/>
          <w:lang w:eastAsia="zh-CN"/>
        </w:rPr>
        <w:t>”</w:t>
      </w:r>
      <w:r>
        <w:rPr>
          <w:rFonts w:hint="eastAsia" w:ascii="宋体" w:hAnsi="宋体" w:eastAsia="宋体" w:cs="宋体"/>
          <w:color w:val="auto"/>
        </w:rPr>
        <w:t>相关要求的符合性分析要点如下</w:t>
      </w:r>
      <w:r>
        <w:rPr>
          <w:rFonts w:hint="eastAsia" w:ascii="宋体" w:hAnsi="宋体" w:cs="宋体"/>
          <w:color w:val="auto"/>
          <w:kern w:val="0"/>
          <w:sz w:val="24"/>
          <w:highlight w:val="none"/>
          <w:lang w:bidi="ar"/>
        </w:rPr>
        <w:t>：</w:t>
      </w:r>
    </w:p>
    <w:p>
      <w:pPr>
        <w:pStyle w:val="39"/>
        <w:rPr>
          <w:rFonts w:hint="eastAsia" w:ascii="宋体" w:hAnsi="宋体" w:cs="宋体"/>
          <w:color w:val="auto"/>
          <w:kern w:val="0"/>
          <w:sz w:val="24"/>
          <w:highlight w:val="none"/>
          <w:lang w:bidi="ar"/>
        </w:rPr>
      </w:pPr>
    </w:p>
    <w:p>
      <w:pPr>
        <w:spacing w:line="360" w:lineRule="auto"/>
        <w:jc w:val="center"/>
        <w:outlineLvl w:val="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表1-5 “三线一单”符合性分析</w:t>
      </w:r>
    </w:p>
    <w:tbl>
      <w:tblPr>
        <w:tblStyle w:val="25"/>
        <w:tblW w:w="506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682"/>
        <w:gridCol w:w="1248"/>
        <w:gridCol w:w="7990"/>
        <w:gridCol w:w="1910"/>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007" w:type="dxa"/>
            <w:gridSpan w:val="3"/>
            <w:tcBorders>
              <w:tl2br w:val="nil"/>
              <w:tr2bl w:val="nil"/>
            </w:tcBorders>
            <w:noWrap w:val="0"/>
            <w:vAlign w:val="center"/>
          </w:tcPr>
          <w:p>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类别</w:t>
            </w:r>
          </w:p>
        </w:tc>
        <w:tc>
          <w:tcPr>
            <w:tcW w:w="7990" w:type="dxa"/>
            <w:tcBorders>
              <w:tl2br w:val="nil"/>
              <w:tr2bl w:val="nil"/>
            </w:tcBorders>
            <w:noWrap w:val="0"/>
            <w:vAlign w:val="center"/>
          </w:tcPr>
          <w:p>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管控要求</w:t>
            </w:r>
          </w:p>
        </w:tc>
        <w:tc>
          <w:tcPr>
            <w:tcW w:w="1910" w:type="dxa"/>
            <w:tcBorders>
              <w:tl2br w:val="nil"/>
              <w:tr2bl w:val="nil"/>
            </w:tcBorders>
            <w:noWrap w:val="0"/>
            <w:vAlign w:val="center"/>
          </w:tcPr>
          <w:p>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本项目情况</w:t>
            </w:r>
          </w:p>
        </w:tc>
        <w:tc>
          <w:tcPr>
            <w:tcW w:w="920" w:type="dxa"/>
            <w:tcBorders>
              <w:tl2br w:val="nil"/>
              <w:tr2bl w:val="nil"/>
            </w:tcBorders>
            <w:noWrap w:val="0"/>
            <w:vAlign w:val="center"/>
          </w:tcPr>
          <w:p>
            <w:pPr>
              <w:jc w:val="center"/>
              <w:rPr>
                <w:rFonts w:hint="eastAsia" w:ascii="宋体" w:hAnsi="宋体" w:eastAsia="宋体" w:cs="宋体"/>
                <w:b/>
                <w:bCs/>
                <w:color w:val="000000"/>
                <w:sz w:val="21"/>
                <w:szCs w:val="21"/>
                <w:vertAlign w:val="baseline"/>
                <w:lang w:eastAsia="zh-CN"/>
              </w:rPr>
            </w:pPr>
            <w:r>
              <w:rPr>
                <w:rFonts w:hint="eastAsia" w:ascii="宋体" w:hAnsi="宋体" w:eastAsia="宋体" w:cs="宋体"/>
                <w:b/>
                <w:bCs/>
                <w:color w:val="000000"/>
                <w:sz w:val="21"/>
                <w:szCs w:val="21"/>
                <w:vertAlign w:val="baseline"/>
                <w:lang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1" w:hRule="atLeast"/>
          <w:jc w:val="center"/>
        </w:trPr>
        <w:tc>
          <w:tcPr>
            <w:tcW w:w="1077"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lang w:val="en-US"/>
              </w:rPr>
            </w:pPr>
            <w:r>
              <w:rPr>
                <w:rStyle w:val="26"/>
                <w:rFonts w:ascii="宋体" w:hAnsi="宋体" w:eastAsia="宋体" w:cs="宋体"/>
                <w:sz w:val="21"/>
                <w:szCs w:val="21"/>
              </w:rPr>
              <w:t>ZH51092120004</w:t>
            </w:r>
            <w:r>
              <w:rPr>
                <w:rStyle w:val="26"/>
                <w:rFonts w:hint="eastAsia" w:ascii="宋体" w:hAnsi="宋体" w:eastAsia="宋体" w:cs="Times New Roman"/>
                <w:kern w:val="2"/>
                <w:sz w:val="21"/>
                <w:szCs w:val="21"/>
                <w:lang w:val="en-US" w:eastAsia="zh-CN" w:bidi="ar-SA"/>
              </w:rPr>
              <w:t>四川蓬溪经济开发区（上游片区）</w:t>
            </w:r>
          </w:p>
        </w:tc>
        <w:tc>
          <w:tcPr>
            <w:tcW w:w="682"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普</w:t>
            </w:r>
            <w:r>
              <w:rPr>
                <w:rStyle w:val="26"/>
                <w:rFonts w:hint="eastAsia" w:ascii="宋体" w:hAnsi="宋体" w:eastAsia="宋体" w:cs="Times New Roman"/>
                <w:kern w:val="2"/>
                <w:sz w:val="21"/>
                <w:szCs w:val="21"/>
                <w:lang w:val="en-US" w:eastAsia="zh-CN" w:bidi="ar-SA"/>
              </w:rPr>
              <w:t>适性清单管控要求</w:t>
            </w: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禁止开发建设活动的要求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1.禁止引入不符合园区用地性质或产业规划的工业企业。</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2.禁止在长江干支流、重要湖泊岸线一公里范围内新建、扩建化工园区和化工项目。</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3.禁止在长江流域河湖管理范围内倾倒、填埋、堆放、弃置、处理固体废物。</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4.未通过认定的化工园区，不得新建、改扩建化工项目（安全、环保、节能和智能化改造项目除外），按属地原则依法依规妥善做好未通过认定的化工园区及园内企业的转型、关闭、处置及监管工作。</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限制开发建设活动的要求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1.严控新建、扩建“两高”项目，对现存企业执行最严格排放标准和总量控制要求。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2.长江干流及主要支流1公里范围内，严控新建石油化工、煤化工、涉磷、造纸、印染、制革等项目。</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不符合空间布局要求活动的退出要求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现有属于禁止引入产业门类的企业，应按相关规定限期整治或退出。</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其他空间布局约束要求</w:t>
            </w:r>
          </w:p>
          <w:p>
            <w:pPr>
              <w:pStyle w:val="73"/>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lang w:val="en-US" w:eastAsia="zh-CN" w:bidi="ar-SA"/>
              </w:rPr>
            </w:pPr>
            <w:r>
              <w:rPr>
                <w:rStyle w:val="26"/>
                <w:rFonts w:hint="eastAsia" w:ascii="宋体" w:hAnsi="宋体" w:eastAsia="宋体" w:cs="宋体"/>
                <w:color w:val="000000"/>
                <w:kern w:val="0"/>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eastAsia="zh-CN"/>
              </w:rPr>
              <w:t>本项目不属于</w:t>
            </w:r>
            <w:r>
              <w:rPr>
                <w:rFonts w:hint="default" w:ascii="Times New Roman" w:hAnsi="Times New Roman" w:eastAsia="宋体" w:cs="Times New Roman"/>
                <w:color w:val="000000"/>
                <w:sz w:val="21"/>
                <w:szCs w:val="21"/>
                <w:vertAlign w:val="baseline"/>
                <w:lang w:val="en-US" w:eastAsia="zh-CN"/>
              </w:rPr>
              <w:t>禁止开发情况；不属于</w:t>
            </w:r>
            <w:r>
              <w:rPr>
                <w:rFonts w:hint="default" w:ascii="Times New Roman" w:hAnsi="Times New Roman" w:eastAsia="宋体" w:cs="Times New Roman"/>
                <w:color w:val="000000"/>
                <w:sz w:val="21"/>
                <w:szCs w:val="21"/>
                <w:vertAlign w:val="baseline"/>
                <w:lang w:eastAsia="zh-CN"/>
              </w:rPr>
              <w:t>化工项目</w:t>
            </w:r>
            <w:r>
              <w:rPr>
                <w:rFonts w:hint="default" w:ascii="Times New Roman" w:hAnsi="Times New Roman" w:eastAsia="宋体" w:cs="Times New Roman"/>
                <w:color w:val="000000"/>
                <w:sz w:val="21"/>
                <w:szCs w:val="21"/>
                <w:vertAlign w:val="baseline"/>
                <w:lang w:val="en-US" w:eastAsia="zh-CN"/>
              </w:rPr>
              <w:t>；</w:t>
            </w:r>
            <w:r>
              <w:rPr>
                <w:rFonts w:hint="default" w:ascii="Times New Roman" w:hAnsi="Times New Roman" w:eastAsia="宋体" w:cs="Times New Roman"/>
                <w:color w:val="000000"/>
                <w:sz w:val="21"/>
                <w:szCs w:val="21"/>
                <w:vertAlign w:val="baseline"/>
                <w:lang w:eastAsia="zh-CN"/>
              </w:rPr>
              <w:t>不</w:t>
            </w:r>
            <w:r>
              <w:rPr>
                <w:rFonts w:hint="default" w:ascii="Times New Roman" w:hAnsi="Times New Roman" w:eastAsia="宋体" w:cs="Times New Roman"/>
                <w:color w:val="000000"/>
                <w:sz w:val="21"/>
                <w:szCs w:val="21"/>
                <w:vertAlign w:val="baseline"/>
                <w:lang w:val="en-US" w:eastAsia="zh-CN"/>
              </w:rPr>
              <w:t>占用耕地；不属于高耗能、高排放、低水平项目等禁止、限制建设的情况</w:t>
            </w:r>
            <w:r>
              <w:rPr>
                <w:rFonts w:hint="default" w:ascii="Times New Roman" w:hAnsi="Times New Roman" w:eastAsia="宋体" w:cs="Times New Roman"/>
                <w:color w:val="000000"/>
                <w:kern w:val="2"/>
                <w:sz w:val="21"/>
                <w:szCs w:val="21"/>
                <w:vertAlign w:val="baseline"/>
                <w:lang w:val="en-US" w:eastAsia="zh-CN" w:bidi="ar-SA"/>
              </w:rPr>
              <w:t>。</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污染物排放管控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允许排放量要求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现有源提标升级改造</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1.污水收集处理率达100%。</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2.园区污水处理厂达《城镇污水处理厂污染物排放标准》一级A标或更高标准。</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3.加快推进危险化学品生产企业搬迁改造工程。</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其他污染物排放管控要求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1.新增源等量或倍量替代：（1）上一年度水环境质量未完成目标的，新建排放水污染</w:t>
            </w:r>
            <w:r>
              <w:rPr>
                <w:rFonts w:hint="eastAsia" w:ascii="宋体" w:hAnsi="宋体" w:cs="宋体"/>
                <w:color w:val="000000"/>
                <w:sz w:val="21"/>
                <w:szCs w:val="21"/>
                <w:lang w:val="en-US" w:eastAsia="zh-CN"/>
              </w:rPr>
              <w:t>物</w:t>
            </w:r>
            <w:r>
              <w:rPr>
                <w:rFonts w:hint="eastAsia" w:ascii="宋体" w:hAnsi="宋体" w:eastAsia="宋体" w:cs="宋体"/>
                <w:color w:val="000000"/>
                <w:sz w:val="21"/>
                <w:szCs w:val="21"/>
              </w:rPr>
              <w:t>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4.化工园区应按照分类收集，分质处理的要求，配备专业化工生产废水集中处理设施（独立建设或依托骨干企业）及专管或明管输送的配套管网，化工生产废水纳管率达到100%。入河排污口设置应符合相关规定。</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6.白酒行业参考执行更新后的四川省白酒行业资源环境绩效指标要求。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本项目位于上游工业园；项目生产废水</w:t>
            </w:r>
            <w:r>
              <w:rPr>
                <w:rFonts w:hint="eastAsia" w:cs="Times New Roman"/>
                <w:color w:val="000000"/>
                <w:sz w:val="21"/>
                <w:szCs w:val="21"/>
                <w:vertAlign w:val="baseline"/>
                <w:lang w:val="en-US" w:eastAsia="zh-CN"/>
              </w:rPr>
              <w:t>经处理后排入市政污水管网送蓬溪经开区污水处理厂处理</w:t>
            </w:r>
            <w:r>
              <w:rPr>
                <w:rFonts w:hint="default" w:ascii="Times New Roman" w:hAnsi="Times New Roman" w:eastAsia="宋体" w:cs="Times New Roman"/>
                <w:color w:val="000000"/>
                <w:sz w:val="21"/>
                <w:szCs w:val="21"/>
                <w:vertAlign w:val="baseline"/>
                <w:lang w:val="en-US" w:eastAsia="zh-CN"/>
              </w:rPr>
              <w:t>；雨水排放园区管网；</w:t>
            </w:r>
            <w:r>
              <w:rPr>
                <w:rFonts w:hint="eastAsia" w:cs="Times New Roman"/>
                <w:color w:val="000000"/>
                <w:sz w:val="21"/>
                <w:szCs w:val="21"/>
                <w:vertAlign w:val="baseline"/>
                <w:lang w:val="en-US" w:eastAsia="zh-CN"/>
              </w:rPr>
              <w:t>生活污水</w:t>
            </w:r>
            <w:r>
              <w:rPr>
                <w:rFonts w:hint="default" w:ascii="Times New Roman" w:hAnsi="Times New Roman" w:eastAsia="宋体" w:cs="Times New Roman"/>
                <w:color w:val="000000"/>
                <w:sz w:val="21"/>
                <w:szCs w:val="21"/>
                <w:vertAlign w:val="baseline"/>
                <w:lang w:val="en-US" w:eastAsia="zh-CN"/>
              </w:rPr>
              <w:t>经化粪池处理后排入</w:t>
            </w:r>
            <w:r>
              <w:rPr>
                <w:rFonts w:hint="default" w:ascii="Times New Roman" w:hAnsi="Times New Roman" w:eastAsia="宋体" w:cs="Times New Roman"/>
                <w:color w:val="000000"/>
                <w:sz w:val="21"/>
                <w:szCs w:val="21"/>
              </w:rPr>
              <w:t>蓬溪经开区污水处理厂处理</w:t>
            </w:r>
            <w:r>
              <w:rPr>
                <w:rFonts w:hint="default" w:ascii="Times New Roman" w:hAnsi="Times New Roman" w:eastAsia="宋体" w:cs="Times New Roman"/>
                <w:color w:val="000000"/>
                <w:sz w:val="21"/>
                <w:szCs w:val="21"/>
                <w:lang w:val="en-US" w:eastAsia="zh-CN"/>
              </w:rPr>
              <w:t>；项目</w:t>
            </w:r>
            <w:r>
              <w:rPr>
                <w:rFonts w:hint="default" w:ascii="Times New Roman" w:hAnsi="Times New Roman" w:eastAsia="宋体" w:cs="Times New Roman"/>
                <w:color w:val="000000"/>
                <w:sz w:val="21"/>
                <w:szCs w:val="21"/>
                <w:vertAlign w:val="baseline"/>
                <w:lang w:val="en-US" w:eastAsia="zh-CN"/>
              </w:rPr>
              <w:t>生产区域封闭；投料</w:t>
            </w:r>
            <w:r>
              <w:rPr>
                <w:rFonts w:hint="eastAsia" w:ascii="Times New Roman" w:hAnsi="Times New Roman" w:eastAsia="宋体" w:cs="Times New Roman"/>
                <w:color w:val="000000"/>
                <w:sz w:val="21"/>
                <w:szCs w:val="21"/>
                <w:vertAlign w:val="baseline"/>
                <w:lang w:val="en-US" w:eastAsia="zh-CN"/>
              </w:rPr>
              <w:t>间封闭并设置</w:t>
            </w:r>
            <w:r>
              <w:rPr>
                <w:rFonts w:hint="default" w:ascii="Times New Roman" w:hAnsi="Times New Roman" w:eastAsia="宋体" w:cs="Times New Roman"/>
                <w:color w:val="000000"/>
                <w:sz w:val="21"/>
                <w:szCs w:val="21"/>
                <w:vertAlign w:val="baseline"/>
                <w:lang w:val="en-US" w:eastAsia="zh-CN"/>
              </w:rPr>
              <w:t>粉尘集气罩</w:t>
            </w:r>
            <w:r>
              <w:rPr>
                <w:rFonts w:hint="eastAsia" w:ascii="Times New Roman" w:hAnsi="Times New Roman" w:eastAsia="宋体" w:cs="Times New Roman"/>
                <w:color w:val="000000"/>
                <w:sz w:val="21"/>
                <w:szCs w:val="21"/>
                <w:vertAlign w:val="baseline"/>
                <w:lang w:val="en-US" w:eastAsia="zh-CN"/>
              </w:rPr>
              <w:t>收集后经</w:t>
            </w:r>
            <w:r>
              <w:rPr>
                <w:rFonts w:hint="default" w:ascii="Times New Roman" w:hAnsi="Times New Roman" w:eastAsia="宋体" w:cs="Times New Roman"/>
                <w:color w:val="000000"/>
                <w:sz w:val="21"/>
                <w:szCs w:val="21"/>
                <w:vertAlign w:val="baseline"/>
                <w:lang w:val="en-US" w:eastAsia="zh-CN"/>
              </w:rPr>
              <w:t>布袋除尘</w:t>
            </w:r>
            <w:r>
              <w:rPr>
                <w:rFonts w:hint="eastAsia" w:ascii="Times New Roman" w:hAnsi="Times New Roman" w:eastAsia="宋体" w:cs="Times New Roman"/>
                <w:color w:val="000000"/>
                <w:sz w:val="21"/>
                <w:szCs w:val="21"/>
                <w:vertAlign w:val="baseline"/>
                <w:lang w:val="en-US" w:eastAsia="zh-CN"/>
              </w:rPr>
              <w:t>由</w:t>
            </w:r>
            <w:r>
              <w:rPr>
                <w:rFonts w:hint="default" w:ascii="Times New Roman" w:hAnsi="Times New Roman" w:eastAsia="宋体" w:cs="Times New Roman"/>
                <w:color w:val="000000"/>
                <w:sz w:val="21"/>
                <w:szCs w:val="21"/>
                <w:vertAlign w:val="baseline"/>
                <w:lang w:val="en-US" w:eastAsia="zh-CN"/>
              </w:rPr>
              <w:t>15m高排气筒排放（DA001）；</w:t>
            </w:r>
            <w:r>
              <w:rPr>
                <w:rFonts w:hint="eastAsia" w:ascii="Times New Roman" w:hAnsi="Times New Roman" w:eastAsia="宋体" w:cs="Times New Roman"/>
                <w:color w:val="000000"/>
                <w:sz w:val="21"/>
                <w:szCs w:val="21"/>
                <w:vertAlign w:val="baseline"/>
                <w:lang w:val="en-US" w:eastAsia="zh-CN"/>
              </w:rPr>
              <w:t>挤出有机废气经</w:t>
            </w:r>
            <w:r>
              <w:rPr>
                <w:rFonts w:hint="eastAsia" w:cs="Times New Roman"/>
                <w:color w:val="000000"/>
                <w:sz w:val="21"/>
                <w:szCs w:val="21"/>
                <w:vertAlign w:val="baseline"/>
                <w:lang w:val="en-US" w:eastAsia="zh-CN"/>
              </w:rPr>
              <w:t>二级活性炭</w:t>
            </w:r>
            <w:r>
              <w:rPr>
                <w:rFonts w:hint="eastAsia" w:ascii="Times New Roman" w:hAnsi="Times New Roman" w:eastAsia="宋体" w:cs="Times New Roman"/>
                <w:color w:val="000000"/>
                <w:sz w:val="21"/>
                <w:szCs w:val="21"/>
                <w:vertAlign w:val="baseline"/>
                <w:lang w:val="en-US" w:eastAsia="zh-CN"/>
              </w:rPr>
              <w:t>吸附处理后经</w:t>
            </w:r>
            <w:r>
              <w:rPr>
                <w:rFonts w:hint="eastAsia" w:cs="Times New Roman"/>
                <w:color w:val="000000"/>
                <w:sz w:val="21"/>
                <w:szCs w:val="21"/>
                <w:vertAlign w:val="baseline"/>
                <w:lang w:val="en-US" w:eastAsia="zh-CN"/>
              </w:rPr>
              <w:t>1</w:t>
            </w:r>
            <w:r>
              <w:rPr>
                <w:rFonts w:hint="default" w:ascii="Times New Roman" w:hAnsi="Times New Roman" w:eastAsia="宋体" w:cs="Times New Roman"/>
                <w:color w:val="000000"/>
                <w:sz w:val="21"/>
                <w:szCs w:val="21"/>
                <w:vertAlign w:val="baseline"/>
                <w:lang w:val="en-US" w:eastAsia="zh-CN"/>
              </w:rPr>
              <w:t>5m高排气筒排放（DA002）；大气污染物</w:t>
            </w:r>
            <w:r>
              <w:rPr>
                <w:rFonts w:hint="eastAsia" w:cs="Times New Roman"/>
                <w:color w:val="000000"/>
                <w:sz w:val="21"/>
                <w:szCs w:val="21"/>
                <w:vertAlign w:val="baseline"/>
                <w:lang w:val="en-US" w:eastAsia="zh-CN"/>
              </w:rPr>
              <w:t>排放执</w:t>
            </w:r>
            <w:r>
              <w:rPr>
                <w:rFonts w:hint="default" w:ascii="Times New Roman" w:hAnsi="Times New Roman" w:eastAsia="宋体" w:cs="Times New Roman"/>
                <w:color w:val="000000"/>
                <w:sz w:val="21"/>
                <w:szCs w:val="21"/>
                <w:vertAlign w:val="baseline"/>
                <w:lang w:val="en-US" w:eastAsia="zh-CN"/>
              </w:rPr>
              <w:t>行特别排放限值；项目产生的废边角料等固废均生产回用或合理处置。</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center"/>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环境风险防控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联防联控要求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加强成都平原经济区信息共享和联动合作，协力推进产业和能源结构优化调整，加强大气污染源头防控，加强潼遂合作。</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其他环境风险防控要求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1.企业环境风险防控要求：涉及有毒有害、易燃易爆物质的新建、改扩建项目，严控准入要求。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w:t>
            </w:r>
            <w:r>
              <w:rPr>
                <w:rFonts w:hint="default" w:ascii="Times New Roman" w:hAnsi="Times New Roman" w:eastAsia="宋体" w:cs="Times New Roman"/>
                <w:color w:val="000000"/>
                <w:sz w:val="21"/>
                <w:szCs w:val="21"/>
              </w:rPr>
              <w:t>环境风险系数小，可满足管控要求</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Style w:val="26"/>
                <w:rFonts w:hint="eastAsia" w:ascii="宋体" w:hAnsi="宋体" w:eastAsia="宋体" w:cs="宋体"/>
                <w:color w:val="000000"/>
                <w:kern w:val="0"/>
                <w:sz w:val="21"/>
                <w:szCs w:val="21"/>
                <w:lang w:val="en-US" w:eastAsia="zh-CN" w:bidi="ar-SA"/>
              </w:rPr>
              <w:t>资源开发利用效率要求</w:t>
            </w:r>
          </w:p>
        </w:tc>
        <w:tc>
          <w:tcPr>
            <w:tcW w:w="7990" w:type="dxa"/>
            <w:tcBorders>
              <w:tl2br w:val="nil"/>
              <w:tr2bl w:val="nil"/>
            </w:tcBorders>
            <w:noWrap w:val="0"/>
            <w:vAlign w:val="center"/>
          </w:tcPr>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水资源利用总量要求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1.到2025年，万元工业增加值用水量下降到32.0m3/万元，重复利用率提高到84%；</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2.至2030年，万元工业增加值用水量进一步减少为28.0m3/万元，重复利用率提高到85%；</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3.新、改扩建项目水耗指标满足《四川省省级生态工业园区指标》综合类生态工业园区要求。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地下水开采要求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全面建设节水型社会，达到合理高效用水。</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能源利用总量及效率要求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1.扩大高污染燃料禁燃区范围，在市、县（区）、镇（乡）建成区全面实施“煤改气”“煤改电”。</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2.新、改扩建项目能耗指标满足《四川省省级生态工业园区指标》综合类生态工业园区要求。</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3.实施新建项目与煤炭消费总量控制挂钩机制，耗煤建设项目实行煤炭消耗等量减量替代。</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4.提高煤炭利用效率和天然气利用占比，工业领域有序推进“煤改电”和“煤改气”。</w:t>
            </w:r>
          </w:p>
          <w:p>
            <w:pPr>
              <w:pStyle w:val="73"/>
              <w:keepNext w:val="0"/>
              <w:keepLines w:val="0"/>
              <w:pageBreakBefore w:val="0"/>
              <w:kinsoku/>
              <w:wordWrap/>
              <w:overflowPunct/>
              <w:topLinePunct w:val="0"/>
              <w:autoSpaceDE/>
              <w:autoSpaceDN/>
              <w:bidi w:val="0"/>
              <w:adjustRightInd/>
              <w:snapToGrid/>
              <w:spacing w:line="312" w:lineRule="auto"/>
              <w:ind w:firstLine="0" w:firstLineChars="0"/>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5.到2030年，能源消费总量控制在1000万吨标准煤以内。</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项目生产废水</w:t>
            </w:r>
            <w:r>
              <w:rPr>
                <w:rFonts w:hint="eastAsia" w:cs="Times New Roman"/>
                <w:color w:val="000000"/>
                <w:sz w:val="21"/>
                <w:szCs w:val="21"/>
                <w:vertAlign w:val="baseline"/>
                <w:lang w:val="en-US" w:eastAsia="zh-CN"/>
              </w:rPr>
              <w:t>经处理后排入市政污水管网送蓬溪经开区污水处理厂处理</w:t>
            </w:r>
            <w:r>
              <w:rPr>
                <w:rFonts w:hint="default" w:ascii="Times New Roman" w:hAnsi="Times New Roman" w:eastAsia="宋体" w:cs="Times New Roman"/>
                <w:color w:val="000000"/>
                <w:sz w:val="21"/>
                <w:szCs w:val="21"/>
                <w:vertAlign w:val="baseline"/>
                <w:lang w:val="en-US" w:eastAsia="zh-CN"/>
              </w:rPr>
              <w:t>；项目不涉地下水开采、</w:t>
            </w:r>
            <w:r>
              <w:rPr>
                <w:rStyle w:val="26"/>
                <w:rFonts w:hint="default" w:ascii="Times New Roman" w:hAnsi="Times New Roman" w:eastAsia="宋体" w:cs="Times New Roman"/>
                <w:color w:val="000000"/>
                <w:kern w:val="0"/>
                <w:sz w:val="21"/>
                <w:szCs w:val="21"/>
                <w:lang w:val="en-US" w:eastAsia="zh-CN" w:bidi="ar-SA"/>
              </w:rPr>
              <w:t>高污染燃料</w:t>
            </w:r>
            <w:r>
              <w:rPr>
                <w:rFonts w:hint="default" w:ascii="Times New Roman" w:hAnsi="Times New Roman" w:eastAsia="宋体" w:cs="Times New Roman"/>
                <w:color w:val="000000"/>
                <w:sz w:val="21"/>
                <w:szCs w:val="21"/>
                <w:vertAlign w:val="baseline"/>
                <w:lang w:val="en-US" w:eastAsia="zh-CN"/>
              </w:rPr>
              <w:t>等。</w:t>
            </w:r>
          </w:p>
        </w:tc>
        <w:tc>
          <w:tcPr>
            <w:tcW w:w="920" w:type="dxa"/>
            <w:tcBorders>
              <w:tl2br w:val="nil"/>
              <w:tr2bl w:val="nil"/>
            </w:tcBorders>
            <w:noWrap w:val="0"/>
            <w:vAlign w:val="center"/>
          </w:tcPr>
          <w:p>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pStyle w:val="73"/>
              <w:widowControl w:val="0"/>
              <w:spacing w:line="360" w:lineRule="auto"/>
              <w:ind w:firstLine="0" w:firstLineChars="0"/>
              <w:jc w:val="both"/>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禁燃区要求</w:t>
            </w:r>
          </w:p>
        </w:tc>
        <w:tc>
          <w:tcPr>
            <w:tcW w:w="7990" w:type="dxa"/>
            <w:tcBorders>
              <w:tl2br w:val="nil"/>
              <w:tr2bl w:val="nil"/>
            </w:tcBorders>
            <w:noWrap w:val="0"/>
            <w:vAlign w:val="center"/>
          </w:tcPr>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1.禁燃区内禁止燃烧以下高污染燃料：</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（1）煤炭及其制品（包括原煤、散煤、煤矸石、煤泥、煤 粉、水浆煤、型煤、焦炭、兰炭、油类等常规燃料）。</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（2）石油焦、油页岩、原油、重油、渣油、煤焦油。</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（3）非专用锅炉或未配置高效除尘设施的专用锅炉燃用的 生物质成型燃料。</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2.禁燃区内禁止新建、扩建燃用高污染燃料的锅炉、炉窑、 炉灶等燃烧设施（集中供热、电厂锅炉除外）。</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3.自2020年1月1日起，禁燃区内禁止销售高污染燃料。</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4.加强对集中供热、电厂锅炉、10蒸吨/时以上的在用燃煤锅炉以及改用清洁能源前的在用锅炉等燃烧设施的监管，确保达标排放。</w:t>
            </w:r>
          </w:p>
          <w:p>
            <w:pPr>
              <w:pStyle w:val="73"/>
              <w:keepNext w:val="0"/>
              <w:keepLines w:val="0"/>
              <w:pageBreakBefore w:val="0"/>
              <w:widowControl w:val="0"/>
              <w:kinsoku/>
              <w:wordWrap/>
              <w:overflowPunct/>
              <w:topLinePunct w:val="0"/>
              <w:autoSpaceDE/>
              <w:autoSpaceDN/>
              <w:bidi w:val="0"/>
              <w:adjustRightInd/>
              <w:snapToGrid/>
              <w:spacing w:line="312" w:lineRule="auto"/>
              <w:ind w:firstLine="0" w:firstLineChars="0"/>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其他资源利用效率要求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宋体"/>
                <w:color w:val="000000"/>
                <w:kern w:val="0"/>
                <w:sz w:val="21"/>
                <w:szCs w:val="21"/>
                <w:lang w:val="en-US" w:eastAsia="zh-CN" w:bidi="ar-SA"/>
              </w:rPr>
            </w:pPr>
            <w:r>
              <w:rPr>
                <w:rStyle w:val="26"/>
                <w:rFonts w:hint="eastAsia" w:ascii="宋体" w:hAnsi="宋体" w:eastAsia="宋体" w:cs="宋体"/>
                <w:color w:val="000000"/>
                <w:kern w:val="0"/>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w:t>
            </w:r>
          </w:p>
        </w:tc>
        <w:tc>
          <w:tcPr>
            <w:tcW w:w="920" w:type="dxa"/>
            <w:tcBorders>
              <w:tl2br w:val="nil"/>
              <w:tr2bl w:val="nil"/>
            </w:tcBorders>
            <w:noWrap w:val="0"/>
            <w:vAlign w:val="center"/>
          </w:tcPr>
          <w:p>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6" w:hRule="atLeast"/>
          <w:jc w:val="center"/>
        </w:trPr>
        <w:tc>
          <w:tcPr>
            <w:tcW w:w="1077"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YS5109212310003四川蓬溪经济开发区（上游片区）</w:t>
            </w:r>
          </w:p>
        </w:tc>
        <w:tc>
          <w:tcPr>
            <w:tcW w:w="682"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单</w:t>
            </w:r>
            <w:r>
              <w:rPr>
                <w:rStyle w:val="26"/>
                <w:rFonts w:hint="eastAsia" w:ascii="宋体" w:hAnsi="宋体" w:eastAsia="宋体" w:cs="Times New Roman"/>
                <w:kern w:val="2"/>
                <w:sz w:val="21"/>
                <w:szCs w:val="21"/>
                <w:lang w:val="en-US" w:eastAsia="zh-CN" w:bidi="ar-SA"/>
              </w:rPr>
              <w:t>元级别清单管控要求</w:t>
            </w: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禁止开发建设活动的要求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限制开发建设活动的要求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允许开发建设活动的要求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不符合空间布局要求活动的退出要求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其他空间布局约束要求</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sz w:val="21"/>
                <w:szCs w:val="21"/>
                <w:lang w:val="en-US" w:eastAsia="zh-CN"/>
              </w:rPr>
              <w:t>无实质性要求</w:t>
            </w:r>
            <w:r>
              <w:rPr>
                <w:rFonts w:hint="default" w:ascii="Times New Roman" w:hAnsi="Times New Roman" w:eastAsia="宋体" w:cs="Times New Roman"/>
                <w:bCs/>
                <w:sz w:val="21"/>
                <w:szCs w:val="21"/>
                <w:lang w:eastAsia="zh-CN"/>
              </w:rPr>
              <w:t>。</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污染物排放管控</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大气环境质量执行标准</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《环境空气质量标准》（GB3095-2012）：二级</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区域大气污染物削减/替代要求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燃煤和其他能源大气污染控制要求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工业废气污染控制要求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机动车船大气污染控制要求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扬尘污染控制要求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农业生产经营活动大气污染控制要求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重点行业企业专项治理要求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其他大气污染物排放管控要求</w:t>
            </w:r>
          </w:p>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本项目不涉及锅炉、工业炉窑；</w:t>
            </w:r>
            <w:r>
              <w:rPr>
                <w:rStyle w:val="26"/>
                <w:rFonts w:hint="default" w:ascii="Times New Roman" w:hAnsi="Times New Roman" w:eastAsia="宋体" w:cs="Times New Roman"/>
                <w:kern w:val="2"/>
                <w:sz w:val="21"/>
                <w:szCs w:val="21"/>
                <w:lang w:val="en-US" w:eastAsia="zh-CN" w:bidi="ar-SA"/>
              </w:rPr>
              <w:t>不属于石化、化工等行业</w:t>
            </w:r>
            <w:r>
              <w:rPr>
                <w:rFonts w:hint="default" w:ascii="Times New Roman" w:hAnsi="Times New Roman" w:eastAsia="宋体" w:cs="Times New Roman"/>
                <w:color w:val="000000"/>
                <w:sz w:val="21"/>
                <w:szCs w:val="21"/>
                <w:vertAlign w:val="baseline"/>
                <w:lang w:val="en-US" w:eastAsia="zh-CN"/>
              </w:rPr>
              <w:t>。</w:t>
            </w:r>
            <w:r>
              <w:rPr>
                <w:rFonts w:hint="eastAsia" w:ascii="Times New Roman" w:hAnsi="Times New Roman" w:eastAsia="宋体" w:cs="Times New Roman"/>
                <w:color w:val="000000"/>
                <w:sz w:val="21"/>
                <w:szCs w:val="21"/>
                <w:vertAlign w:val="baseline"/>
                <w:lang w:val="en-US" w:eastAsia="zh-CN"/>
              </w:rPr>
              <w:t>项目有机废气经二级活性炭吸附处理后能满足达标排放的要求。</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环境风险管控</w:t>
            </w:r>
          </w:p>
        </w:tc>
        <w:tc>
          <w:tcPr>
            <w:tcW w:w="7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1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资源开发利用效率</w:t>
            </w:r>
          </w:p>
        </w:tc>
        <w:tc>
          <w:tcPr>
            <w:tcW w:w="7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7"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YS5109212540002蓬溪县上游工业园产业聚集区</w:t>
            </w:r>
          </w:p>
        </w:tc>
        <w:tc>
          <w:tcPr>
            <w:tcW w:w="682"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坚决遏制“两高一低”项目盲目发展</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本项目不属于高耗能、高排放、低水平项目。</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污染物排放管控</w:t>
            </w:r>
          </w:p>
        </w:tc>
        <w:tc>
          <w:tcPr>
            <w:tcW w:w="7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1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环境风险管控</w:t>
            </w:r>
          </w:p>
        </w:tc>
        <w:tc>
          <w:tcPr>
            <w:tcW w:w="7990" w:type="dxa"/>
            <w:vMerge w:val="continue"/>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both"/>
              <w:textAlignment w:val="auto"/>
              <w:rPr>
                <w:rFonts w:hint="eastAsia" w:ascii="宋体" w:hAnsi="宋体" w:eastAsia="宋体" w:cs="宋体"/>
                <w:color w:val="000000"/>
                <w:kern w:val="2"/>
                <w:sz w:val="21"/>
                <w:szCs w:val="21"/>
                <w:lang w:val="en-US" w:eastAsia="zh-CN" w:bidi="ar-SA"/>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资源开发利用效率</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土地资源开发效率要求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能源资源开发效率要求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能源消耗、污染物排放不得超过能源利用上线控制性指标。</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lang w:val="en-US" w:eastAsia="zh-CN"/>
              </w:rPr>
            </w:pPr>
            <w:r>
              <w:rPr>
                <w:rStyle w:val="26"/>
                <w:rFonts w:hint="eastAsia" w:ascii="宋体" w:hAnsi="宋体" w:eastAsia="宋体" w:cs="Times New Roman"/>
                <w:kern w:val="2"/>
                <w:sz w:val="21"/>
                <w:szCs w:val="21"/>
                <w:lang w:val="en-US" w:eastAsia="zh-CN" w:bidi="ar-SA"/>
              </w:rPr>
              <w:t>其他资源开发效率要求</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YS5109212550001蓬溪县自然资源重点管控区</w:t>
            </w:r>
          </w:p>
        </w:tc>
        <w:tc>
          <w:tcPr>
            <w:tcW w:w="682" w:type="dxa"/>
            <w:vMerge w:val="restart"/>
            <w:tcBorders>
              <w:tl2br w:val="nil"/>
              <w:tr2bl w:val="nil"/>
            </w:tcBorders>
            <w:noWrap w:val="0"/>
            <w:vAlign w:val="center"/>
          </w:tcPr>
          <w:p>
            <w:pPr>
              <w:jc w:val="both"/>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空间布局约束</w:t>
            </w:r>
          </w:p>
        </w:tc>
        <w:tc>
          <w:tcPr>
            <w:tcW w:w="799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c>
          <w:tcPr>
            <w:tcW w:w="1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w:t>
            </w:r>
          </w:p>
        </w:tc>
        <w:tc>
          <w:tcPr>
            <w:tcW w:w="920" w:type="dxa"/>
            <w:vMerge w:val="restart"/>
            <w:tcBorders>
              <w:tl2br w:val="nil"/>
              <w:tr2bl w:val="nil"/>
            </w:tcBorders>
            <w:noWrap w:val="0"/>
            <w:vAlign w:val="center"/>
          </w:tcPr>
          <w:p>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Style w:val="26"/>
                <w:rFonts w:hint="eastAsia" w:ascii="宋体" w:hAnsi="宋体" w:eastAsia="宋体" w:cs="Times New Roman"/>
                <w:kern w:val="2"/>
                <w:sz w:val="21"/>
                <w:szCs w:val="21"/>
                <w:lang w:val="en-US" w:eastAsia="zh-CN" w:bidi="ar-SA"/>
              </w:rPr>
            </w:pP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污染物排放管控</w:t>
            </w:r>
          </w:p>
        </w:tc>
        <w:tc>
          <w:tcPr>
            <w:tcW w:w="7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color w:val="000000"/>
                <w:sz w:val="21"/>
                <w:szCs w:val="21"/>
                <w:vertAlign w:val="baseline"/>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Style w:val="26"/>
                <w:rFonts w:hint="eastAsia" w:ascii="宋体" w:hAnsi="宋体" w:eastAsia="宋体" w:cs="Times New Roman"/>
                <w:kern w:val="2"/>
                <w:sz w:val="21"/>
                <w:szCs w:val="21"/>
                <w:lang w:val="en-US" w:eastAsia="zh-CN" w:bidi="ar-SA"/>
              </w:rPr>
            </w:pP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环境风险管控</w:t>
            </w:r>
          </w:p>
        </w:tc>
        <w:tc>
          <w:tcPr>
            <w:tcW w:w="799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lang w:val="en-US" w:eastAsia="zh-CN"/>
              </w:rPr>
            </w:pPr>
          </w:p>
        </w:tc>
        <w:tc>
          <w:tcPr>
            <w:tcW w:w="1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p>
        </w:tc>
        <w:tc>
          <w:tcPr>
            <w:tcW w:w="920"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Style w:val="26"/>
                <w:rFonts w:hint="eastAsia" w:ascii="宋体" w:hAnsi="宋体" w:eastAsia="宋体" w:cs="Times New Roman"/>
                <w:kern w:val="2"/>
                <w:sz w:val="21"/>
                <w:szCs w:val="21"/>
                <w:lang w:val="en-US" w:eastAsia="zh-CN" w:bidi="ar-SA"/>
              </w:rPr>
            </w:pPr>
          </w:p>
        </w:tc>
        <w:tc>
          <w:tcPr>
            <w:tcW w:w="1248"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资源开发利用效率</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土地资源开发效率要求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能源资源开发效率要求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Fonts w:hint="eastAsia" w:ascii="宋体" w:hAnsi="宋体" w:eastAsia="宋体" w:cs="宋体"/>
                <w:color w:val="000000"/>
                <w:sz w:val="21"/>
                <w:szCs w:val="21"/>
                <w:vertAlign w:val="baseline"/>
                <w:lang w:val="en-US" w:eastAsia="zh-CN"/>
              </w:rPr>
            </w:pPr>
            <w:r>
              <w:rPr>
                <w:rStyle w:val="26"/>
                <w:rFonts w:hint="eastAsia" w:ascii="宋体" w:hAnsi="宋体" w:eastAsia="宋体" w:cs="Times New Roman"/>
                <w:kern w:val="2"/>
                <w:sz w:val="21"/>
                <w:szCs w:val="21"/>
                <w:lang w:val="en-US" w:eastAsia="zh-CN" w:bidi="ar-SA"/>
              </w:rPr>
              <w:t>其他资源开发效率要求</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eastAsia="宋体" w:cs="Times New Roman"/>
                <w:color w:val="000000"/>
                <w:sz w:val="21"/>
                <w:szCs w:val="21"/>
                <w:vertAlign w:val="baseline"/>
                <w:lang w:val="en-US" w:eastAsia="zh-CN"/>
              </w:rPr>
              <w:t>无实质性要求。</w:t>
            </w:r>
          </w:p>
        </w:tc>
        <w:tc>
          <w:tcPr>
            <w:tcW w:w="920" w:type="dxa"/>
            <w:tcBorders>
              <w:tl2br w:val="nil"/>
              <w:tr2bl w:val="nil"/>
            </w:tcBorders>
            <w:noWrap w:val="0"/>
            <w:vAlign w:val="center"/>
          </w:tcPr>
          <w:p>
            <w:pPr>
              <w:jc w:val="both"/>
              <w:rPr>
                <w:rFonts w:hint="eastAsia" w:ascii="宋体" w:hAnsi="宋体" w:eastAsia="宋体" w:cs="宋体"/>
                <w:color w:val="000000"/>
                <w:kern w:val="2"/>
                <w:sz w:val="21"/>
                <w:szCs w:val="21"/>
                <w:vertAlign w:val="baseline"/>
                <w:lang w:val="en-US" w:eastAsia="zh-CN" w:bidi="ar-SA"/>
              </w:rPr>
            </w:pPr>
            <w:r>
              <w:rPr>
                <w:rFonts w:hint="eastAsia" w:ascii="宋体" w:hAnsi="宋体" w:eastAsia="宋体" w:cs="宋体"/>
                <w:color w:val="000000"/>
                <w:sz w:val="21"/>
                <w:szCs w:val="21"/>
                <w:vertAlign w:val="baseli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ZH51092120004四川蓬溪经济开发区（上游片区）</w:t>
            </w:r>
          </w:p>
        </w:tc>
        <w:tc>
          <w:tcPr>
            <w:tcW w:w="682" w:type="dxa"/>
            <w:vMerge w:val="restart"/>
            <w:tcBorders>
              <w:tl2br w:val="nil"/>
              <w:tr2bl w:val="nil"/>
            </w:tcBorders>
            <w:noWrap w:val="0"/>
            <w:vAlign w:val="center"/>
          </w:tcPr>
          <w:p>
            <w:pPr>
              <w:jc w:val="both"/>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空间布局约束</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禁止开发建设活动的要求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1.严禁新建焦化、黄磷、水泥、冶炼、石墨及碳素制品等大气污染排放量大的企业</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2.严禁新建化工（除油漆、涂料）、皮革、化学制浆造纸、化学合成原料药、生物发酵原料药、印染、制革、农药、电镀等废水排放量大且难以处理的企业</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3.其他参照遂宁市总体准入要求-工业重点管控单元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限制开发建设活动的要求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允许开发建设活动的要求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不符合空间布局要求活动的退出要求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其他空间布局约束要求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sz w:val="21"/>
                <w:szCs w:val="21"/>
                <w:vertAlign w:val="baseline"/>
                <w:lang w:val="en-US" w:eastAsia="zh-CN"/>
              </w:rPr>
              <w:t>本项目为C2926塑料包装箱及容器制造和C4220非金属废料和碎屑加工处理；不属于禁止、限制行业等情况。</w:t>
            </w:r>
          </w:p>
        </w:tc>
        <w:tc>
          <w:tcPr>
            <w:tcW w:w="920" w:type="dxa"/>
            <w:tcBorders>
              <w:tl2br w:val="nil"/>
              <w:tr2bl w:val="nil"/>
            </w:tcBorders>
            <w:noWrap w:val="0"/>
            <w:vAlign w:val="center"/>
          </w:tcPr>
          <w:p>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污染物排放管控</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现有源提标升级改造</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1.园区内的现有化工企业必须执行初期雨水收集处理。</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2.其他参照遂宁市总体准入要求-工业重点管控单元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新增源等量或倍量替代</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新增源排放标准限值</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1.项目产生的生产废水由企业自行处理达到《污水综合排放标准》三级或相应的行业排放标准后排入污水处理厂处理达到《城镇污水处理厂污染物排放标准》一级A标或更严格标准后排放。</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2.其他参照遂宁市总体准入要求-工业重点管控单元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污染物排放绩效水平准入要求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其他污染物排放管控要求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本项目位于不属于化工行业；项目生产废水</w:t>
            </w:r>
            <w:r>
              <w:rPr>
                <w:rFonts w:hint="eastAsia" w:cs="Times New Roman"/>
                <w:color w:val="000000"/>
                <w:sz w:val="21"/>
                <w:szCs w:val="21"/>
                <w:vertAlign w:val="baseline"/>
                <w:lang w:val="en-US" w:eastAsia="zh-CN"/>
              </w:rPr>
              <w:t>经处理后排入市政污水管网送蓬溪经开区污水处理厂处理</w:t>
            </w:r>
            <w:r>
              <w:rPr>
                <w:rFonts w:hint="default" w:ascii="Times New Roman" w:hAnsi="Times New Roman" w:eastAsia="宋体" w:cs="Times New Roman"/>
                <w:color w:val="000000"/>
                <w:sz w:val="21"/>
                <w:szCs w:val="21"/>
                <w:vertAlign w:val="baseline"/>
                <w:lang w:val="en-US" w:eastAsia="zh-CN"/>
              </w:rPr>
              <w:t>。</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环境风险管控</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严格管控类农用地管控要求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安全利用类农用地管控要求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污染地块管控要求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园区环境风险防控要求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企业环境风险防控要求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1.除化工企业配套的化学物质存储区外，禁止在区内另设置存储大宗危险化学物质的仓储项目。</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2.其他参照遂宁市总体准入要求-工业重点管控单元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其他环境风险防控要求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本项目无</w:t>
            </w:r>
            <w:r>
              <w:rPr>
                <w:rStyle w:val="26"/>
                <w:rFonts w:hint="default" w:ascii="Times New Roman" w:hAnsi="Times New Roman" w:eastAsia="宋体" w:cs="Times New Roman"/>
                <w:kern w:val="2"/>
                <w:sz w:val="21"/>
                <w:szCs w:val="21"/>
                <w:lang w:val="en-US" w:eastAsia="zh-CN" w:bidi="ar-SA"/>
              </w:rPr>
              <w:t>大宗危险化学物质的仓储；符合风险防控要求。</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Fonts w:hint="eastAsia" w:ascii="宋体" w:hAnsi="宋体" w:eastAsia="宋体" w:cs="宋体"/>
                <w:color w:val="000000"/>
                <w:sz w:val="21"/>
                <w:szCs w:val="21"/>
                <w:vertAlign w:val="baseline"/>
                <w:lang w:eastAsia="zh-CN"/>
              </w:rPr>
              <w:t>资源开发利用效率</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水资源利用效率要求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地下水开采要求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（1）蓬溪县2030年地下水开采控制量保持在0.09亿m3以内。（2）全面建设节水型社会，达到合理高效用水。</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能源利用效率要求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参照遂宁市总体准入要求-工业重点管控单元</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其他资源利用效率要求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禁燃区管控要求：参照遂宁市总体准入要求-工业重点管控单元</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本项目不涉及地下水开采等。</w:t>
            </w:r>
          </w:p>
        </w:tc>
        <w:tc>
          <w:tcPr>
            <w:tcW w:w="920" w:type="dxa"/>
            <w:tcBorders>
              <w:tl2br w:val="nil"/>
              <w:tr2bl w:val="nil"/>
            </w:tcBorders>
            <w:noWrap w:val="0"/>
            <w:vAlign w:val="center"/>
          </w:tcPr>
          <w:p>
            <w:pPr>
              <w:jc w:val="both"/>
              <w:rPr>
                <w:rFonts w:hint="default"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restart"/>
            <w:tcBorders>
              <w:tl2br w:val="nil"/>
              <w:tr2bl w:val="nil"/>
            </w:tcBorders>
            <w:noWrap w:val="0"/>
            <w:vAlign w:val="center"/>
          </w:tcPr>
          <w:p>
            <w:pPr>
              <w:jc w:val="both"/>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YS5109212530001蓬溪县城镇开发边界</w:t>
            </w:r>
          </w:p>
        </w:tc>
        <w:tc>
          <w:tcPr>
            <w:tcW w:w="6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color w:val="000000"/>
                <w:sz w:val="21"/>
                <w:szCs w:val="21"/>
                <w:vertAlign w:val="baseline"/>
              </w:rPr>
            </w:pPr>
            <w:r>
              <w:rPr>
                <w:rStyle w:val="26"/>
                <w:rFonts w:hint="eastAsia" w:ascii="宋体" w:hAnsi="宋体" w:eastAsia="宋体" w:cs="Times New Roman"/>
                <w:kern w:val="2"/>
                <w:sz w:val="21"/>
                <w:szCs w:val="21"/>
                <w:lang w:val="en-US" w:eastAsia="zh-CN" w:bidi="ar-SA"/>
              </w:rPr>
              <w:t>单元级别清单管控要求</w:t>
            </w: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Style w:val="26"/>
                <w:rFonts w:hint="eastAsia" w:ascii="宋体" w:hAnsi="宋体" w:eastAsia="宋体" w:cs="Times New Roman"/>
                <w:kern w:val="2"/>
                <w:sz w:val="21"/>
                <w:szCs w:val="21"/>
                <w:lang w:val="en-US" w:eastAsia="zh-CN" w:bidi="ar-SA"/>
              </w:rPr>
              <w:t>空间布局约束</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本项目在工业园区内建设，符合空间布局约束要求</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pStyle w:val="73"/>
              <w:widowControl/>
              <w:spacing w:line="240" w:lineRule="auto"/>
              <w:ind w:firstLine="0" w:firstLineChars="0"/>
              <w:jc w:val="left"/>
              <w:rPr>
                <w:rFonts w:hint="eastAsia" w:ascii="宋体" w:hAnsi="宋体" w:eastAsia="宋体" w:cs="宋体"/>
                <w:color w:val="000000"/>
                <w:sz w:val="21"/>
                <w:szCs w:val="21"/>
                <w:vertAlign w:val="baseline"/>
                <w:lang w:val="en-US" w:eastAsia="zh-CN" w:bidi="ar-SA"/>
              </w:rPr>
            </w:pPr>
            <w:r>
              <w:rPr>
                <w:rStyle w:val="26"/>
                <w:rFonts w:hint="eastAsia" w:ascii="宋体" w:hAnsi="宋体" w:eastAsia="宋体" w:cs="Times New Roman"/>
                <w:kern w:val="2"/>
                <w:sz w:val="21"/>
                <w:szCs w:val="21"/>
                <w:lang w:val="en-US" w:eastAsia="zh-CN" w:bidi="ar-SA"/>
              </w:rPr>
              <w:t>污染物排放管控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default"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无实质性要求</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pStyle w:val="73"/>
              <w:widowControl/>
              <w:spacing w:line="240" w:lineRule="auto"/>
              <w:ind w:firstLine="0" w:firstLineChars="0"/>
              <w:jc w:val="left"/>
              <w:rPr>
                <w:rFonts w:hint="eastAsia" w:ascii="宋体" w:hAnsi="宋体" w:eastAsia="宋体" w:cs="宋体"/>
                <w:color w:val="000000"/>
                <w:sz w:val="21"/>
                <w:szCs w:val="21"/>
                <w:vertAlign w:val="baseline"/>
                <w:lang w:val="en-US" w:eastAsia="zh-CN" w:bidi="ar-SA"/>
              </w:rPr>
            </w:pPr>
            <w:r>
              <w:rPr>
                <w:rStyle w:val="26"/>
                <w:rFonts w:hint="eastAsia" w:ascii="宋体" w:hAnsi="宋体" w:eastAsia="宋体" w:cs="Times New Roman"/>
                <w:kern w:val="2"/>
                <w:sz w:val="21"/>
                <w:szCs w:val="21"/>
                <w:lang w:val="en-US" w:eastAsia="zh-CN" w:bidi="ar-SA"/>
              </w:rPr>
              <w:t>环境风险防控</w:t>
            </w:r>
          </w:p>
        </w:tc>
        <w:tc>
          <w:tcPr>
            <w:tcW w:w="799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default"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无实质性要求</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77"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682" w:type="dxa"/>
            <w:vMerge w:val="continue"/>
            <w:tcBorders>
              <w:tl2br w:val="nil"/>
              <w:tr2bl w:val="nil"/>
            </w:tcBorders>
            <w:noWrap w:val="0"/>
            <w:vAlign w:val="center"/>
          </w:tcPr>
          <w:p>
            <w:pPr>
              <w:jc w:val="both"/>
              <w:rPr>
                <w:rFonts w:hint="eastAsia" w:ascii="宋体" w:hAnsi="宋体" w:eastAsia="宋体" w:cs="宋体"/>
                <w:color w:val="000000"/>
                <w:sz w:val="21"/>
                <w:szCs w:val="21"/>
                <w:vertAlign w:val="baseline"/>
              </w:rPr>
            </w:pPr>
          </w:p>
        </w:tc>
        <w:tc>
          <w:tcPr>
            <w:tcW w:w="1248" w:type="dxa"/>
            <w:tcBorders>
              <w:tl2br w:val="nil"/>
              <w:tr2bl w:val="nil"/>
            </w:tcBorders>
            <w:noWrap w:val="0"/>
            <w:vAlign w:val="center"/>
          </w:tcPr>
          <w:p>
            <w:pPr>
              <w:jc w:val="both"/>
              <w:rPr>
                <w:rFonts w:hint="eastAsia" w:ascii="宋体" w:hAnsi="宋体" w:eastAsia="宋体" w:cs="宋体"/>
                <w:color w:val="000000"/>
                <w:sz w:val="21"/>
                <w:szCs w:val="21"/>
                <w:vertAlign w:val="baseline"/>
                <w:lang w:eastAsia="zh-CN"/>
              </w:rPr>
            </w:pPr>
            <w:r>
              <w:rPr>
                <w:rStyle w:val="26"/>
                <w:rFonts w:hint="eastAsia" w:ascii="宋体" w:hAnsi="宋体" w:eastAsia="宋体" w:cs="Times New Roman"/>
                <w:kern w:val="2"/>
                <w:sz w:val="21"/>
                <w:szCs w:val="21"/>
                <w:lang w:val="en-US" w:eastAsia="zh-CN" w:bidi="ar-SA"/>
              </w:rPr>
              <w:t>资源开发效率要求</w:t>
            </w:r>
          </w:p>
        </w:tc>
        <w:tc>
          <w:tcPr>
            <w:tcW w:w="7990" w:type="dxa"/>
            <w:tcBorders>
              <w:tl2br w:val="nil"/>
              <w:tr2bl w:val="nil"/>
            </w:tcBorders>
            <w:noWrap w:val="0"/>
            <w:vAlign w:val="center"/>
          </w:tcPr>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土地资源开发效率要求</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土地资源开发利用量不得超过土地资源利用上线控制性指标。</w:t>
            </w:r>
          </w:p>
          <w:p>
            <w:pPr>
              <w:pStyle w:val="73"/>
              <w:keepNext w:val="0"/>
              <w:keepLines w:val="0"/>
              <w:pageBreakBefore w:val="0"/>
              <w:widowControl/>
              <w:shd w:val="clear" w:color="auto" w:fill="FFFFFF"/>
              <w:kinsoku/>
              <w:wordWrap/>
              <w:overflowPunct/>
              <w:topLinePunct w:val="0"/>
              <w:autoSpaceDE/>
              <w:autoSpaceDN/>
              <w:bidi w:val="0"/>
              <w:adjustRightInd/>
              <w:snapToGrid/>
              <w:spacing w:line="312" w:lineRule="auto"/>
              <w:ind w:firstLine="0" w:firstLineChars="0"/>
              <w:jc w:val="left"/>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能源资源开发效率要求</w:t>
            </w:r>
          </w:p>
          <w:p>
            <w:pPr>
              <w:keepNext w:val="0"/>
              <w:keepLines w:val="0"/>
              <w:pageBreakBefore w:val="0"/>
              <w:kinsoku/>
              <w:wordWrap/>
              <w:overflowPunct/>
              <w:topLinePunct w:val="0"/>
              <w:autoSpaceDE/>
              <w:autoSpaceDN/>
              <w:bidi w:val="0"/>
              <w:adjustRightInd/>
              <w:snapToGrid/>
              <w:spacing w:line="312" w:lineRule="auto"/>
              <w:jc w:val="both"/>
              <w:textAlignment w:val="auto"/>
              <w:rPr>
                <w:rStyle w:val="26"/>
                <w:rFonts w:hint="eastAsia" w:ascii="宋体" w:hAnsi="宋体" w:eastAsia="宋体" w:cs="Times New Roman"/>
                <w:kern w:val="2"/>
                <w:sz w:val="21"/>
                <w:szCs w:val="21"/>
                <w:lang w:val="en-US" w:eastAsia="zh-CN" w:bidi="ar-SA"/>
              </w:rPr>
            </w:pPr>
            <w:r>
              <w:rPr>
                <w:rStyle w:val="26"/>
                <w:rFonts w:hint="eastAsia" w:ascii="宋体" w:hAnsi="宋体" w:eastAsia="宋体" w:cs="Times New Roman"/>
                <w:kern w:val="2"/>
                <w:sz w:val="21"/>
                <w:szCs w:val="21"/>
                <w:lang w:val="en-US" w:eastAsia="zh-CN" w:bidi="ar-SA"/>
              </w:rPr>
              <w:t>其他资源开发效率要求</w:t>
            </w:r>
          </w:p>
        </w:tc>
        <w:tc>
          <w:tcPr>
            <w:tcW w:w="1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项目用地为既有工业用地，不新增用地</w:t>
            </w:r>
          </w:p>
        </w:tc>
        <w:tc>
          <w:tcPr>
            <w:tcW w:w="920" w:type="dxa"/>
            <w:tcBorders>
              <w:tl2br w:val="nil"/>
              <w:tr2bl w:val="nil"/>
            </w:tcBorders>
            <w:noWrap w:val="0"/>
            <w:vAlign w:val="center"/>
          </w:tcPr>
          <w:p>
            <w:pPr>
              <w:jc w:val="both"/>
              <w:rPr>
                <w:rFonts w:hint="eastAsia" w:ascii="宋体" w:hAnsi="宋体" w:eastAsia="宋体" w:cs="宋体"/>
                <w:color w:val="000000"/>
                <w:sz w:val="21"/>
                <w:szCs w:val="21"/>
                <w:vertAlign w:val="baseline"/>
                <w:lang w:val="en-US" w:eastAsia="zh-CN"/>
              </w:rPr>
            </w:pPr>
            <w:r>
              <w:rPr>
                <w:rFonts w:hint="eastAsia" w:ascii="宋体" w:hAnsi="宋体" w:eastAsia="宋体" w:cs="宋体"/>
                <w:color w:val="000000"/>
                <w:sz w:val="21"/>
                <w:szCs w:val="21"/>
                <w:vertAlign w:val="baseline"/>
                <w:lang w:val="en-US" w:eastAsia="zh-CN"/>
              </w:rPr>
              <w:t>符合</w:t>
            </w:r>
          </w:p>
        </w:tc>
      </w:tr>
    </w:tbl>
    <w:p>
      <w:pPr>
        <w:pStyle w:val="66"/>
        <w:ind w:firstLine="480"/>
        <w:jc w:val="both"/>
        <w:rPr>
          <w:rFonts w:ascii="Times New Roman" w:hAnsi="Times New Roman" w:cs="Times New Roman"/>
          <w:color w:val="000000"/>
        </w:rPr>
      </w:pPr>
    </w:p>
    <w:p>
      <w:pPr>
        <w:pStyle w:val="66"/>
        <w:ind w:firstLine="480"/>
        <w:jc w:val="both"/>
        <w:rPr>
          <w:color w:val="000000"/>
        </w:rPr>
        <w:sectPr>
          <w:pgSz w:w="16838" w:h="11905"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ascii="Times New Roman" w:hAnsi="Times New Roman" w:cs="Times New Roman"/>
          <w:b/>
          <w:bCs/>
          <w:color w:val="000000"/>
        </w:rPr>
        <w:t>根据以上分析</w:t>
      </w:r>
      <w:r>
        <w:rPr>
          <w:rFonts w:hint="eastAsia" w:ascii="Times New Roman" w:hAnsi="Times New Roman" w:cs="Times New Roman"/>
          <w:b/>
          <w:bCs/>
          <w:color w:val="000000"/>
          <w:lang w:eastAsia="zh-CN"/>
        </w:rPr>
        <w:t>，本项目符合现有“三线一单”的相关</w:t>
      </w:r>
      <w:r>
        <w:rPr>
          <w:rFonts w:hint="eastAsia" w:ascii="Times New Roman" w:hAnsi="Times New Roman" w:cs="Times New Roman"/>
          <w:b/>
          <w:bCs/>
          <w:color w:val="000000"/>
          <w:lang w:val="en-US" w:eastAsia="zh-CN"/>
        </w:rPr>
        <w:t>管控</w:t>
      </w:r>
      <w:r>
        <w:rPr>
          <w:rFonts w:hint="eastAsia" w:ascii="Times New Roman" w:hAnsi="Times New Roman" w:cs="Times New Roman"/>
          <w:b/>
          <w:bCs/>
          <w:color w:val="000000"/>
          <w:lang w:eastAsia="zh-CN"/>
        </w:rPr>
        <w:t>要求</w:t>
      </w:r>
      <w:r>
        <w:rPr>
          <w:rFonts w:ascii="Times New Roman" w:hAnsi="Times New Roman" w:cs="Times New Roman"/>
          <w:b/>
          <w:bCs/>
          <w:color w:val="000000"/>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noWrap w:val="0"/>
            <w:vAlign w:val="top"/>
          </w:tcPr>
          <w:p>
            <w:pPr>
              <w:pStyle w:val="60"/>
              <w:rPr>
                <w:rFonts w:hint="default" w:ascii="Times New Roman" w:hAnsi="Times New Roman" w:cs="Times New Roman"/>
              </w:rPr>
            </w:pPr>
          </w:p>
          <w:p>
            <w:pPr>
              <w:pStyle w:val="66"/>
              <w:ind w:firstLine="482"/>
              <w:rPr>
                <w:rFonts w:hint="default" w:ascii="Times New Roman" w:hAnsi="Times New Roman" w:cs="Times New Roman"/>
                <w:b/>
                <w:bCs/>
                <w:lang w:val="zh-CN"/>
              </w:rPr>
            </w:pPr>
            <w:r>
              <w:rPr>
                <w:rFonts w:hint="default" w:ascii="Times New Roman" w:hAnsi="Times New Roman" w:cs="Times New Roman"/>
                <w:b/>
                <w:bCs/>
                <w:lang w:val="zh-CN"/>
              </w:rPr>
              <w:t>（</w:t>
            </w:r>
            <w:r>
              <w:rPr>
                <w:rFonts w:hint="eastAsia" w:ascii="Times New Roman" w:hAnsi="Times New Roman" w:cs="Times New Roman"/>
                <w:b/>
                <w:bCs/>
                <w:lang w:val="en-US" w:eastAsia="zh-CN"/>
              </w:rPr>
              <w:t>4</w:t>
            </w:r>
            <w:r>
              <w:rPr>
                <w:rFonts w:hint="default" w:ascii="Times New Roman" w:hAnsi="Times New Roman" w:cs="Times New Roman"/>
                <w:b/>
                <w:bCs/>
                <w:lang w:val="zh-CN"/>
              </w:rPr>
              <w:t>）</w:t>
            </w:r>
            <w:r>
              <w:rPr>
                <w:rFonts w:hint="default" w:ascii="Times New Roman" w:hAnsi="Times New Roman" w:cs="Times New Roman"/>
                <w:b/>
                <w:bCs/>
              </w:rPr>
              <w:t>与大气污染防治等相关规划符合性分析</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本项目与</w:t>
            </w:r>
            <w:r>
              <w:rPr>
                <w:rFonts w:hint="eastAsia" w:ascii="Times New Roman" w:hAnsi="Times New Roman" w:eastAsia="宋体" w:cs="Times New Roman"/>
                <w:color w:val="auto"/>
                <w:kern w:val="0"/>
                <w:sz w:val="24"/>
                <w:szCs w:val="24"/>
                <w:lang w:val="en-US" w:eastAsia="zh-CN"/>
              </w:rPr>
              <w:t>《中华人民共和国大气污染防治法》</w:t>
            </w:r>
            <w:r>
              <w:rPr>
                <w:rFonts w:hint="default" w:ascii="Times New Roman" w:hAnsi="Times New Roman" w:cs="Times New Roman"/>
                <w:color w:val="auto"/>
                <w:highlight w:val="none"/>
              </w:rPr>
              <w:t>《关于印发四川省打赢蓝天保卫战等九个实施方案的通知》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川府发〔2019〕4号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、《重点行业挥发性有机物综合治理方案》环大气〔2019〕53号</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kern w:val="0"/>
                <w:sz w:val="24"/>
                <w:szCs w:val="24"/>
                <w:lang w:val="en-US" w:eastAsia="zh-CN"/>
              </w:rPr>
              <w:t>《2020年挥发性有机物治理攻坚方案》</w:t>
            </w:r>
            <w:r>
              <w:rPr>
                <w:rFonts w:hint="default" w:ascii="Times New Roman" w:hAnsi="Times New Roman" w:cs="Times New Roman"/>
                <w:color w:val="auto"/>
                <w:highlight w:val="none"/>
              </w:rPr>
              <w:t>等文件的符合性如下：</w:t>
            </w:r>
          </w:p>
          <w:p>
            <w:pPr>
              <w:pStyle w:val="60"/>
              <w:bidi w:val="0"/>
              <w:rPr>
                <w:rFonts w:hint="eastAsia"/>
                <w:lang w:val="en-US" w:eastAsia="zh-CN"/>
              </w:rPr>
            </w:pPr>
            <w:r>
              <w:rPr>
                <w:rFonts w:hint="eastAsia"/>
                <w:lang w:val="en-US" w:eastAsia="zh-CN"/>
              </w:rPr>
              <w:t>表1-4   项目法律法规符合性分析表</w:t>
            </w:r>
          </w:p>
          <w:tbl>
            <w:tblPr>
              <w:tblStyle w:val="24"/>
              <w:tblW w:w="48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09"/>
              <w:gridCol w:w="4693"/>
              <w:gridCol w:w="2031"/>
              <w:gridCol w:w="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652"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法律法规</w:t>
                  </w:r>
                </w:p>
              </w:tc>
              <w:tc>
                <w:tcPr>
                  <w:tcW w:w="2759"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相关要求</w:t>
                  </w:r>
                </w:p>
              </w:tc>
              <w:tc>
                <w:tcPr>
                  <w:tcW w:w="1194"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本项目</w:t>
                  </w:r>
                </w:p>
              </w:tc>
              <w:tc>
                <w:tcPr>
                  <w:tcW w:w="393"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64" w:hRule="atLeast"/>
                <w:jc w:val="center"/>
              </w:trPr>
              <w:tc>
                <w:tcPr>
                  <w:tcW w:w="652" w:type="pct"/>
                  <w:vMerge w:val="restart"/>
                  <w:tcBorders>
                    <w:tl2br w:val="nil"/>
                    <w:tr2bl w:val="nil"/>
                  </w:tcBorders>
                  <w:noWrap w:val="0"/>
                  <w:vAlign w:val="center"/>
                </w:tcPr>
                <w:p>
                  <w:pPr>
                    <w:spacing w:line="360" w:lineRule="auto"/>
                    <w:ind w:firstLine="420" w:firstLineChars="200"/>
                    <w:jc w:val="left"/>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《中华人民共和国大气污染防治法》</w:t>
                  </w:r>
                </w:p>
              </w:tc>
              <w:tc>
                <w:tcPr>
                  <w:tcW w:w="2759"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生产、进口、销售和使用含挥发性有机物的原材料和产品的，其挥发性有机物含量应当符合质量标准或者要求</w:t>
                  </w:r>
                </w:p>
              </w:tc>
              <w:tc>
                <w:tcPr>
                  <w:tcW w:w="1194"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生产使用的原料均符合质量标准或要求</w:t>
                  </w:r>
                </w:p>
              </w:tc>
              <w:tc>
                <w:tcPr>
                  <w:tcW w:w="393"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652" w:type="pct"/>
                  <w:vMerge w:val="continue"/>
                  <w:tcBorders>
                    <w:tl2br w:val="nil"/>
                    <w:tr2bl w:val="nil"/>
                  </w:tcBorders>
                  <w:noWrap w:val="0"/>
                  <w:vAlign w:val="center"/>
                </w:tcPr>
                <w:p>
                  <w:pPr>
                    <w:spacing w:line="360" w:lineRule="auto"/>
                    <w:ind w:firstLine="420" w:firstLineChars="200"/>
                    <w:jc w:val="left"/>
                    <w:rPr>
                      <w:rFonts w:hint="eastAsia" w:ascii="Times New Roman" w:hAnsi="Times New Roman" w:cs="Times New Roman"/>
                      <w:color w:val="auto"/>
                      <w:kern w:val="0"/>
                      <w:szCs w:val="21"/>
                      <w:highlight w:val="none"/>
                      <w:lang w:val="en-US" w:eastAsia="zh-CN"/>
                    </w:rPr>
                  </w:pPr>
                </w:p>
              </w:tc>
              <w:tc>
                <w:tcPr>
                  <w:tcW w:w="2759"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产生含挥发性有机物废气的生产和服务活动，应当在密闭空间或者设备中进行，并按照规定安装、使用污染防治设施；无法密闭的，应当采取措施减少废气排放</w:t>
                  </w:r>
                </w:p>
              </w:tc>
              <w:tc>
                <w:tcPr>
                  <w:tcW w:w="1194"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项目生产中配套相应的集气系统，有机废气</w:t>
                  </w:r>
                  <w:r>
                    <w:rPr>
                      <w:rFonts w:hint="eastAsia" w:cs="Times New Roman"/>
                      <w:color w:val="auto"/>
                      <w:kern w:val="0"/>
                      <w:sz w:val="21"/>
                      <w:szCs w:val="21"/>
                      <w:lang w:val="en-US" w:eastAsia="zh-CN"/>
                    </w:rPr>
                    <w:t>经过二级活性炭</w:t>
                  </w:r>
                  <w:r>
                    <w:rPr>
                      <w:rFonts w:hint="eastAsia" w:ascii="Times New Roman" w:hAnsi="Times New Roman" w:eastAsia="宋体" w:cs="Times New Roman"/>
                      <w:color w:val="auto"/>
                      <w:kern w:val="0"/>
                      <w:sz w:val="21"/>
                      <w:szCs w:val="21"/>
                      <w:lang w:val="en-US" w:eastAsia="zh-CN"/>
                    </w:rPr>
                    <w:t>吸附处理后通过15m排气筒排放</w:t>
                  </w:r>
                </w:p>
              </w:tc>
              <w:tc>
                <w:tcPr>
                  <w:tcW w:w="393"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5" w:hRule="atLeast"/>
                <w:jc w:val="center"/>
              </w:trPr>
              <w:tc>
                <w:tcPr>
                  <w:tcW w:w="652" w:type="pct"/>
                  <w:tcBorders>
                    <w:tl2br w:val="nil"/>
                    <w:tr2bl w:val="nil"/>
                  </w:tcBorders>
                  <w:noWrap w:val="0"/>
                  <w:tcMar>
                    <w:top w:w="12" w:type="dxa"/>
                    <w:left w:w="12" w:type="dxa"/>
                    <w:bottom w:w="0" w:type="dxa"/>
                    <w:right w:w="12" w:type="dxa"/>
                  </w:tcMar>
                  <w:vAlign w:val="center"/>
                </w:tcPr>
                <w:p>
                  <w:pPr>
                    <w:spacing w:line="360" w:lineRule="auto"/>
                    <w:ind w:firstLine="420" w:firstLineChars="200"/>
                    <w:jc w:val="left"/>
                    <w:rPr>
                      <w:rFonts w:hint="eastAsia"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
                    </w:rPr>
                    <w:t>《四川省打赢蓝天保卫战实施方案》川府发〔2019〕4号</w:t>
                  </w:r>
                </w:p>
              </w:tc>
              <w:tc>
                <w:tcPr>
                  <w:tcW w:w="2759" w:type="pct"/>
                  <w:tcBorders>
                    <w:tl2br w:val="nil"/>
                    <w:tr2bl w:val="nil"/>
                  </w:tcBorders>
                  <w:noWrap w:val="0"/>
                  <w:tcMar>
                    <w:top w:w="12" w:type="dxa"/>
                    <w:left w:w="12" w:type="dxa"/>
                    <w:bottom w:w="0" w:type="dxa"/>
                    <w:right w:w="12" w:type="dxa"/>
                  </w:tcMar>
                  <w:vAlign w:val="top"/>
                </w:tcPr>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《四川省打赢蓝天保卫战实施方案》</w:t>
                  </w:r>
                </w:p>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三、重点任务</w:t>
                  </w:r>
                </w:p>
                <w:p>
                  <w:pPr>
                    <w:keepNext w:val="0"/>
                    <w:keepLines w:val="0"/>
                    <w:pageBreakBefore w:val="0"/>
                    <w:widowControl w:val="0"/>
                    <w:kinsoku/>
                    <w:wordWrap/>
                    <w:overflowPunct/>
                    <w:topLinePunct w:val="0"/>
                    <w:bidi w:val="0"/>
                    <w:spacing w:line="312" w:lineRule="auto"/>
                    <w:ind w:firstLine="210" w:firstLineChars="100"/>
                    <w:textAlignment w:val="auto"/>
                    <w:rPr>
                      <w:rFonts w:hint="default" w:ascii="Times New Roman" w:hAnsi="Times New Roman" w:cs="Times New Roman"/>
                      <w:color w:val="auto"/>
                      <w:kern w:val="0"/>
                      <w:sz w:val="21"/>
                      <w:szCs w:val="21"/>
                      <w:highlight w:val="none"/>
                      <w:lang w:val="en"/>
                    </w:rPr>
                  </w:pPr>
                  <w:r>
                    <w:rPr>
                      <w:rFonts w:hint="default" w:ascii="Times New Roman" w:hAnsi="Times New Roman" w:cs="Times New Roman"/>
                      <w:color w:val="auto"/>
                      <w:kern w:val="0"/>
                      <w:sz w:val="21"/>
                      <w:szCs w:val="21"/>
                      <w:highlight w:val="none"/>
                      <w:lang w:val="en"/>
                    </w:rPr>
                    <w:t>（一）调整产业结构，深化工业污染治理。</w:t>
                  </w:r>
                </w:p>
                <w:p>
                  <w:pPr>
                    <w:keepNext w:val="0"/>
                    <w:keepLines w:val="0"/>
                    <w:pageBreakBefore w:val="0"/>
                    <w:widowControl w:val="0"/>
                    <w:kinsoku/>
                    <w:wordWrap/>
                    <w:overflowPunct/>
                    <w:topLinePunct w:val="0"/>
                    <w:bidi w:val="0"/>
                    <w:spacing w:line="312" w:lineRule="auto"/>
                    <w:ind w:firstLine="210" w:firstLineChars="100"/>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…强化挥发性有机物综合治理。严格涉及VOCs排放的建设项目环境准入，加强源头控制。提高涉及VOCs排放行业环保准入门槛，新建涉及VOCs排放的工业企业入驻园区。</w:t>
                  </w:r>
                </w:p>
              </w:tc>
              <w:tc>
                <w:tcPr>
                  <w:tcW w:w="1194"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bidi w:val="0"/>
                    <w:spacing w:line="312" w:lineRule="auto"/>
                    <w:ind w:firstLine="210" w:firstLineChars="100"/>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highlight w:val="none"/>
                      <w:lang w:val="en"/>
                    </w:rPr>
                    <w:t>本项目生产过程中涉及</w:t>
                  </w:r>
                  <w:r>
                    <w:rPr>
                      <w:rFonts w:hint="default" w:ascii="Times New Roman" w:hAnsi="Times New Roman" w:cs="Times New Roman"/>
                      <w:color w:val="auto"/>
                      <w:kern w:val="0"/>
                      <w:sz w:val="21"/>
                      <w:szCs w:val="21"/>
                      <w:highlight w:val="none"/>
                    </w:rPr>
                    <w:t>VOCs排放，项目位于</w:t>
                  </w:r>
                  <w:r>
                    <w:rPr>
                      <w:rFonts w:hint="default" w:ascii="Times New Roman" w:hAnsi="Times New Roman" w:cs="Times New Roman"/>
                      <w:sz w:val="21"/>
                      <w:szCs w:val="21"/>
                    </w:rPr>
                    <w:t>蓬溪县上游工业园产业聚集区</w:t>
                  </w:r>
                  <w:r>
                    <w:rPr>
                      <w:rFonts w:hint="default" w:ascii="Times New Roman" w:hAnsi="Times New Roman" w:cs="Times New Roman"/>
                      <w:sz w:val="21"/>
                      <w:szCs w:val="21"/>
                      <w:lang w:val="en-US" w:eastAsia="zh-CN"/>
                    </w:rPr>
                    <w:t>内</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
                    </w:rPr>
                    <w:t>属于入园项目，</w:t>
                  </w:r>
                  <w:r>
                    <w:rPr>
                      <w:rFonts w:hint="default" w:ascii="Times New Roman" w:hAnsi="Times New Roman" w:cs="Times New Roman"/>
                      <w:color w:val="auto"/>
                      <w:kern w:val="0"/>
                      <w:sz w:val="21"/>
                      <w:szCs w:val="21"/>
                      <w:highlight w:val="none"/>
                    </w:rPr>
                    <w:t>符合政策要求</w:t>
                  </w:r>
                  <w:r>
                    <w:rPr>
                      <w:rFonts w:hint="default" w:ascii="Times New Roman" w:hAnsi="Times New Roman" w:cs="Times New Roman"/>
                      <w:color w:val="auto"/>
                      <w:kern w:val="0"/>
                      <w:sz w:val="21"/>
                      <w:szCs w:val="21"/>
                      <w:highlight w:val="none"/>
                      <w:lang w:val="en"/>
                    </w:rPr>
                    <w:t>。</w:t>
                  </w:r>
                </w:p>
              </w:tc>
              <w:tc>
                <w:tcPr>
                  <w:tcW w:w="393" w:type="pct"/>
                  <w:tcBorders>
                    <w:tl2br w:val="nil"/>
                    <w:tr2bl w:val="nil"/>
                  </w:tcBorders>
                  <w:noWrap w:val="0"/>
                  <w:tcMar>
                    <w:top w:w="12" w:type="dxa"/>
                    <w:left w:w="12" w:type="dxa"/>
                    <w:bottom w:w="0" w:type="dxa"/>
                    <w:right w:w="12" w:type="dxa"/>
                  </w:tcMar>
                  <w:vAlign w:val="center"/>
                </w:tcPr>
                <w:p>
                  <w:pPr>
                    <w:spacing w:line="360" w:lineRule="auto"/>
                    <w:rPr>
                      <w:rFonts w:hint="eastAsia"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Cs w:val="21"/>
                      <w:highlight w:val="none"/>
                      <w:lang w:val="e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652" w:type="pct"/>
                  <w:tcBorders>
                    <w:tl2br w:val="nil"/>
                    <w:tr2bl w:val="nil"/>
                  </w:tcBorders>
                  <w:noWrap w:val="0"/>
                  <w:tcMar>
                    <w:top w:w="12" w:type="dxa"/>
                    <w:left w:w="12" w:type="dxa"/>
                    <w:bottom w:w="0" w:type="dxa"/>
                    <w:right w:w="12" w:type="dxa"/>
                  </w:tcMar>
                  <w:vAlign w:val="center"/>
                </w:tcPr>
                <w:p>
                  <w:pPr>
                    <w:spacing w:line="360" w:lineRule="auto"/>
                    <w:ind w:firstLine="420" w:firstLineChars="200"/>
                    <w:jc w:val="left"/>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《重点行业挥发性有机物综合治理方案的通知》（环大气[2019]53号）</w:t>
                  </w:r>
                </w:p>
              </w:tc>
              <w:tc>
                <w:tcPr>
                  <w:tcW w:w="2759"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1194"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12" w:lineRule="auto"/>
                    <w:ind w:firstLine="210" w:firstLineChars="100"/>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项目在挤出口设置了废气收集设施，做到了废气应收尽收的原则，项目废气收集满足政策要求。</w:t>
                  </w:r>
                </w:p>
              </w:tc>
              <w:tc>
                <w:tcPr>
                  <w:tcW w:w="393" w:type="pct"/>
                  <w:tcBorders>
                    <w:tl2br w:val="nil"/>
                    <w:tr2bl w:val="nil"/>
                  </w:tcBorders>
                  <w:noWrap w:val="0"/>
                  <w:tcMar>
                    <w:top w:w="12" w:type="dxa"/>
                    <w:left w:w="12" w:type="dxa"/>
                    <w:bottom w:w="0" w:type="dxa"/>
                    <w:right w:w="12"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88" w:lineRule="auto"/>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符合</w:t>
                  </w:r>
                </w:p>
              </w:tc>
            </w:tr>
          </w:tbl>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根据以上分析，本项目的建设符合</w:t>
            </w:r>
            <w:r>
              <w:rPr>
                <w:rFonts w:hint="eastAsia" w:ascii="Times New Roman" w:hAnsi="Times New Roman" w:eastAsia="宋体" w:cs="Times New Roman"/>
                <w:color w:val="auto"/>
                <w:kern w:val="0"/>
                <w:sz w:val="24"/>
                <w:szCs w:val="24"/>
                <w:lang w:val="en-US" w:eastAsia="zh-CN"/>
              </w:rPr>
              <w:t>《中华人民共和国大气污染防治法》</w:t>
            </w:r>
            <w:r>
              <w:rPr>
                <w:rFonts w:hint="default" w:ascii="Times New Roman" w:hAnsi="Times New Roman" w:cs="Times New Roman"/>
                <w:color w:val="auto"/>
                <w:highlight w:val="none"/>
              </w:rPr>
              <w:t>《关于印发四川省打赢蓝天保卫战等九个实施方案的通知》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川府发〔2019〕4号</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、《重点行业挥发性有机物综合治理方案》环大气〔2019〕53号</w:t>
            </w:r>
            <w:r>
              <w:rPr>
                <w:rFonts w:hint="default" w:ascii="Times New Roman" w:hAnsi="Times New Roman" w:cs="Times New Roman"/>
                <w:color w:val="auto"/>
                <w:highlight w:val="none"/>
                <w:lang w:val="zh-CN"/>
              </w:rPr>
              <w:t>的政策要求。</w:t>
            </w:r>
          </w:p>
          <w:p>
            <w:pPr>
              <w:pStyle w:val="66"/>
              <w:ind w:firstLine="482"/>
              <w:rPr>
                <w:rFonts w:hint="default" w:ascii="Times New Roman" w:hAnsi="Times New Roman" w:cs="Times New Roman"/>
                <w:b/>
                <w:bCs/>
              </w:rPr>
            </w:pPr>
            <w:r>
              <w:rPr>
                <w:rFonts w:hint="default" w:ascii="Times New Roman" w:hAnsi="Times New Roman" w:cs="Times New Roman"/>
                <w:b/>
                <w:bCs/>
              </w:rPr>
              <w:t>（</w:t>
            </w:r>
            <w:r>
              <w:rPr>
                <w:rFonts w:hint="eastAsia" w:ascii="Times New Roman" w:hAnsi="Times New Roman" w:cs="Times New Roman"/>
                <w:b/>
                <w:bCs/>
                <w:lang w:val="en-US" w:eastAsia="zh-CN"/>
              </w:rPr>
              <w:t>5</w:t>
            </w:r>
            <w:r>
              <w:rPr>
                <w:rFonts w:hint="default" w:ascii="Times New Roman" w:hAnsi="Times New Roman" w:cs="Times New Roman"/>
                <w:b/>
                <w:bCs/>
              </w:rPr>
              <w:t>）与水污染防治符合性</w:t>
            </w:r>
          </w:p>
          <w:p>
            <w:pPr>
              <w:pStyle w:val="66"/>
              <w:ind w:firstLine="480"/>
              <w:rPr>
                <w:rFonts w:hint="default" w:ascii="Times New Roman" w:hAnsi="Times New Roman" w:cs="Times New Roman"/>
              </w:rPr>
            </w:pPr>
            <w:r>
              <w:rPr>
                <w:rFonts w:hint="default" w:ascii="Times New Roman" w:hAnsi="Times New Roman" w:cs="Times New Roman"/>
              </w:rPr>
              <w:t>项目与《国务院关于印发水污染防治行动计划的通知》（国发〔2015〕17号）、《涪江流域（遂宁段）水环境治理工作方案（试行）》（遂府函〔2017〕155号）和《关于印发四川省打赢蓝天保卫战等九个实施方案的通知》川府发〔2019〕4号的符合性分析如下：</w:t>
            </w:r>
          </w:p>
          <w:p>
            <w:pPr>
              <w:pStyle w:val="60"/>
              <w:rPr>
                <w:rFonts w:hint="default" w:ascii="Times New Roman" w:hAnsi="Times New Roman" w:cs="Times New Roman"/>
              </w:rPr>
            </w:pPr>
            <w:r>
              <w:rPr>
                <w:rFonts w:hint="default" w:ascii="Times New Roman" w:hAnsi="Times New Roman" w:cs="Times New Roman"/>
              </w:rPr>
              <w:t>表1-</w:t>
            </w:r>
            <w:r>
              <w:rPr>
                <w:rFonts w:hint="eastAsia" w:ascii="Times New Roman" w:hAnsi="Times New Roman" w:cs="Times New Roman"/>
                <w:lang w:val="en-US" w:eastAsia="zh-CN"/>
              </w:rPr>
              <w:t>5</w:t>
            </w:r>
            <w:r>
              <w:rPr>
                <w:rFonts w:hint="default" w:ascii="Times New Roman" w:hAnsi="Times New Roman" w:cs="Times New Roman"/>
              </w:rPr>
              <w:t>与水污染防治符合性</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69"/>
              <w:gridCol w:w="4544"/>
              <w:gridCol w:w="1898"/>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1269"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水污染防治文件</w:t>
                  </w:r>
                </w:p>
              </w:tc>
              <w:tc>
                <w:tcPr>
                  <w:tcW w:w="4544"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政策要求</w:t>
                  </w:r>
                </w:p>
              </w:tc>
              <w:tc>
                <w:tcPr>
                  <w:tcW w:w="1898"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本项目情况</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vMerge w:val="restart"/>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国务院关于印发水污染防治行动计划的通知“国发〔2015〕17号”</w:t>
                  </w: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1898"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项目均不属于“十小”企业，不属于取缔项目</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vMerge w:val="continue"/>
                  <w:noWrap w:val="0"/>
                  <w:vAlign w:val="center"/>
                </w:tcPr>
                <w:p>
                  <w:pPr>
                    <w:widowControl/>
                    <w:adjustRightInd w:val="0"/>
                    <w:snapToGrid w:val="0"/>
                    <w:spacing w:line="360" w:lineRule="auto"/>
                    <w:jc w:val="center"/>
                    <w:rPr>
                      <w:rFonts w:hint="default" w:ascii="Times New Roman" w:hAnsi="Times New Roman" w:cs="Times New Roman"/>
                      <w:bCs/>
                      <w:kern w:val="0"/>
                      <w:szCs w:val="21"/>
                    </w:rPr>
                  </w:pP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1898"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项目厂址所在区域不属于缺水地区、水污染严重地区和敏感区域；项目属于</w:t>
                  </w:r>
                  <w:r>
                    <w:rPr>
                      <w:rFonts w:hint="eastAsia" w:cs="Times New Roman"/>
                      <w:bCs/>
                      <w:kern w:val="0"/>
                      <w:szCs w:val="21"/>
                      <w:lang w:val="en-US" w:eastAsia="zh-CN"/>
                    </w:rPr>
                    <w:t>废塑料回收及塑料框生产项</w:t>
                  </w:r>
                  <w:r>
                    <w:rPr>
                      <w:rFonts w:hint="eastAsia" w:ascii="Times New Roman" w:hAnsi="Times New Roman" w:cs="Times New Roman"/>
                      <w:bCs/>
                      <w:kern w:val="0"/>
                      <w:szCs w:val="21"/>
                      <w:lang w:val="en-US" w:eastAsia="zh-CN"/>
                    </w:rPr>
                    <w:t>目</w:t>
                  </w:r>
                  <w:r>
                    <w:rPr>
                      <w:rFonts w:hint="default" w:ascii="Times New Roman" w:hAnsi="Times New Roman" w:cs="Times New Roman"/>
                      <w:bCs/>
                      <w:kern w:val="0"/>
                      <w:szCs w:val="21"/>
                    </w:rPr>
                    <w:t>，位于蓬溪县上游工业园</w:t>
                  </w:r>
                  <w:r>
                    <w:rPr>
                      <w:rFonts w:hint="default" w:ascii="Times New Roman" w:hAnsi="Times New Roman" w:cs="Times New Roman"/>
                      <w:bCs/>
                      <w:kern w:val="0"/>
                      <w:szCs w:val="21"/>
                      <w:lang w:val="en-US" w:eastAsia="zh-CN"/>
                    </w:rPr>
                    <w:t>内</w:t>
                  </w:r>
                  <w:r>
                    <w:rPr>
                      <w:rFonts w:hint="default" w:ascii="Times New Roman" w:hAnsi="Times New Roman" w:cs="Times New Roman"/>
                      <w:bCs/>
                      <w:kern w:val="0"/>
                      <w:szCs w:val="21"/>
                    </w:rPr>
                    <w:t>，不属于七大重点流域干流沿岸</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269"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《涪江流域（遂宁段）水环境治理工作方案（试行）》（遂府函〔2017〕155号）</w:t>
                  </w: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1898"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项目生产废水经处理后排入市政污水管网送蓬溪经开区污水处理厂处理。生活废水排入市政污水管网送蓬溪县经开区污水处理厂处理，污水收水管网已覆盖项目区域。</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69"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《关于印发四川省打赢蓝天保卫战等九个实施方案的通知》川府发〔2019〕4号</w:t>
                  </w:r>
                </w:p>
              </w:tc>
              <w:tc>
                <w:tcPr>
                  <w:tcW w:w="454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《四川省打赢碧水保卫战实施方案》</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三、重点任务</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（三）实施工业污染治理工程。</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《四川省打好长江保护修复攻坚战实施方案》</w:t>
                  </w:r>
                </w:p>
              </w:tc>
              <w:tc>
                <w:tcPr>
                  <w:tcW w:w="1898"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项目废水排入蓬溪县经开区污水处理厂处理，废水去向合理。</w:t>
                  </w:r>
                </w:p>
              </w:tc>
              <w:tc>
                <w:tcPr>
                  <w:tcW w:w="793"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pPr>
              <w:pStyle w:val="66"/>
              <w:ind w:firstLine="480"/>
              <w:rPr>
                <w:rFonts w:hint="default" w:ascii="Times New Roman" w:hAnsi="Times New Roman" w:cs="Times New Roman"/>
                <w:lang w:val="zh-CN"/>
              </w:rPr>
            </w:pPr>
            <w:r>
              <w:rPr>
                <w:rFonts w:hint="default" w:ascii="Times New Roman" w:hAnsi="Times New Roman" w:cs="Times New Roman"/>
              </w:rPr>
              <w:t>综上所述，项目与《国务院关于印发水污染防治行动计划的通知》（国发〔2015〕17号）、《涪江流域（遂宁段）水环境治理工作方案（试行）》（遂府函〔2017〕155号）和《关于印发四川省打赢蓝天保卫战等九个实施方案的通知》（川府发〔2019〕4号）要求相符。</w:t>
            </w:r>
          </w:p>
          <w:p>
            <w:pPr>
              <w:pStyle w:val="66"/>
              <w:ind w:firstLine="482"/>
              <w:rPr>
                <w:rFonts w:hint="default" w:ascii="Times New Roman" w:hAnsi="Times New Roman" w:cs="Times New Roman"/>
                <w:lang w:val="zh-CN"/>
              </w:rPr>
            </w:pPr>
            <w:r>
              <w:rPr>
                <w:rFonts w:hint="default" w:ascii="Times New Roman" w:hAnsi="Times New Roman" w:cs="Times New Roman"/>
                <w:b/>
                <w:bCs/>
                <w:lang w:val="zh-CN"/>
              </w:rPr>
              <w:t>（</w:t>
            </w:r>
            <w:r>
              <w:rPr>
                <w:rFonts w:hint="eastAsia" w:ascii="Times New Roman" w:hAnsi="Times New Roman" w:cs="Times New Roman"/>
                <w:b/>
                <w:bCs/>
                <w:lang w:val="en-US" w:eastAsia="zh-CN"/>
              </w:rPr>
              <w:t>6</w:t>
            </w:r>
            <w:r>
              <w:rPr>
                <w:rFonts w:hint="default" w:ascii="Times New Roman" w:hAnsi="Times New Roman" w:cs="Times New Roman"/>
                <w:b/>
                <w:bCs/>
                <w:lang w:val="zh-CN"/>
              </w:rPr>
              <w:t>）项目与《土壤污染防治行动计划》 “国发〔2016〕31号”符合性如下</w:t>
            </w:r>
            <w:r>
              <w:rPr>
                <w:rFonts w:hint="default" w:ascii="Times New Roman" w:hAnsi="Times New Roman" w:cs="Times New Roman"/>
                <w:lang w:val="zh-CN"/>
              </w:rPr>
              <w:t>：</w:t>
            </w:r>
          </w:p>
          <w:p>
            <w:pPr>
              <w:pStyle w:val="60"/>
              <w:rPr>
                <w:rFonts w:hint="default" w:ascii="Times New Roman" w:hAnsi="Times New Roman" w:cs="Times New Roman"/>
              </w:rPr>
            </w:pPr>
            <w:r>
              <w:rPr>
                <w:rFonts w:hint="default" w:ascii="Times New Roman" w:hAnsi="Times New Roman" w:cs="Times New Roman"/>
              </w:rPr>
              <w:t>表1-</w:t>
            </w:r>
            <w:r>
              <w:rPr>
                <w:rFonts w:hint="eastAsia" w:ascii="Times New Roman" w:hAnsi="Times New Roman" w:cs="Times New Roman"/>
                <w:lang w:val="en-US" w:eastAsia="zh-CN"/>
              </w:rPr>
              <w:t>6</w:t>
            </w:r>
            <w:r>
              <w:rPr>
                <w:rFonts w:hint="default" w:ascii="Times New Roman" w:hAnsi="Times New Roman" w:cs="Times New Roman"/>
              </w:rPr>
              <w:t>与土壤污染防治行动计划符合性</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4"/>
              <w:gridCol w:w="4562"/>
              <w:gridCol w:w="2182"/>
              <w:gridCol w:w="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1184"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土壤污染防治行动计划</w:t>
                  </w:r>
                </w:p>
              </w:tc>
              <w:tc>
                <w:tcPr>
                  <w:tcW w:w="4562" w:type="dxa"/>
                  <w:noWrap w:val="0"/>
                  <w:vAlign w:val="center"/>
                </w:tcPr>
                <w:p>
                  <w:pPr>
                    <w:widowControl/>
                    <w:adjustRightInd w:val="0"/>
                    <w:snapToGrid w:val="0"/>
                    <w:spacing w:line="360" w:lineRule="auto"/>
                    <w:jc w:val="center"/>
                    <w:rPr>
                      <w:rFonts w:hint="default" w:ascii="Times New Roman" w:hAnsi="Times New Roman" w:cs="Times New Roman"/>
                      <w:bCs/>
                      <w:kern w:val="0"/>
                      <w:szCs w:val="21"/>
                    </w:rPr>
                  </w:pPr>
                  <w:r>
                    <w:rPr>
                      <w:rFonts w:hint="default" w:ascii="Times New Roman" w:hAnsi="Times New Roman" w:cs="Times New Roman"/>
                      <w:bCs/>
                      <w:kern w:val="0"/>
                      <w:szCs w:val="21"/>
                    </w:rPr>
                    <w:t>相关要求</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本项目情况</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restart"/>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土壤污染防治行动计划“国发〔2016〕31号”</w:t>
                  </w:r>
                </w:p>
              </w:tc>
              <w:tc>
                <w:tcPr>
                  <w:tcW w:w="456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（八）切实加大保护力度。</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防控企业污染。严格控制在优先保护类耕地集中区域新建有色金属冶炼、石油加工、化工、焦化、电镀、制革等行业企业，现有相关行业企业要采用新技术、新工艺，加快提标升级改造+步伐。</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项目为</w:t>
                  </w:r>
                  <w:r>
                    <w:rPr>
                      <w:rFonts w:hint="eastAsia" w:cs="Times New Roman"/>
                      <w:bCs/>
                      <w:kern w:val="0"/>
                      <w:szCs w:val="21"/>
                      <w:lang w:val="en-US" w:eastAsia="zh-CN"/>
                    </w:rPr>
                    <w:t>废塑料回收及塑料框生产项</w:t>
                  </w:r>
                  <w:r>
                    <w:rPr>
                      <w:rFonts w:hint="eastAsia" w:ascii="Times New Roman" w:hAnsi="Times New Roman" w:cs="Times New Roman"/>
                      <w:bCs/>
                      <w:kern w:val="0"/>
                      <w:szCs w:val="21"/>
                      <w:lang w:val="en-US" w:eastAsia="zh-CN"/>
                    </w:rPr>
                    <w:t>目</w:t>
                  </w:r>
                  <w:r>
                    <w:rPr>
                      <w:rFonts w:hint="default" w:ascii="Times New Roman" w:hAnsi="Times New Roman" w:cs="Times New Roman"/>
                      <w:bCs/>
                      <w:kern w:val="0"/>
                      <w:szCs w:val="21"/>
                    </w:rPr>
                    <w:t>，位于蓬溪县上游工业园</w:t>
                  </w:r>
                  <w:r>
                    <w:rPr>
                      <w:rFonts w:hint="default" w:ascii="Times New Roman" w:hAnsi="Times New Roman" w:cs="Times New Roman"/>
                      <w:bCs/>
                      <w:kern w:val="0"/>
                      <w:szCs w:val="21"/>
                      <w:lang w:val="en-US" w:eastAsia="zh-CN"/>
                    </w:rPr>
                    <w:t>内</w:t>
                  </w:r>
                  <w:r>
                    <w:rPr>
                      <w:rFonts w:hint="default" w:ascii="Times New Roman" w:hAnsi="Times New Roman" w:cs="Times New Roman"/>
                      <w:bCs/>
                      <w:kern w:val="0"/>
                      <w:szCs w:val="21"/>
                    </w:rPr>
                    <w:t>，用地属于工业用地，项目不占用耕地</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56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本项目排放常规污染物，不排放重点污染物。</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4"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56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2182"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本项目位于蓬溪县上游工业园</w:t>
                  </w:r>
                  <w:r>
                    <w:rPr>
                      <w:rFonts w:hint="default" w:ascii="Times New Roman" w:hAnsi="Times New Roman" w:cs="Times New Roman"/>
                      <w:bCs/>
                      <w:kern w:val="0"/>
                      <w:szCs w:val="21"/>
                      <w:lang w:val="en-US" w:eastAsia="zh-CN"/>
                    </w:rPr>
                    <w:t>内</w:t>
                  </w:r>
                  <w:r>
                    <w:rPr>
                      <w:rFonts w:hint="default" w:ascii="Times New Roman" w:hAnsi="Times New Roman" w:cs="Times New Roman"/>
                      <w:bCs/>
                      <w:kern w:val="0"/>
                      <w:szCs w:val="21"/>
                    </w:rPr>
                    <w:t>，不属于有色金属冶炼、焦化类项目。</w:t>
                  </w:r>
                </w:p>
              </w:tc>
              <w:tc>
                <w:tcPr>
                  <w:tcW w:w="57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pPr>
              <w:pStyle w:val="66"/>
              <w:ind w:firstLine="241" w:firstLineChars="100"/>
              <w:rPr>
                <w:rFonts w:hint="default" w:ascii="Times New Roman" w:hAnsi="Times New Roman" w:cs="Times New Roman"/>
                <w:b/>
                <w:bCs/>
              </w:rPr>
            </w:pPr>
          </w:p>
          <w:p>
            <w:pPr>
              <w:pStyle w:val="66"/>
              <w:ind w:firstLine="241" w:firstLineChars="100"/>
              <w:rPr>
                <w:rFonts w:hint="default" w:ascii="Times New Roman" w:hAnsi="Times New Roman" w:cs="Times New Roman"/>
                <w:b/>
                <w:bCs/>
              </w:rPr>
            </w:pPr>
            <w:r>
              <w:rPr>
                <w:rFonts w:hint="default" w:ascii="Times New Roman" w:hAnsi="Times New Roman" w:cs="Times New Roman"/>
                <w:b/>
                <w:bCs/>
              </w:rPr>
              <w:t>（</w:t>
            </w:r>
            <w:r>
              <w:rPr>
                <w:rFonts w:hint="eastAsia" w:ascii="Times New Roman" w:hAnsi="Times New Roman" w:cs="Times New Roman"/>
                <w:b/>
                <w:bCs/>
                <w:lang w:val="en-US" w:eastAsia="zh-CN"/>
              </w:rPr>
              <w:t>7</w:t>
            </w:r>
            <w:r>
              <w:rPr>
                <w:rFonts w:hint="default" w:ascii="Times New Roman" w:hAnsi="Times New Roman" w:cs="Times New Roman"/>
                <w:b/>
                <w:bCs/>
              </w:rPr>
              <w:t>）与《四川省嘉陵江流域生态环境保护条例》符合性分析</w:t>
            </w:r>
          </w:p>
          <w:p>
            <w:pPr>
              <w:pStyle w:val="60"/>
              <w:rPr>
                <w:rFonts w:hint="default" w:ascii="Times New Roman" w:hAnsi="Times New Roman" w:cs="Times New Roman"/>
              </w:rPr>
            </w:pPr>
            <w:r>
              <w:rPr>
                <w:rFonts w:hint="default" w:ascii="Times New Roman" w:hAnsi="Times New Roman" w:cs="Times New Roman"/>
              </w:rPr>
              <w:t>表1-</w:t>
            </w:r>
            <w:r>
              <w:rPr>
                <w:rFonts w:hint="eastAsia" w:ascii="Times New Roman" w:hAnsi="Times New Roman" w:cs="Times New Roman"/>
                <w:lang w:val="en-US" w:eastAsia="zh-CN"/>
              </w:rPr>
              <w:t>7</w:t>
            </w:r>
            <w:r>
              <w:rPr>
                <w:rFonts w:hint="default" w:ascii="Times New Roman" w:hAnsi="Times New Roman" w:cs="Times New Roman"/>
              </w:rPr>
              <w:t xml:space="preserve"> 与嘉陵江流域生态环境保护条例符合性</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5"/>
              <w:gridCol w:w="4773"/>
              <w:gridCol w:w="1800"/>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1185" w:type="dxa"/>
                  <w:noWrap w:val="0"/>
                  <w:vAlign w:val="center"/>
                </w:tcPr>
                <w:p>
                  <w:pPr>
                    <w:widowControl/>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文件名称</w:t>
                  </w:r>
                </w:p>
              </w:tc>
              <w:tc>
                <w:tcPr>
                  <w:tcW w:w="4773" w:type="dxa"/>
                  <w:noWrap w:val="0"/>
                  <w:vAlign w:val="center"/>
                </w:tcPr>
                <w:p>
                  <w:pPr>
                    <w:widowControl/>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相关要求</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
                      <w:kern w:val="0"/>
                      <w:szCs w:val="21"/>
                    </w:rPr>
                  </w:pPr>
                  <w:r>
                    <w:rPr>
                      <w:rFonts w:hint="default" w:ascii="Times New Roman" w:hAnsi="Times New Roman" w:cs="Times New Roman"/>
                      <w:b/>
                      <w:kern w:val="0"/>
                      <w:szCs w:val="21"/>
                    </w:rPr>
                    <w:t>本项目情况</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
                      <w:kern w:val="0"/>
                      <w:szCs w:val="21"/>
                    </w:rPr>
                  </w:pPr>
                  <w:r>
                    <w:rPr>
                      <w:rFonts w:hint="default" w:ascii="Times New Roman" w:hAnsi="Times New Roman" w:cs="Times New Roman"/>
                      <w:b/>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restart"/>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四川省嘉陵江流域生态环境保护条例</w:t>
                  </w: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第十七条 ……</w:t>
                  </w:r>
                </w:p>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　　禁止在嘉陵江干支流岸线一公里范围内新建、扩建化工园区和化工项目。</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本项目不属于化工项目。</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第十九条 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本项目位于嘉陵江一级支流涪江流域（芝溪河为涪江支流），涪江水质满足法定的</w:t>
                  </w:r>
                  <w:r>
                    <w:rPr>
                      <w:rFonts w:hint="eastAsia" w:ascii="Times New Roman" w:hAnsi="Times New Roman" w:cs="Times New Roman"/>
                      <w:bCs/>
                      <w:color w:val="auto"/>
                      <w:kern w:val="0"/>
                      <w:szCs w:val="21"/>
                      <w:lang w:eastAsia="zh-CN"/>
                    </w:rPr>
                    <w:t>Ⅲ</w:t>
                  </w:r>
                  <w:r>
                    <w:rPr>
                      <w:rFonts w:hint="default" w:ascii="Times New Roman" w:hAnsi="Times New Roman" w:cs="Times New Roman"/>
                      <w:bCs/>
                      <w:color w:val="auto"/>
                      <w:kern w:val="0"/>
                      <w:szCs w:val="21"/>
                    </w:rPr>
                    <w:t>类水质标准。</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第二十一条 排污单位排放污染物不得超过国家和省污染物排放标准，不得超过重点水污染物排放总量控制指标。</w:t>
                  </w:r>
                </w:p>
              </w:tc>
              <w:tc>
                <w:tcPr>
                  <w:tcW w:w="1800" w:type="dxa"/>
                  <w:noWrap w:val="0"/>
                  <w:vAlign w:val="center"/>
                </w:tcPr>
                <w:p>
                  <w:pPr>
                    <w:widowControl/>
                    <w:adjustRightInd w:val="0"/>
                    <w:snapToGrid w:val="0"/>
                    <w:spacing w:line="360" w:lineRule="auto"/>
                    <w:jc w:val="left"/>
                    <w:rPr>
                      <w:rFonts w:hint="default" w:ascii="Times New Roman" w:hAnsi="Times New Roman" w:eastAsia="宋体" w:cs="Times New Roman"/>
                      <w:bCs/>
                      <w:kern w:val="0"/>
                      <w:szCs w:val="21"/>
                      <w:lang w:val="en-US" w:eastAsia="zh-CN"/>
                    </w:rPr>
                  </w:pPr>
                  <w:r>
                    <w:rPr>
                      <w:rFonts w:hint="default" w:ascii="Times New Roman" w:hAnsi="Times New Roman" w:cs="Times New Roman"/>
                      <w:bCs/>
                      <w:kern w:val="0"/>
                      <w:szCs w:val="21"/>
                    </w:rPr>
                    <w:t>本项目</w:t>
                  </w:r>
                  <w:r>
                    <w:rPr>
                      <w:rFonts w:hint="eastAsia" w:ascii="Times New Roman" w:hAnsi="Times New Roman" w:cs="Times New Roman"/>
                      <w:bCs/>
                      <w:kern w:val="0"/>
                      <w:szCs w:val="21"/>
                      <w:lang w:val="en-US" w:eastAsia="zh-CN"/>
                    </w:rPr>
                    <w:t>生产废</w:t>
                  </w:r>
                  <w:r>
                    <w:rPr>
                      <w:rFonts w:hint="eastAsia" w:cs="Times New Roman"/>
                      <w:bCs/>
                      <w:kern w:val="0"/>
                      <w:szCs w:val="21"/>
                      <w:lang w:val="en-US" w:eastAsia="zh-CN"/>
                    </w:rPr>
                    <w:t>水经处理</w:t>
                  </w:r>
                  <w:r>
                    <w:rPr>
                      <w:rFonts w:hint="eastAsia" w:ascii="Times New Roman" w:hAnsi="Times New Roman" w:cs="Times New Roman"/>
                      <w:bCs/>
                      <w:kern w:val="0"/>
                      <w:szCs w:val="21"/>
                      <w:lang w:val="en-US" w:eastAsia="zh-CN"/>
                    </w:rPr>
                    <w:t>后排入市政污水管网送蓬溪经开区污水处理厂处理</w:t>
                  </w:r>
                  <w:r>
                    <w:rPr>
                      <w:rFonts w:hint="default" w:ascii="Times New Roman" w:hAnsi="Times New Roman" w:cs="Times New Roman"/>
                      <w:bCs/>
                      <w:kern w:val="0"/>
                      <w:szCs w:val="21"/>
                    </w:rPr>
                    <w:t>，VOCs及噪声根据后文预测均可实现达标排放。</w:t>
                  </w:r>
                  <w:r>
                    <w:rPr>
                      <w:rFonts w:hint="eastAsia" w:ascii="Times New Roman" w:hAnsi="Times New Roman" w:cs="Times New Roman"/>
                      <w:bCs/>
                      <w:kern w:val="0"/>
                      <w:szCs w:val="21"/>
                      <w:lang w:val="en-US" w:eastAsia="zh-CN"/>
                    </w:rPr>
                    <w:t>项目废水、废气排放均不超总量控制指标。</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pPr>
                    <w:widowControl/>
                    <w:adjustRightInd w:val="0"/>
                    <w:snapToGrid w:val="0"/>
                    <w:spacing w:line="360" w:lineRule="auto"/>
                    <w:jc w:val="left"/>
                    <w:rPr>
                      <w:rFonts w:hint="default" w:ascii="Times New Roman" w:hAnsi="Times New Roman" w:cs="Times New Roman"/>
                      <w:bCs/>
                      <w:kern w:val="0"/>
                      <w:szCs w:val="21"/>
                    </w:rPr>
                  </w:pPr>
                </w:p>
              </w:tc>
              <w:tc>
                <w:tcPr>
                  <w:tcW w:w="4773"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800"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本项目所在区域已实现雨污分流，</w:t>
                  </w:r>
                  <w:r>
                    <w:rPr>
                      <w:rFonts w:hint="eastAsia" w:cs="Times New Roman"/>
                      <w:bCs/>
                      <w:kern w:val="0"/>
                      <w:szCs w:val="21"/>
                      <w:lang w:eastAsia="zh-CN"/>
                    </w:rPr>
                    <w:t>生活污水</w:t>
                  </w:r>
                  <w:r>
                    <w:rPr>
                      <w:rFonts w:hint="default" w:ascii="Times New Roman" w:hAnsi="Times New Roman" w:cs="Times New Roman"/>
                      <w:bCs/>
                      <w:kern w:val="0"/>
                      <w:szCs w:val="21"/>
                    </w:rPr>
                    <w:t>经化粪池处理后排入市政污水管网送蓬溪经开区污水处理厂处理。</w:t>
                  </w:r>
                </w:p>
              </w:tc>
              <w:tc>
                <w:tcPr>
                  <w:tcW w:w="746" w:type="dxa"/>
                  <w:noWrap w:val="0"/>
                  <w:vAlign w:val="center"/>
                </w:tcPr>
                <w:p>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bl>
          <w:p>
            <w:pPr>
              <w:spacing w:line="420" w:lineRule="auto"/>
              <w:ind w:firstLine="482" w:firstLineChars="200"/>
              <w:rPr>
                <w:rFonts w:hint="default" w:ascii="Times New Roman" w:hAnsi="Times New Roman" w:cs="Times New Roman"/>
                <w:b/>
                <w:bCs/>
                <w:sz w:val="24"/>
                <w:szCs w:val="21"/>
                <w:lang w:val="zh-CN"/>
              </w:rPr>
            </w:pPr>
          </w:p>
          <w:p>
            <w:pPr>
              <w:pStyle w:val="66"/>
              <w:ind w:left="0" w:leftChars="0" w:firstLine="723" w:firstLineChars="3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sz w:val="24"/>
                <w:lang w:val="en-US" w:eastAsia="zh-CN"/>
              </w:rPr>
              <w:t>（8）</w:t>
            </w:r>
            <w:r>
              <w:rPr>
                <w:rFonts w:hint="eastAsia" w:ascii="Times New Roman" w:hAnsi="Times New Roman" w:eastAsia="宋体" w:cs="Times New Roman"/>
                <w:b/>
                <w:bCs/>
                <w:color w:val="auto"/>
                <w:sz w:val="24"/>
                <w:lang w:eastAsia="zh-CN"/>
              </w:rPr>
              <w:t>与《废</w:t>
            </w:r>
            <w:r>
              <w:rPr>
                <w:rFonts w:hint="eastAsia" w:ascii="Times New Roman" w:hAnsi="Times New Roman" w:eastAsia="宋体" w:cs="Times New Roman"/>
                <w:b/>
                <w:bCs/>
                <w:color w:val="auto"/>
                <w:sz w:val="24"/>
              </w:rPr>
              <w:t>塑料综合利用行业规范条件》（中华人民共和国工业和信息</w:t>
            </w:r>
            <w:r>
              <w:rPr>
                <w:rFonts w:hint="eastAsia" w:ascii="Times New Roman" w:hAnsi="Times New Roman" w:cs="Times New Roman"/>
                <w:b/>
                <w:bCs/>
                <w:color w:val="FF0000"/>
                <w:sz w:val="24"/>
                <w:lang w:val="en-US" w:eastAsia="zh-CN"/>
              </w:rPr>
              <w:t>化</w:t>
            </w:r>
            <w:r>
              <w:rPr>
                <w:rFonts w:hint="eastAsia" w:ascii="Times New Roman" w:hAnsi="Times New Roman" w:eastAsia="宋体" w:cs="Times New Roman"/>
                <w:b/>
                <w:bCs/>
                <w:color w:val="auto"/>
                <w:sz w:val="24"/>
              </w:rPr>
              <w:t>部2015年第81号）的相符性</w:t>
            </w:r>
            <w:r>
              <w:rPr>
                <w:rFonts w:hint="eastAsia" w:ascii="Times New Roman" w:hAnsi="Times New Roman" w:eastAsia="宋体" w:cs="Times New Roman"/>
                <w:b/>
                <w:bCs/>
                <w:color w:val="auto"/>
                <w:sz w:val="24"/>
                <w:lang w:eastAsia="zh-CN"/>
              </w:rPr>
              <w:t>分析</w:t>
            </w:r>
          </w:p>
          <w:p>
            <w:pPr>
              <w:spacing w:line="42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为加强废</w:t>
            </w:r>
            <w:r>
              <w:rPr>
                <w:rFonts w:hint="default" w:ascii="Times New Roman" w:hAnsi="Times New Roman" w:eastAsia="宋体" w:cs="Times New Roman"/>
                <w:color w:val="auto"/>
                <w:sz w:val="24"/>
                <w:szCs w:val="24"/>
                <w:lang w:eastAsia="zh-CN"/>
              </w:rPr>
              <w:t>塑料</w:t>
            </w:r>
            <w:r>
              <w:rPr>
                <w:rFonts w:hint="default" w:ascii="Times New Roman" w:hAnsi="Times New Roman" w:eastAsia="宋体" w:cs="Times New Roman"/>
                <w:color w:val="auto"/>
                <w:sz w:val="24"/>
                <w:szCs w:val="24"/>
              </w:rPr>
              <w:t>综合利用行业管理工作，规范行业发展秩序，提高废</w:t>
            </w:r>
            <w:r>
              <w:rPr>
                <w:rFonts w:hint="default" w:ascii="Times New Roman" w:hAnsi="Times New Roman" w:eastAsia="宋体" w:cs="Times New Roman"/>
                <w:color w:val="auto"/>
                <w:sz w:val="24"/>
                <w:szCs w:val="24"/>
                <w:lang w:eastAsia="zh-CN"/>
              </w:rPr>
              <w:t>塑料</w:t>
            </w:r>
            <w:r>
              <w:rPr>
                <w:rFonts w:hint="default" w:ascii="Times New Roman" w:hAnsi="Times New Roman" w:eastAsia="宋体" w:cs="Times New Roman"/>
                <w:color w:val="auto"/>
                <w:sz w:val="24"/>
                <w:szCs w:val="24"/>
              </w:rPr>
              <w:t>综合利用技术水平</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rPr>
              <w:t>中华人民共和国</w:t>
            </w:r>
            <w:r>
              <w:rPr>
                <w:rFonts w:hint="eastAsia" w:ascii="Times New Roman" w:hAnsi="Times New Roman" w:eastAsia="宋体" w:cs="Times New Roman"/>
                <w:color w:val="auto"/>
                <w:sz w:val="24"/>
                <w:lang w:eastAsia="zh-CN"/>
              </w:rPr>
              <w:t>工业和信息化部于</w:t>
            </w:r>
            <w:r>
              <w:rPr>
                <w:rFonts w:hint="default" w:ascii="Times New Roman" w:hAnsi="Times New Roman" w:eastAsia="宋体" w:cs="Times New Roman"/>
                <w:color w:val="auto"/>
                <w:sz w:val="24"/>
              </w:rPr>
              <w:t>201</w:t>
            </w:r>
            <w:r>
              <w:rPr>
                <w:rFonts w:hint="eastAsia" w:ascii="Times New Roman" w:hAnsi="Times New Roman" w:eastAsia="宋体" w:cs="Times New Roman"/>
                <w:color w:val="auto"/>
                <w:sz w:val="24"/>
                <w:lang w:val="en-US" w:eastAsia="zh-CN"/>
              </w:rPr>
              <w:t>5年发布了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废塑料综合利用</w:t>
            </w:r>
            <w:r>
              <w:rPr>
                <w:rFonts w:hint="default" w:ascii="Times New Roman" w:hAnsi="Times New Roman" w:eastAsia="宋体" w:cs="Times New Roman"/>
                <w:color w:val="auto"/>
                <w:sz w:val="24"/>
                <w:szCs w:val="24"/>
              </w:rPr>
              <w:t>行业</w:t>
            </w:r>
            <w:r>
              <w:rPr>
                <w:rFonts w:hint="default" w:ascii="Times New Roman" w:hAnsi="Times New Roman" w:eastAsia="宋体" w:cs="Times New Roman"/>
                <w:color w:val="auto"/>
                <w:sz w:val="24"/>
                <w:szCs w:val="24"/>
                <w:lang w:eastAsia="zh-CN"/>
              </w:rPr>
              <w:t>规范</w:t>
            </w:r>
            <w:r>
              <w:rPr>
                <w:rFonts w:hint="default" w:ascii="Times New Roman" w:hAnsi="Times New Roman" w:eastAsia="宋体" w:cs="Times New Roman"/>
                <w:color w:val="auto"/>
                <w:sz w:val="24"/>
                <w:szCs w:val="24"/>
              </w:rPr>
              <w:t>条件》</w:t>
            </w:r>
            <w:r>
              <w:rPr>
                <w:rFonts w:hint="eastAsia" w:ascii="Times New Roman" w:hAnsi="Times New Roman" w:eastAsia="宋体" w:cs="Times New Roman"/>
                <w:color w:val="auto"/>
                <w:sz w:val="24"/>
                <w:szCs w:val="24"/>
                <w:lang w:eastAsia="zh-CN"/>
              </w:rPr>
              <w:t>提出了对物理机械法对热塑性废塑料进行再生加工的企业，企业类型主要</w:t>
            </w:r>
            <w:r>
              <w:rPr>
                <w:rFonts w:hint="default" w:ascii="Times New Roman" w:hAnsi="Times New Roman" w:eastAsia="宋体" w:cs="Times New Roman"/>
                <w:color w:val="auto"/>
                <w:sz w:val="24"/>
                <w:szCs w:val="24"/>
                <w:lang w:eastAsia="zh-CN"/>
              </w:rPr>
              <w:t>包括PET再生瓶片类企业、废塑料破碎清洗分选类企业以及塑料再生造粒类企业的规范要求。</w:t>
            </w:r>
          </w:p>
          <w:p>
            <w:pPr>
              <w:spacing w:line="42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b w:val="0"/>
                <w:bCs w:val="0"/>
                <w:color w:val="auto"/>
                <w:sz w:val="24"/>
                <w:lang w:eastAsia="zh-CN"/>
              </w:rPr>
              <w:t>本项目</w:t>
            </w:r>
            <w:r>
              <w:rPr>
                <w:rFonts w:hint="eastAsia" w:cs="Times New Roman"/>
                <w:b w:val="0"/>
                <w:bCs w:val="0"/>
                <w:color w:val="auto"/>
                <w:sz w:val="24"/>
                <w:lang w:val="en-US" w:eastAsia="zh-CN"/>
              </w:rPr>
              <w:t>废弃资源回收生产线主要以</w:t>
            </w:r>
            <w:r>
              <w:rPr>
                <w:rFonts w:hint="default" w:ascii="Times New Roman" w:hAnsi="Times New Roman" w:eastAsia="宋体" w:cs="Times New Roman"/>
                <w:color w:val="auto"/>
                <w:kern w:val="2"/>
                <w:sz w:val="24"/>
                <w:szCs w:val="24"/>
              </w:rPr>
              <w:t>废弃</w:t>
            </w:r>
            <w:r>
              <w:rPr>
                <w:rFonts w:hint="eastAsia" w:cs="Times New Roman"/>
                <w:color w:val="auto"/>
                <w:kern w:val="2"/>
                <w:sz w:val="24"/>
                <w:szCs w:val="24"/>
                <w:lang w:val="en-US" w:eastAsia="zh-CN"/>
              </w:rPr>
              <w:t>PP和PET</w:t>
            </w:r>
            <w:r>
              <w:rPr>
                <w:rFonts w:hint="default" w:ascii="Times New Roman" w:hAnsi="Times New Roman" w:eastAsia="宋体" w:cs="Times New Roman"/>
                <w:color w:val="auto"/>
                <w:kern w:val="2"/>
                <w:sz w:val="24"/>
                <w:szCs w:val="24"/>
              </w:rPr>
              <w:t>塑料</w:t>
            </w:r>
            <w:r>
              <w:rPr>
                <w:rFonts w:hint="eastAsia" w:cs="Times New Roman"/>
                <w:color w:val="auto"/>
                <w:kern w:val="2"/>
                <w:sz w:val="24"/>
                <w:szCs w:val="24"/>
                <w:lang w:val="en-US" w:eastAsia="zh-CN"/>
              </w:rPr>
              <w:t>瓶</w:t>
            </w:r>
            <w:r>
              <w:rPr>
                <w:rFonts w:hint="eastAsia" w:ascii="Times New Roman" w:hAnsi="Times New Roman" w:eastAsia="宋体" w:cs="Times New Roman"/>
                <w:color w:val="auto"/>
                <w:kern w:val="2"/>
                <w:sz w:val="24"/>
                <w:szCs w:val="24"/>
                <w:lang w:eastAsia="zh-CN"/>
              </w:rPr>
              <w:t>为原料从事</w:t>
            </w:r>
            <w:r>
              <w:rPr>
                <w:rFonts w:hint="eastAsia" w:cs="Times New Roman"/>
                <w:color w:val="auto"/>
                <w:kern w:val="2"/>
                <w:sz w:val="24"/>
                <w:szCs w:val="24"/>
                <w:lang w:val="en-US" w:eastAsia="zh-CN"/>
              </w:rPr>
              <w:t>破碎、清洗回收造粒生产</w:t>
            </w:r>
            <w:r>
              <w:rPr>
                <w:rFonts w:hint="eastAsia" w:ascii="Times New Roman" w:hAnsi="Times New Roman" w:eastAsia="宋体" w:cs="Times New Roman"/>
                <w:color w:val="auto"/>
                <w:kern w:val="2"/>
                <w:sz w:val="24"/>
                <w:szCs w:val="24"/>
                <w:lang w:eastAsia="zh-CN"/>
              </w:rPr>
              <w:t>。</w:t>
            </w:r>
            <w:r>
              <w:rPr>
                <w:rFonts w:hint="eastAsia" w:ascii="Times New Roman" w:hAnsi="Times New Roman" w:eastAsia="宋体" w:cs="Times New Roman"/>
                <w:color w:val="auto"/>
                <w:kern w:val="0"/>
                <w:sz w:val="24"/>
                <w:szCs w:val="24"/>
                <w:lang w:eastAsia="zh-CN"/>
              </w:rPr>
              <w:t>根据工业和信息化部部长信箱回复：《</w:t>
            </w:r>
            <w:r>
              <w:rPr>
                <w:rFonts w:hint="default" w:ascii="Times New Roman" w:hAnsi="Times New Roman" w:eastAsia="宋体" w:cs="Times New Roman"/>
                <w:color w:val="auto"/>
                <w:sz w:val="24"/>
                <w:szCs w:val="24"/>
                <w:lang w:eastAsia="zh-CN"/>
              </w:rPr>
              <w:t>废塑料综合利用</w:t>
            </w:r>
            <w:r>
              <w:rPr>
                <w:rFonts w:hint="default" w:ascii="Times New Roman" w:hAnsi="Times New Roman" w:eastAsia="宋体" w:cs="Times New Roman"/>
                <w:color w:val="auto"/>
                <w:sz w:val="24"/>
                <w:szCs w:val="24"/>
              </w:rPr>
              <w:t>行业</w:t>
            </w:r>
            <w:r>
              <w:rPr>
                <w:rFonts w:hint="default" w:ascii="Times New Roman" w:hAnsi="Times New Roman" w:eastAsia="宋体" w:cs="Times New Roman"/>
                <w:color w:val="auto"/>
                <w:sz w:val="24"/>
                <w:szCs w:val="24"/>
                <w:lang w:eastAsia="zh-CN"/>
              </w:rPr>
              <w:t>规范</w:t>
            </w:r>
            <w:r>
              <w:rPr>
                <w:rFonts w:hint="default" w:ascii="Times New Roman" w:hAnsi="Times New Roman" w:eastAsia="宋体" w:cs="Times New Roman"/>
                <w:color w:val="auto"/>
                <w:sz w:val="24"/>
                <w:szCs w:val="24"/>
              </w:rPr>
              <w:t>条件</w:t>
            </w:r>
            <w:r>
              <w:rPr>
                <w:rFonts w:hint="eastAsia" w:ascii="Times New Roman" w:hAnsi="Times New Roman" w:eastAsia="宋体" w:cs="Times New Roman"/>
                <w:color w:val="auto"/>
                <w:kern w:val="0"/>
                <w:sz w:val="24"/>
                <w:szCs w:val="24"/>
                <w:lang w:eastAsia="zh-CN"/>
              </w:rPr>
              <w:t>》属于引导类文件，对企业生产经营无行政审批要求，</w:t>
            </w:r>
            <w:r>
              <w:rPr>
                <w:rFonts w:hint="eastAsia" w:ascii="Times New Roman" w:hAnsi="Times New Roman" w:eastAsia="宋体" w:cs="Times New Roman"/>
                <w:color w:val="auto"/>
                <w:kern w:val="0"/>
                <w:sz w:val="24"/>
                <w:szCs w:val="24"/>
                <w:lang w:val="en-US" w:eastAsia="zh-CN"/>
              </w:rPr>
              <w:t>因此</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lang w:eastAsia="zh-CN"/>
              </w:rPr>
              <w:t>废塑料综合利用</w:t>
            </w:r>
            <w:r>
              <w:rPr>
                <w:rFonts w:hint="default" w:ascii="Times New Roman" w:hAnsi="Times New Roman" w:eastAsia="宋体" w:cs="Times New Roman"/>
                <w:color w:val="auto"/>
                <w:sz w:val="24"/>
                <w:szCs w:val="24"/>
              </w:rPr>
              <w:t>行业</w:t>
            </w:r>
            <w:r>
              <w:rPr>
                <w:rFonts w:hint="default" w:ascii="Times New Roman" w:hAnsi="Times New Roman" w:eastAsia="宋体" w:cs="Times New Roman"/>
                <w:color w:val="auto"/>
                <w:sz w:val="24"/>
                <w:szCs w:val="24"/>
                <w:lang w:eastAsia="zh-CN"/>
              </w:rPr>
              <w:t>规范</w:t>
            </w:r>
            <w:r>
              <w:rPr>
                <w:rFonts w:hint="default" w:ascii="Times New Roman" w:hAnsi="Times New Roman" w:eastAsia="宋体" w:cs="Times New Roman"/>
                <w:color w:val="auto"/>
                <w:sz w:val="24"/>
                <w:szCs w:val="24"/>
              </w:rPr>
              <w:t>条件</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对本环评无强制约束效力</w:t>
            </w:r>
            <w:r>
              <w:rPr>
                <w:rFonts w:hint="eastAsia" w:ascii="Times New Roman" w:hAnsi="Times New Roman" w:eastAsia="宋体" w:cs="Times New Roman"/>
                <w:color w:val="auto"/>
                <w:kern w:val="0"/>
                <w:sz w:val="24"/>
                <w:szCs w:val="24"/>
                <w:lang w:eastAsia="zh-CN"/>
              </w:rPr>
              <w:t>。</w:t>
            </w:r>
          </w:p>
          <w:p>
            <w:pPr>
              <w:spacing w:before="156" w:line="360" w:lineRule="auto"/>
              <w:ind w:left="105"/>
              <w:rPr>
                <w:rFonts w:hint="eastAsia" w:ascii="Times New Roman" w:hAnsi="Times New Roman" w:eastAsia="宋体" w:cs="Times New Roman"/>
                <w:b/>
                <w:bCs/>
                <w:color w:val="auto"/>
                <w:kern w:val="2"/>
                <w:sz w:val="24"/>
                <w:szCs w:val="21"/>
                <w:lang w:val="en-US" w:eastAsia="zh-CN" w:bidi="ar-SA"/>
              </w:rPr>
            </w:pPr>
            <w:r>
              <w:rPr>
                <w:rFonts w:hint="eastAsia" w:ascii="Times New Roman" w:hAnsi="Times New Roman" w:eastAsia="宋体" w:cs="Times New Roman"/>
                <w:b/>
                <w:bCs/>
                <w:color w:val="auto"/>
                <w:sz w:val="24"/>
                <w:lang w:val="en-US" w:eastAsia="zh-CN"/>
              </w:rPr>
              <w:t>（9）</w:t>
            </w:r>
            <w:r>
              <w:rPr>
                <w:rFonts w:hint="eastAsia" w:ascii="Times New Roman" w:hAnsi="Times New Roman" w:eastAsia="宋体" w:cs="Times New Roman"/>
                <w:b/>
                <w:bCs/>
                <w:color w:val="auto"/>
                <w:kern w:val="2"/>
                <w:sz w:val="24"/>
                <w:szCs w:val="21"/>
                <w:lang w:val="en-US" w:eastAsia="zh-CN" w:bidi="ar-SA"/>
              </w:rPr>
              <w:t>与《废塑料回收与再生利用污染控制技术规范》符合性分析</w:t>
            </w:r>
          </w:p>
          <w:p>
            <w:pPr>
              <w:pStyle w:val="66"/>
              <w:bidi w:val="0"/>
              <w:rPr>
                <w:rFonts w:hint="default" w:ascii="Times New Roman" w:hAnsi="Times New Roman" w:cs="Times New Roman"/>
                <w:lang w:val="zh-CN" w:eastAsia="zh-CN"/>
              </w:rPr>
            </w:pPr>
            <w:r>
              <w:rPr>
                <w:rFonts w:hint="default" w:ascii="Times New Roman" w:hAnsi="Times New Roman" w:cs="Times New Roman"/>
                <w:lang w:val="zh-CN" w:eastAsia="zh-CN"/>
              </w:rPr>
              <w:t>根据《废塑料回收与再生利用污</w:t>
            </w:r>
            <w:r>
              <w:rPr>
                <w:rFonts w:hint="eastAsia" w:ascii="Times New Roman" w:hAnsi="Times New Roman" w:cs="Times New Roman"/>
                <w:lang w:val="zh-CN" w:eastAsia="zh-CN"/>
              </w:rPr>
              <w:t>染防</w:t>
            </w:r>
            <w:r>
              <w:rPr>
                <w:rFonts w:hint="default" w:ascii="Times New Roman" w:hAnsi="Times New Roman" w:cs="Times New Roman"/>
                <w:lang w:val="zh-CN" w:eastAsia="zh-CN"/>
              </w:rPr>
              <w:t>控技术规范》(HJ/T364-2007）要求并结合本项目实际情况，本项目相符性情况见下表。</w:t>
            </w:r>
          </w:p>
          <w:p>
            <w:pPr>
              <w:pStyle w:val="60"/>
              <w:bidi w:val="0"/>
              <w:rPr>
                <w:rFonts w:hint="eastAsia"/>
                <w:color w:val="auto"/>
                <w:lang w:val="en-US" w:eastAsia="zh-CN"/>
              </w:rPr>
            </w:pPr>
            <w:r>
              <w:rPr>
                <w:rFonts w:hint="eastAsia"/>
                <w:color w:val="auto"/>
                <w:lang w:val="en-US" w:eastAsia="zh-CN"/>
              </w:rPr>
              <w:t>表1</w:t>
            </w:r>
            <w:r>
              <w:rPr>
                <w:rFonts w:hint="default"/>
                <w:color w:val="auto"/>
                <w:lang w:val="zh-CN"/>
              </w:rPr>
              <w:t>-</w:t>
            </w:r>
            <w:r>
              <w:rPr>
                <w:rFonts w:hint="eastAsia"/>
                <w:color w:val="auto"/>
                <w:lang w:val="en-US" w:eastAsia="zh-CN"/>
              </w:rPr>
              <w:t>8项目与</w:t>
            </w:r>
            <w:r>
              <w:rPr>
                <w:color w:val="auto"/>
              </w:rPr>
              <w:t>《废塑料回收与再生利用污染控制技术规范》</w:t>
            </w:r>
            <w:r>
              <w:rPr>
                <w:rFonts w:hint="eastAsia"/>
                <w:color w:val="auto"/>
                <w:lang w:val="en-US" w:eastAsia="zh-CN"/>
              </w:rPr>
              <w:t>符合性</w:t>
            </w:r>
          </w:p>
          <w:tbl>
            <w:tblPr>
              <w:tblStyle w:val="25"/>
              <w:tblW w:w="86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50"/>
              <w:gridCol w:w="3218"/>
              <w:gridCol w:w="2013"/>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24" w:type="dxa"/>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4268" w:type="dxa"/>
                  <w:gridSpan w:val="2"/>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政策要求</w:t>
                  </w:r>
                </w:p>
              </w:tc>
              <w:tc>
                <w:tcPr>
                  <w:tcW w:w="2013" w:type="dxa"/>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本项目情况</w:t>
                  </w:r>
                </w:p>
              </w:tc>
              <w:tc>
                <w:tcPr>
                  <w:tcW w:w="1449" w:type="dxa"/>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312"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1</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color w:val="auto"/>
                      <w:sz w:val="21"/>
                      <w:szCs w:val="21"/>
                    </w:rPr>
                  </w:pPr>
                  <w:r>
                    <w:rPr>
                      <w:rFonts w:hint="eastAsia" w:ascii="宋体" w:hAnsi="宋体" w:eastAsia="宋体" w:cs="宋体"/>
                      <w:color w:val="auto"/>
                      <w:kern w:val="0"/>
                      <w:sz w:val="21"/>
                      <w:szCs w:val="21"/>
                      <w:lang w:val="en-US" w:eastAsia="zh-CN" w:bidi="ar"/>
                    </w:rPr>
                    <w:t>废塑料的回收要求</w:t>
                  </w:r>
                </w:p>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）废塑料的回收应按原料树脂种类进行分类回收，并严格区分塑料来源和原用途，不得回收和再生利用属于医疗废物的危险废物的废塑料。（</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）废塑料的回收过程中不得进行就地清洗</w:t>
                  </w:r>
                </w:p>
              </w:tc>
              <w:tc>
                <w:tcPr>
                  <w:tcW w:w="2013"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left"/>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本项目不收集</w:t>
                  </w:r>
                  <w:r>
                    <w:rPr>
                      <w:rFonts w:ascii="Times New Roman" w:hAnsi="Times New Roman" w:eastAsia="Times New Roman" w:cs="Times New Roman"/>
                      <w:color w:val="auto"/>
                      <w:spacing w:val="5"/>
                      <w:sz w:val="21"/>
                      <w:szCs w:val="21"/>
                    </w:rPr>
                    <w:t>以医疗废物为原料</w:t>
                  </w:r>
                  <w:r>
                    <w:rPr>
                      <w:rFonts w:hint="eastAsia" w:ascii="Times New Roman" w:hAnsi="Times New Roman" w:eastAsia="Times New Roman" w:cs="Times New Roman"/>
                      <w:color w:val="auto"/>
                      <w:spacing w:val="5"/>
                      <w:sz w:val="21"/>
                      <w:szCs w:val="21"/>
                      <w:lang w:val="en-US" w:eastAsia="zh-CN"/>
                    </w:rPr>
                    <w:t>的塑料，本项目PP和PET塑料瓶的破碎、清洗、分选在工业厂房内进行。</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2</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宋体" w:hAnsi="宋体" w:eastAsia="宋体" w:cs="宋体"/>
                      <w:color w:val="auto"/>
                      <w:kern w:val="0"/>
                      <w:sz w:val="21"/>
                      <w:szCs w:val="21"/>
                      <w:lang w:val="en-US" w:eastAsia="zh-CN" w:bidi="ar"/>
                    </w:rPr>
                    <w:t>废塑料的运输要求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宋体" w:hAnsi="宋体" w:eastAsia="宋体" w:cs="宋体"/>
                      <w:color w:val="auto"/>
                      <w:kern w:val="0"/>
                      <w:sz w:val="21"/>
                      <w:szCs w:val="21"/>
                      <w:lang w:val="en-US" w:eastAsia="zh-CN" w:bidi="ar"/>
                    </w:rPr>
                    <w:t>废塑料的包装物应防水、耐压、遮蔽性好，可多次重复利用；包装物表面必须有回收标志和废塑料种类标志，标志应清晰、易于识别、不易擦掉，并应标明废塑料的来源、原用途和去向等信息。</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宋体" w:hAnsi="宋体" w:eastAsia="宋体" w:cs="宋体"/>
                      <w:color w:val="auto"/>
                      <w:spacing w:val="11"/>
                      <w:sz w:val="21"/>
                      <w:szCs w:val="21"/>
                      <w:lang w:val="en-US" w:eastAsia="zh-CN"/>
                    </w:rPr>
                  </w:pPr>
                  <w:r>
                    <w:rPr>
                      <w:rFonts w:hint="eastAsia" w:ascii="宋体" w:hAnsi="宋体" w:eastAsia="宋体" w:cs="宋体"/>
                      <w:color w:val="auto"/>
                      <w:spacing w:val="11"/>
                      <w:sz w:val="21"/>
                      <w:szCs w:val="21"/>
                      <w:lang w:val="en-US" w:eastAsia="zh-CN"/>
                    </w:rPr>
                    <w:t>本项目包装采用吨袋包装，包装袋表面贴有相关标识信息</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3</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宋体" w:hAnsi="宋体" w:eastAsia="宋体" w:cs="宋体"/>
                      <w:color w:val="auto"/>
                      <w:spacing w:val="2"/>
                      <w:sz w:val="21"/>
                      <w:szCs w:val="21"/>
                      <w:lang w:eastAsia="zh-CN"/>
                    </w:rPr>
                  </w:pPr>
                  <w:r>
                    <w:rPr>
                      <w:rFonts w:hint="eastAsia" w:ascii="宋体" w:hAnsi="宋体" w:eastAsia="宋体" w:cs="宋体"/>
                      <w:color w:val="auto"/>
                      <w:kern w:val="0"/>
                      <w:sz w:val="21"/>
                      <w:szCs w:val="21"/>
                      <w:lang w:val="en-US" w:eastAsia="zh-CN" w:bidi="ar"/>
                    </w:rPr>
                    <w:t>废塑</w:t>
                  </w:r>
                  <w:r>
                    <w:rPr>
                      <w:rFonts w:hint="eastAsia" w:ascii="宋体" w:hAnsi="宋体" w:cs="宋体"/>
                      <w:color w:val="auto"/>
                      <w:kern w:val="0"/>
                      <w:sz w:val="21"/>
                      <w:szCs w:val="21"/>
                      <w:lang w:val="en-US" w:eastAsia="zh-CN" w:bidi="ar"/>
                    </w:rPr>
                    <w:t>料</w:t>
                  </w:r>
                  <w:r>
                    <w:rPr>
                      <w:rFonts w:hint="eastAsia" w:ascii="宋体" w:hAnsi="宋体" w:eastAsia="宋体" w:cs="宋体"/>
                      <w:color w:val="auto"/>
                      <w:kern w:val="0"/>
                      <w:sz w:val="21"/>
                      <w:szCs w:val="21"/>
                      <w:lang w:val="en-US" w:eastAsia="zh-CN" w:bidi="ar"/>
                    </w:rPr>
                    <w:t>的贮存要求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宋体" w:hAnsi="宋体" w:eastAsia="宋体" w:cs="宋体"/>
                      <w:color w:val="auto"/>
                      <w:spacing w:val="20"/>
                      <w:sz w:val="21"/>
                      <w:szCs w:val="21"/>
                      <w:lang w:eastAsia="zh-CN"/>
                    </w:rPr>
                  </w:pPr>
                  <w:r>
                    <w:rPr>
                      <w:rFonts w:hint="eastAsia" w:ascii="宋体" w:hAnsi="宋体" w:eastAsia="宋体" w:cs="宋体"/>
                      <w:color w:val="auto"/>
                      <w:kern w:val="0"/>
                      <w:sz w:val="21"/>
                      <w:szCs w:val="21"/>
                      <w:lang w:val="en-US" w:eastAsia="zh-CN" w:bidi="ar"/>
                    </w:rPr>
                    <w:t>贮存场所必须为封闭或半封闭型设施，应有防雨、防晒、防渗、防尘、防散和防火措施；不同种类、不同来源的废塑料应分开存放。</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宋体" w:hAnsi="宋体" w:eastAsia="宋体" w:cs="宋体"/>
                      <w:color w:val="auto"/>
                      <w:spacing w:val="11"/>
                      <w:sz w:val="21"/>
                      <w:szCs w:val="21"/>
                      <w:lang w:val="en-US" w:eastAsia="zh-CN"/>
                    </w:rPr>
                  </w:pPr>
                  <w:r>
                    <w:rPr>
                      <w:rFonts w:hint="eastAsia" w:ascii="宋体" w:hAnsi="宋体" w:eastAsia="宋体" w:cs="宋体"/>
                      <w:color w:val="auto"/>
                      <w:spacing w:val="11"/>
                      <w:sz w:val="21"/>
                      <w:szCs w:val="21"/>
                      <w:lang w:val="en-US" w:eastAsia="zh-CN"/>
                    </w:rPr>
                    <w:t>本项目废塑料</w:t>
                  </w:r>
                  <w:r>
                    <w:rPr>
                      <w:rFonts w:hint="eastAsia" w:ascii="宋体" w:hAnsi="宋体" w:eastAsia="宋体" w:cs="宋体"/>
                      <w:color w:val="auto"/>
                      <w:kern w:val="0"/>
                      <w:sz w:val="21"/>
                      <w:szCs w:val="21"/>
                      <w:lang w:val="en-US" w:eastAsia="zh-CN" w:bidi="ar"/>
                    </w:rPr>
                    <w:t>贮存场位于封闭的工业厂房内，防雨、防晒、防渗、防尘、防散和防火措施符合要求。项目不同的废塑料分类存放。</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4</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宋体" w:hAnsi="宋体" w:eastAsia="宋体" w:cs="宋体"/>
                      <w:color w:val="auto"/>
                      <w:spacing w:val="2"/>
                      <w:sz w:val="21"/>
                      <w:szCs w:val="21"/>
                      <w:lang w:eastAsia="zh-CN"/>
                    </w:rPr>
                  </w:pPr>
                  <w:r>
                    <w:rPr>
                      <w:rFonts w:hint="eastAsia" w:ascii="宋体" w:hAnsi="宋体" w:eastAsia="宋体" w:cs="宋体"/>
                      <w:color w:val="auto"/>
                      <w:kern w:val="0"/>
                      <w:sz w:val="21"/>
                      <w:szCs w:val="21"/>
                      <w:lang w:val="en-US" w:eastAsia="zh-CN" w:bidi="ar"/>
                    </w:rPr>
                    <w:t>废塑料的预处理和再生利用要求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宋体" w:hAnsi="宋体" w:eastAsia="宋体" w:cs="宋体"/>
                      <w:color w:val="auto"/>
                      <w:spacing w:val="14"/>
                      <w:sz w:val="21"/>
                      <w:szCs w:val="21"/>
                      <w:lang w:eastAsia="zh-CN"/>
                    </w:rPr>
                  </w:pP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）废塑料预处理工艺主要包括分选、清洗、破碎和干燥。（</w:t>
                  </w: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）废塑料预处理工艺应当遵循先进、稳定、无二次污染的原则，应采用节水、节能、高效、低污染的技术和设备。（</w:t>
                  </w: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）宜采用节水的机械清洗技术。（</w:t>
                  </w: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）废塑料的分选宜采用浮选和光选等先进技术，人工分选应采取措施确保操作人员的健康与安全。</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宋体" w:hAnsi="宋体" w:eastAsia="宋体" w:cs="宋体"/>
                      <w:color w:val="auto"/>
                      <w:spacing w:val="11"/>
                      <w:sz w:val="21"/>
                      <w:szCs w:val="21"/>
                      <w:lang w:val="en-US" w:eastAsia="zh-CN"/>
                    </w:rPr>
                  </w:pPr>
                  <w:r>
                    <w:rPr>
                      <w:rFonts w:hint="eastAsia" w:ascii="宋体" w:hAnsi="宋体" w:eastAsia="宋体" w:cs="宋体"/>
                      <w:color w:val="auto"/>
                      <w:spacing w:val="11"/>
                      <w:sz w:val="21"/>
                      <w:szCs w:val="21"/>
                      <w:lang w:val="en-US" w:eastAsia="zh-CN"/>
                    </w:rPr>
                    <w:t>本项目</w:t>
                  </w:r>
                  <w:r>
                    <w:rPr>
                      <w:rFonts w:hint="eastAsia" w:ascii="宋体" w:hAnsi="宋体" w:eastAsia="宋体" w:cs="宋体"/>
                      <w:color w:val="auto"/>
                      <w:kern w:val="0"/>
                      <w:sz w:val="21"/>
                      <w:szCs w:val="21"/>
                      <w:lang w:val="en-US" w:eastAsia="zh-CN" w:bidi="ar"/>
                    </w:rPr>
                    <w:t>分选、清洗、破碎和干燥，处理工艺满足政策要求，项目清洗采用机械清洗，采用清水浮选和光选（色选）相结合的方式进行。人工分选为初选工序。</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eastAsia"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kinsoku/>
                    <w:wordWrap/>
                    <w:overflowPunct/>
                    <w:topLinePunct w:val="0"/>
                    <w:autoSpaceDE/>
                    <w:autoSpaceDN/>
                    <w:bidi w:val="0"/>
                    <w:spacing w:line="312"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5</w:t>
                  </w:r>
                </w:p>
              </w:tc>
              <w:tc>
                <w:tcPr>
                  <w:tcW w:w="1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hint="eastAsia" w:ascii="宋体" w:hAnsi="宋体" w:eastAsia="宋体" w:cs="宋体"/>
                      <w:color w:val="auto"/>
                      <w:spacing w:val="2"/>
                      <w:sz w:val="21"/>
                      <w:szCs w:val="21"/>
                      <w:lang w:eastAsia="zh-CN"/>
                    </w:rPr>
                  </w:pPr>
                  <w:r>
                    <w:rPr>
                      <w:rFonts w:hint="eastAsia" w:ascii="宋体" w:hAnsi="宋体" w:eastAsia="宋体" w:cs="宋体"/>
                      <w:color w:val="auto"/>
                      <w:kern w:val="0"/>
                      <w:sz w:val="21"/>
                      <w:szCs w:val="21"/>
                      <w:lang w:val="en-US" w:eastAsia="zh-CN" w:bidi="ar"/>
                    </w:rPr>
                    <w:t>环保要求</w:t>
                  </w:r>
                </w:p>
              </w:tc>
              <w:tc>
                <w:tcPr>
                  <w:tcW w:w="32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12" w:lineRule="auto"/>
                    <w:jc w:val="left"/>
                    <w:textAlignment w:val="auto"/>
                    <w:rPr>
                      <w:rFonts w:ascii="宋体" w:hAnsi="宋体" w:eastAsia="宋体" w:cs="宋体"/>
                      <w:color w:val="auto"/>
                      <w:spacing w:val="14"/>
                      <w:sz w:val="21"/>
                      <w:szCs w:val="21"/>
                    </w:rPr>
                  </w:pPr>
                  <w:r>
                    <w:rPr>
                      <w:rFonts w:hint="eastAsia" w:ascii="宋体" w:hAnsi="宋体" w:eastAsia="宋体" w:cs="宋体"/>
                      <w:color w:val="auto"/>
                      <w:kern w:val="0"/>
                      <w:sz w:val="21"/>
                      <w:szCs w:val="21"/>
                      <w:lang w:val="en-US" w:eastAsia="zh-CN" w:bidi="ar"/>
                    </w:rPr>
                    <w:t>新建废塑料再生利用项目的选址应符合环境保护要求，不得建在城市居民区、商业区及其他环境敏感区内。</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right="0" w:firstLine="0"/>
                    <w:textAlignment w:val="auto"/>
                    <w:rPr>
                      <w:rFonts w:hint="default" w:ascii="宋体" w:hAnsi="宋体" w:eastAsia="宋体" w:cs="宋体"/>
                      <w:color w:val="auto"/>
                      <w:spacing w:val="11"/>
                      <w:sz w:val="21"/>
                      <w:szCs w:val="21"/>
                      <w:lang w:val="en-US" w:eastAsia="zh-CN"/>
                    </w:rPr>
                  </w:pPr>
                  <w:r>
                    <w:rPr>
                      <w:rFonts w:hint="eastAsia" w:ascii="宋体" w:hAnsi="宋体" w:eastAsia="宋体" w:cs="宋体"/>
                      <w:color w:val="auto"/>
                      <w:spacing w:val="11"/>
                      <w:sz w:val="21"/>
                      <w:szCs w:val="21"/>
                      <w:lang w:val="en-US" w:eastAsia="zh-CN"/>
                    </w:rPr>
                    <w:t>本项目位于工业园园区内，满足选址要求。</w:t>
                  </w:r>
                </w:p>
              </w:tc>
              <w:tc>
                <w:tcPr>
                  <w:tcW w:w="1449" w:type="dxa"/>
                  <w:tcBorders>
                    <w:tl2br w:val="nil"/>
                    <w:tr2bl w:val="nil"/>
                  </w:tcBorders>
                  <w:noWrap w:val="0"/>
                  <w:vAlign w:val="center"/>
                </w:tcPr>
                <w:p>
                  <w:pPr>
                    <w:keepNext w:val="0"/>
                    <w:keepLines w:val="0"/>
                    <w:pageBreakBefore w:val="0"/>
                    <w:kinsoku/>
                    <w:wordWrap/>
                    <w:overflowPunct/>
                    <w:topLinePunct w:val="0"/>
                    <w:autoSpaceDE/>
                    <w:autoSpaceDN/>
                    <w:bidi w:val="0"/>
                    <w:spacing w:before="65" w:line="312" w:lineRule="auto"/>
                    <w:ind w:left="9" w:right="2" w:firstLine="11"/>
                    <w:jc w:val="center"/>
                    <w:textAlignment w:val="auto"/>
                    <w:rPr>
                      <w:rFonts w:hint="eastAsia"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bl>
          <w:p>
            <w:pPr>
              <w:spacing w:line="420" w:lineRule="auto"/>
              <w:ind w:firstLine="480" w:firstLineChars="200"/>
              <w:rPr>
                <w:rFonts w:hint="default" w:ascii="Times New Roman" w:hAnsi="Times New Roman" w:eastAsia="宋体" w:cs="Times New Roman"/>
                <w:color w:val="auto"/>
                <w:kern w:val="0"/>
                <w:sz w:val="24"/>
                <w:szCs w:val="24"/>
                <w:lang w:val="zh-CN" w:eastAsia="zh-CN"/>
              </w:rPr>
            </w:pPr>
          </w:p>
          <w:p>
            <w:pPr>
              <w:spacing w:line="420" w:lineRule="auto"/>
              <w:ind w:firstLine="482" w:firstLineChars="200"/>
              <w:rPr>
                <w:rFonts w:hint="eastAsia"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zh-CN" w:eastAsia="zh-CN"/>
              </w:rPr>
              <w:t>（</w:t>
            </w:r>
            <w:r>
              <w:rPr>
                <w:rFonts w:hint="eastAsia" w:cs="Times New Roman"/>
                <w:b/>
                <w:bCs/>
                <w:color w:val="auto"/>
                <w:kern w:val="0"/>
                <w:sz w:val="24"/>
                <w:szCs w:val="24"/>
                <w:lang w:val="en-US" w:eastAsia="zh-CN"/>
              </w:rPr>
              <w:t>10</w:t>
            </w:r>
            <w:r>
              <w:rPr>
                <w:rFonts w:hint="eastAsia" w:ascii="Times New Roman" w:hAnsi="Times New Roman" w:eastAsia="宋体" w:cs="Times New Roman"/>
                <w:b/>
                <w:bCs/>
                <w:color w:val="auto"/>
                <w:kern w:val="0"/>
                <w:sz w:val="24"/>
                <w:szCs w:val="24"/>
                <w:lang w:val="zh-CN" w:eastAsia="zh-CN"/>
              </w:rPr>
              <w:t>）与《废塑料加工利用污染防治管理规定》符合性分析</w:t>
            </w:r>
          </w:p>
          <w:p>
            <w:pPr>
              <w:spacing w:line="42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zh-CN" w:eastAsia="zh-CN"/>
              </w:rPr>
              <w:t>根据《废塑料加工利用污染防治管理规定》(环境保护部、发展改革委、商务部公告2012年第55号）</w:t>
            </w:r>
            <w:r>
              <w:rPr>
                <w:rFonts w:hint="eastAsia" w:ascii="Times New Roman" w:hAnsi="Times New Roman" w:eastAsia="宋体" w:cs="Times New Roman"/>
                <w:color w:val="auto"/>
                <w:kern w:val="0"/>
                <w:sz w:val="24"/>
                <w:szCs w:val="24"/>
                <w:lang w:val="en-US" w:eastAsia="zh-CN"/>
              </w:rPr>
              <w:t>要求：</w:t>
            </w:r>
          </w:p>
          <w:p>
            <w:pPr>
              <w:spacing w:line="420" w:lineRule="auto"/>
              <w:ind w:firstLine="480" w:firstLineChars="200"/>
              <w:rPr>
                <w:rFonts w:hint="eastAsia" w:ascii="Times New Roman" w:hAnsi="Times New Roman" w:eastAsia="宋体" w:cs="Times New Roman"/>
                <w:color w:val="auto"/>
                <w:kern w:val="0"/>
                <w:sz w:val="24"/>
                <w:szCs w:val="24"/>
                <w:lang w:val="zh-CN" w:eastAsia="zh-CN"/>
              </w:rPr>
            </w:pP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val="zh-CN" w:eastAsia="zh-CN"/>
              </w:rPr>
              <w:t>“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p>
            <w:pPr>
              <w:pStyle w:val="66"/>
              <w:bidi w:val="0"/>
              <w:rPr>
                <w:color w:val="auto"/>
              </w:rPr>
            </w:pPr>
            <w:r>
              <w:rPr>
                <w:color w:val="auto"/>
              </w:rPr>
              <w:t>本项目属于废塑料破碎、清洗、分选</w:t>
            </w:r>
            <w:r>
              <w:rPr>
                <w:rFonts w:hint="eastAsia"/>
                <w:color w:val="auto"/>
                <w:lang w:eastAsia="zh-CN"/>
              </w:rPr>
              <w:t>、</w:t>
            </w:r>
            <w:r>
              <w:rPr>
                <w:rFonts w:hint="eastAsia"/>
                <w:color w:val="auto"/>
                <w:lang w:val="en-US" w:eastAsia="zh-CN"/>
              </w:rPr>
              <w:t>造粒工序</w:t>
            </w:r>
            <w:r>
              <w:rPr>
                <w:color w:val="auto"/>
              </w:rPr>
              <w:t>位于蓬溪县上游工业园，用地性质为工业用地。</w:t>
            </w:r>
            <w:r>
              <w:rPr>
                <w:rFonts w:hint="eastAsia"/>
                <w:color w:val="auto"/>
                <w:lang w:val="en-US" w:eastAsia="zh-CN"/>
              </w:rPr>
              <w:t>项目</w:t>
            </w:r>
            <w:r>
              <w:rPr>
                <w:color w:val="auto"/>
              </w:rPr>
              <w:t>严格按照营业执照允许经营范围内进行废旧资源回收、加工，不涉及废塑料类危险废物的回收利用活动，本项目原料均是采用</w:t>
            </w:r>
            <w:r>
              <w:rPr>
                <w:rFonts w:hint="eastAsia" w:cs="Times New Roman"/>
                <w:color w:val="auto"/>
                <w:kern w:val="2"/>
                <w:sz w:val="24"/>
                <w:szCs w:val="24"/>
                <w:lang w:val="en-US" w:eastAsia="zh-CN"/>
              </w:rPr>
              <w:t>PP和PET</w:t>
            </w:r>
            <w:r>
              <w:rPr>
                <w:rFonts w:hint="default" w:ascii="Times New Roman" w:hAnsi="Times New Roman" w:eastAsia="宋体" w:cs="Times New Roman"/>
                <w:color w:val="auto"/>
                <w:kern w:val="2"/>
                <w:sz w:val="24"/>
                <w:szCs w:val="24"/>
              </w:rPr>
              <w:t>塑料</w:t>
            </w:r>
            <w:r>
              <w:rPr>
                <w:rFonts w:hint="eastAsia" w:cs="Times New Roman"/>
                <w:color w:val="auto"/>
                <w:kern w:val="2"/>
                <w:sz w:val="24"/>
                <w:szCs w:val="24"/>
                <w:lang w:val="en-US" w:eastAsia="zh-CN"/>
              </w:rPr>
              <w:t>瓶的</w:t>
            </w:r>
            <w:r>
              <w:rPr>
                <w:color w:val="auto"/>
              </w:rPr>
              <w:t>一般固废，从事废旧塑料破碎、清洗、分选</w:t>
            </w:r>
            <w:r>
              <w:rPr>
                <w:rFonts w:hint="eastAsia"/>
                <w:color w:val="auto"/>
                <w:lang w:eastAsia="zh-CN"/>
              </w:rPr>
              <w:t>、</w:t>
            </w:r>
            <w:r>
              <w:rPr>
                <w:rFonts w:hint="eastAsia"/>
                <w:color w:val="auto"/>
                <w:lang w:val="en-US" w:eastAsia="zh-CN"/>
              </w:rPr>
              <w:t>造粒生产活动</w:t>
            </w:r>
            <w:r>
              <w:rPr>
                <w:color w:val="auto"/>
              </w:rPr>
              <w:t>。本项目</w:t>
            </w:r>
            <w:r>
              <w:rPr>
                <w:rFonts w:hint="eastAsia"/>
                <w:color w:val="auto"/>
                <w:lang w:val="en-US" w:eastAsia="zh-CN"/>
              </w:rPr>
              <w:t>建设单位承诺按照本环评表2-4所提出的原料负面清单要求，不收集负面清单内的原料。</w:t>
            </w:r>
            <w:r>
              <w:rPr>
                <w:color w:val="auto"/>
              </w:rPr>
              <w:t>经采取以上措施，可保证本项目生产原料废旧塑料中，不含被危险化学品、农药等污染的废弃塑料包装物，废弃的一次性医疗用塑料制品(如输液器、血袋</w:t>
            </w:r>
            <w:r>
              <w:rPr>
                <w:rFonts w:hint="eastAsia"/>
                <w:color w:val="auto"/>
                <w:lang w:eastAsia="zh-CN"/>
              </w:rPr>
              <w:t>）</w:t>
            </w:r>
            <w:r>
              <w:rPr>
                <w:color w:val="auto"/>
              </w:rPr>
              <w:t>等。</w:t>
            </w:r>
          </w:p>
          <w:p>
            <w:pPr>
              <w:pStyle w:val="66"/>
              <w:bidi w:val="0"/>
              <w:rPr>
                <w:color w:val="auto"/>
              </w:rPr>
            </w:pPr>
            <w:r>
              <w:rPr>
                <w:color w:val="auto"/>
              </w:rPr>
              <w:t>2)“无符合环保要求污水治理设施的，禁止从事废编织袋造粒、废塑料退镀(涂</w:t>
            </w:r>
            <w:r>
              <w:rPr>
                <w:rFonts w:hint="eastAsia"/>
                <w:color w:val="auto"/>
                <w:lang w:eastAsia="zh-CN"/>
              </w:rPr>
              <w:t>）</w:t>
            </w:r>
            <w:r>
              <w:rPr>
                <w:color w:val="auto"/>
              </w:rPr>
              <w:t>、盐卤分拣等加工活动。”</w:t>
            </w:r>
          </w:p>
          <w:p>
            <w:pPr>
              <w:pStyle w:val="66"/>
              <w:bidi w:val="0"/>
              <w:rPr>
                <w:color w:val="auto"/>
              </w:rPr>
            </w:pPr>
            <w:r>
              <w:rPr>
                <w:color w:val="auto"/>
              </w:rPr>
              <w:t>本项目厂区内自建污水处理站，清洗</w:t>
            </w:r>
            <w:r>
              <w:rPr>
                <w:rFonts w:hint="eastAsia"/>
                <w:color w:val="auto"/>
                <w:lang w:val="en-US" w:eastAsia="zh-CN"/>
              </w:rPr>
              <w:t>不采用盐卤分拣工艺</w:t>
            </w:r>
            <w:r>
              <w:rPr>
                <w:rFonts w:hint="eastAsia"/>
                <w:color w:val="auto"/>
                <w:lang w:eastAsia="zh-CN"/>
              </w:rPr>
              <w:t>，</w:t>
            </w:r>
            <w:r>
              <w:rPr>
                <w:rFonts w:hint="eastAsia"/>
                <w:color w:val="auto"/>
                <w:lang w:val="en-US" w:eastAsia="zh-CN"/>
              </w:rPr>
              <w:t>项目</w:t>
            </w:r>
            <w:r>
              <w:rPr>
                <w:color w:val="auto"/>
              </w:rPr>
              <w:t>生产废水经处理达《污水综合排放标准》(GB8978-1996</w:t>
            </w:r>
            <w:r>
              <w:rPr>
                <w:rFonts w:hint="eastAsia"/>
                <w:color w:val="auto"/>
                <w:lang w:eastAsia="zh-CN"/>
              </w:rPr>
              <w:t>）</w:t>
            </w:r>
            <w:r>
              <w:rPr>
                <w:color w:val="auto"/>
              </w:rPr>
              <w:t>三级标准排放限值要求排放至市政污水管网</w:t>
            </w:r>
            <w:r>
              <w:rPr>
                <w:rFonts w:hint="eastAsia"/>
                <w:color w:val="auto"/>
                <w:lang w:val="en-US" w:eastAsia="zh-CN"/>
              </w:rPr>
              <w:t>送蓬溪经开区污水处理厂处理</w:t>
            </w:r>
            <w:r>
              <w:rPr>
                <w:color w:val="auto"/>
              </w:rPr>
              <w:t>。因此，</w:t>
            </w:r>
            <w:r>
              <w:rPr>
                <w:rFonts w:hint="eastAsia"/>
                <w:color w:val="auto"/>
                <w:lang w:val="en-US" w:eastAsia="zh-CN"/>
              </w:rPr>
              <w:t>本项目建设符合</w:t>
            </w:r>
            <w:r>
              <w:rPr>
                <w:color w:val="auto"/>
              </w:rPr>
              <w:t>《废塑料加工利用污染防治管理规定》中相关规定。</w:t>
            </w:r>
          </w:p>
          <w:p>
            <w:pPr>
              <w:spacing w:line="420" w:lineRule="auto"/>
              <w:ind w:firstLine="482" w:firstLineChars="200"/>
              <w:rPr>
                <w:rFonts w:hint="eastAsia" w:ascii="Times New Roman" w:hAnsi="Times New Roman" w:eastAsia="宋体" w:cs="Times New Roman"/>
                <w:b/>
                <w:bCs/>
                <w:color w:val="auto"/>
                <w:kern w:val="0"/>
                <w:sz w:val="24"/>
                <w:szCs w:val="24"/>
                <w:lang w:val="zh-CN" w:eastAsia="zh-CN"/>
              </w:rPr>
            </w:pPr>
            <w:r>
              <w:rPr>
                <w:rFonts w:hint="eastAsia" w:ascii="Times New Roman" w:hAnsi="Times New Roman" w:eastAsia="宋体" w:cs="Times New Roman"/>
                <w:b/>
                <w:bCs/>
                <w:color w:val="auto"/>
                <w:kern w:val="0"/>
                <w:sz w:val="24"/>
                <w:szCs w:val="24"/>
                <w:lang w:val="zh-CN" w:eastAsia="zh-CN"/>
              </w:rPr>
              <w:t>（</w:t>
            </w:r>
            <w:r>
              <w:rPr>
                <w:rFonts w:hint="eastAsia" w:cs="Times New Roman"/>
                <w:b/>
                <w:bCs/>
                <w:color w:val="auto"/>
                <w:kern w:val="0"/>
                <w:sz w:val="24"/>
                <w:szCs w:val="24"/>
                <w:lang w:val="en-US" w:eastAsia="zh-CN"/>
              </w:rPr>
              <w:t>11</w:t>
            </w:r>
            <w:r>
              <w:rPr>
                <w:rFonts w:hint="eastAsia" w:ascii="Times New Roman" w:hAnsi="Times New Roman" w:eastAsia="宋体" w:cs="Times New Roman"/>
                <w:b/>
                <w:bCs/>
                <w:color w:val="auto"/>
                <w:kern w:val="0"/>
                <w:sz w:val="24"/>
                <w:szCs w:val="24"/>
                <w:lang w:val="zh-CN" w:eastAsia="zh-CN"/>
              </w:rPr>
              <w:t>）与《四川省进一步加强塑料污染治理实施办法》(川发改环资〔2020〕345号）的符合性分析</w:t>
            </w:r>
          </w:p>
          <w:p>
            <w:pPr>
              <w:spacing w:line="420" w:lineRule="auto"/>
              <w:ind w:firstLine="480" w:firstLineChars="200"/>
              <w:rPr>
                <w:rFonts w:hint="eastAsia" w:ascii="Times New Roman" w:hAnsi="Times New Roman" w:eastAsia="宋体" w:cs="Times New Roman"/>
                <w:color w:val="auto"/>
                <w:kern w:val="0"/>
                <w:sz w:val="24"/>
                <w:szCs w:val="24"/>
                <w:lang w:val="zh-CN" w:eastAsia="zh-CN"/>
              </w:rPr>
            </w:pPr>
            <w:r>
              <w:rPr>
                <w:rFonts w:hint="eastAsia" w:ascii="Times New Roman" w:hAnsi="Times New Roman" w:eastAsia="宋体" w:cs="Times New Roman"/>
                <w:color w:val="auto"/>
                <w:kern w:val="0"/>
                <w:sz w:val="24"/>
                <w:szCs w:val="24"/>
                <w:lang w:val="zh-CN" w:eastAsia="zh-CN"/>
              </w:rPr>
              <w:t>根据《四川省进一步加强塑料污染治理实施办法》(川发改环资〔2020〕345号）要求并结合本项目实际情况，本项目相符性情况见下表。</w:t>
            </w:r>
          </w:p>
          <w:p>
            <w:pPr>
              <w:pStyle w:val="60"/>
              <w:bidi w:val="0"/>
              <w:rPr>
                <w:rFonts w:hint="eastAsia"/>
                <w:color w:val="auto"/>
                <w:lang w:val="en-US" w:eastAsia="zh-CN"/>
              </w:rPr>
            </w:pPr>
            <w:r>
              <w:rPr>
                <w:rFonts w:hint="eastAsia" w:ascii="Times New Roman" w:hAnsi="Times New Roman" w:eastAsia="宋体" w:cs="Times New Roman"/>
                <w:color w:val="auto"/>
                <w:kern w:val="0"/>
                <w:sz w:val="24"/>
                <w:szCs w:val="24"/>
                <w:lang w:val="en-US" w:eastAsia="zh-CN"/>
              </w:rPr>
              <w:t>表</w:t>
            </w:r>
            <w:r>
              <w:rPr>
                <w:rFonts w:hint="eastAsia"/>
                <w:color w:val="auto"/>
                <w:lang w:val="en-US" w:eastAsia="zh-CN"/>
              </w:rPr>
              <w:t>1</w:t>
            </w:r>
            <w:r>
              <w:rPr>
                <w:rFonts w:hint="default"/>
                <w:color w:val="auto"/>
                <w:lang w:val="zh-CN"/>
              </w:rPr>
              <w:t>-</w:t>
            </w:r>
            <w:r>
              <w:rPr>
                <w:rFonts w:hint="eastAsia"/>
                <w:color w:val="auto"/>
                <w:lang w:val="en-US" w:eastAsia="zh-CN"/>
              </w:rPr>
              <w:t>9 项目与川发改环资〔2020〕345号符合性</w:t>
            </w:r>
          </w:p>
          <w:tbl>
            <w:tblPr>
              <w:tblStyle w:val="25"/>
              <w:tblW w:w="86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050"/>
              <w:gridCol w:w="3218"/>
              <w:gridCol w:w="2013"/>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24" w:type="dxa"/>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4268" w:type="dxa"/>
                  <w:gridSpan w:val="2"/>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政策要求</w:t>
                  </w:r>
                </w:p>
              </w:tc>
              <w:tc>
                <w:tcPr>
                  <w:tcW w:w="2013" w:type="dxa"/>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本项目情况</w:t>
                  </w:r>
                </w:p>
              </w:tc>
              <w:tc>
                <w:tcPr>
                  <w:tcW w:w="1449" w:type="dxa"/>
                  <w:tcBorders>
                    <w:tl2br w:val="nil"/>
                    <w:tr2bl w:val="nil"/>
                  </w:tcBorders>
                  <w:noWrap w:val="0"/>
                  <w:vAlign w:val="center"/>
                </w:tcPr>
                <w:p>
                  <w:pPr>
                    <w:pStyle w:val="66"/>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1</w:t>
                  </w:r>
                </w:p>
              </w:tc>
              <w:tc>
                <w:tcPr>
                  <w:tcW w:w="10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ascii="宋体" w:hAnsi="宋体" w:eastAsia="宋体" w:cs="宋体"/>
                      <w:color w:val="auto"/>
                      <w:spacing w:val="6"/>
                      <w:sz w:val="21"/>
                      <w:szCs w:val="21"/>
                    </w:rPr>
                    <w:t>一、</w:t>
                  </w:r>
                  <w:r>
                    <w:rPr>
                      <w:rFonts w:ascii="宋体" w:hAnsi="宋体" w:eastAsia="宋体" w:cs="宋体"/>
                      <w:color w:val="auto"/>
                      <w:spacing w:val="5"/>
                      <w:sz w:val="21"/>
                      <w:szCs w:val="21"/>
                    </w:rPr>
                    <w:t>分</w:t>
                  </w:r>
                  <w:r>
                    <w:rPr>
                      <w:rFonts w:ascii="宋体" w:hAnsi="宋体" w:eastAsia="宋体" w:cs="宋体"/>
                      <w:color w:val="auto"/>
                      <w:spacing w:val="7"/>
                      <w:sz w:val="21"/>
                      <w:szCs w:val="21"/>
                    </w:rPr>
                    <w:t>种类</w:t>
                  </w:r>
                  <w:r>
                    <w:rPr>
                      <w:rFonts w:ascii="宋体" w:hAnsi="宋体" w:eastAsia="宋体" w:cs="宋体"/>
                      <w:color w:val="auto"/>
                      <w:spacing w:val="6"/>
                      <w:sz w:val="21"/>
                      <w:szCs w:val="21"/>
                    </w:rPr>
                    <w:t>分</w:t>
                  </w:r>
                  <w:r>
                    <w:rPr>
                      <w:rFonts w:ascii="宋体" w:hAnsi="宋体" w:eastAsia="宋体" w:cs="宋体"/>
                      <w:color w:val="auto"/>
                      <w:spacing w:val="7"/>
                      <w:sz w:val="21"/>
                      <w:szCs w:val="21"/>
                    </w:rPr>
                    <w:t>阶段</w:t>
                  </w:r>
                  <w:r>
                    <w:rPr>
                      <w:rFonts w:ascii="宋体" w:hAnsi="宋体" w:eastAsia="宋体" w:cs="宋体"/>
                      <w:color w:val="auto"/>
                      <w:spacing w:val="6"/>
                      <w:sz w:val="21"/>
                      <w:szCs w:val="21"/>
                    </w:rPr>
                    <w:t>实</w:t>
                  </w:r>
                  <w:r>
                    <w:rPr>
                      <w:rFonts w:ascii="宋体" w:hAnsi="宋体" w:eastAsia="宋体" w:cs="宋体"/>
                      <w:color w:val="auto"/>
                      <w:spacing w:val="7"/>
                      <w:sz w:val="21"/>
                      <w:szCs w:val="21"/>
                    </w:rPr>
                    <w:t>现塑</w:t>
                  </w:r>
                  <w:r>
                    <w:rPr>
                      <w:rFonts w:ascii="宋体" w:hAnsi="宋体" w:eastAsia="宋体" w:cs="宋体"/>
                      <w:color w:val="auto"/>
                      <w:spacing w:val="6"/>
                      <w:sz w:val="21"/>
                      <w:szCs w:val="21"/>
                    </w:rPr>
                    <w:t>料</w:t>
                  </w:r>
                  <w:r>
                    <w:rPr>
                      <w:rFonts w:ascii="宋体" w:hAnsi="宋体" w:eastAsia="宋体" w:cs="宋体"/>
                      <w:color w:val="auto"/>
                      <w:spacing w:val="7"/>
                      <w:sz w:val="21"/>
                      <w:szCs w:val="21"/>
                    </w:rPr>
                    <w:t>垃圾</w:t>
                  </w:r>
                  <w:r>
                    <w:rPr>
                      <w:rFonts w:ascii="宋体" w:hAnsi="宋体" w:eastAsia="宋体" w:cs="宋体"/>
                      <w:color w:val="auto"/>
                      <w:spacing w:val="6"/>
                      <w:sz w:val="21"/>
                      <w:szCs w:val="21"/>
                    </w:rPr>
                    <w:t>源</w:t>
                  </w:r>
                  <w:r>
                    <w:rPr>
                      <w:rFonts w:ascii="宋体" w:hAnsi="宋体" w:eastAsia="宋体" w:cs="宋体"/>
                      <w:color w:val="auto"/>
                      <w:spacing w:val="7"/>
                      <w:sz w:val="21"/>
                      <w:szCs w:val="21"/>
                    </w:rPr>
                    <w:t>头减</w:t>
                  </w:r>
                  <w:r>
                    <w:rPr>
                      <w:rFonts w:ascii="宋体" w:hAnsi="宋体" w:eastAsia="宋体" w:cs="宋体"/>
                      <w:color w:val="auto"/>
                      <w:spacing w:val="6"/>
                      <w:sz w:val="21"/>
                      <w:szCs w:val="21"/>
                    </w:rPr>
                    <w:t>量</w:t>
                  </w:r>
                </w:p>
              </w:tc>
              <w:tc>
                <w:tcPr>
                  <w:tcW w:w="32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left"/>
                    <w:textAlignment w:val="auto"/>
                    <w:rPr>
                      <w:rFonts w:hint="default" w:ascii="Times New Roman" w:hAnsi="Times New Roman" w:eastAsia="宋体" w:cs="Times New Roman"/>
                      <w:color w:val="auto"/>
                      <w:kern w:val="0"/>
                      <w:sz w:val="21"/>
                      <w:szCs w:val="21"/>
                      <w:vertAlign w:val="baseline"/>
                      <w:lang w:val="en-US" w:eastAsia="zh-CN"/>
                    </w:rPr>
                  </w:pPr>
                  <w:r>
                    <w:rPr>
                      <w:rFonts w:ascii="宋体" w:hAnsi="宋体" w:eastAsia="宋体" w:cs="宋体"/>
                      <w:color w:val="auto"/>
                      <w:spacing w:val="6"/>
                      <w:sz w:val="21"/>
                      <w:szCs w:val="21"/>
                    </w:rPr>
                    <w:t>(</w:t>
                  </w:r>
                  <w:r>
                    <w:rPr>
                      <w:rFonts w:ascii="宋体" w:hAnsi="宋体" w:eastAsia="宋体" w:cs="宋体"/>
                      <w:color w:val="auto"/>
                      <w:spacing w:val="5"/>
                      <w:sz w:val="21"/>
                      <w:szCs w:val="21"/>
                    </w:rPr>
                    <w:t>一</w:t>
                  </w:r>
                  <w:r>
                    <w:rPr>
                      <w:rFonts w:hint="eastAsia" w:ascii="宋体" w:hAnsi="宋体" w:eastAsia="宋体" w:cs="宋体"/>
                      <w:color w:val="auto"/>
                      <w:spacing w:val="5"/>
                      <w:sz w:val="21"/>
                      <w:szCs w:val="21"/>
                      <w:lang w:eastAsia="zh-CN"/>
                    </w:rPr>
                    <w:t>）</w:t>
                  </w:r>
                  <w:r>
                    <w:rPr>
                      <w:rFonts w:ascii="宋体" w:hAnsi="宋体" w:eastAsia="宋体" w:cs="宋体"/>
                      <w:color w:val="auto"/>
                      <w:spacing w:val="5"/>
                      <w:sz w:val="21"/>
                      <w:szCs w:val="21"/>
                    </w:rPr>
                    <w:t>禁止部分塑料制品生产、销售禁止生产和销售厚度小于</w:t>
                  </w:r>
                  <w:r>
                    <w:rPr>
                      <w:rFonts w:ascii="Times New Roman" w:hAnsi="Times New Roman" w:eastAsia="Times New Roman" w:cs="Times New Roman"/>
                      <w:color w:val="auto"/>
                      <w:spacing w:val="5"/>
                      <w:sz w:val="21"/>
                      <w:szCs w:val="21"/>
                    </w:rPr>
                    <w:t>0.025</w:t>
                  </w:r>
                  <w:r>
                    <w:rPr>
                      <w:rFonts w:ascii="宋体" w:hAnsi="宋体" w:eastAsia="宋体" w:cs="宋体"/>
                      <w:color w:val="auto"/>
                      <w:spacing w:val="5"/>
                      <w:sz w:val="21"/>
                      <w:szCs w:val="21"/>
                    </w:rPr>
                    <w:t>毫米</w:t>
                  </w:r>
                  <w:r>
                    <w:rPr>
                      <w:rFonts w:ascii="宋体" w:hAnsi="宋体" w:eastAsia="宋体" w:cs="宋体"/>
                      <w:color w:val="auto"/>
                      <w:spacing w:val="18"/>
                      <w:sz w:val="21"/>
                      <w:szCs w:val="21"/>
                    </w:rPr>
                    <w:t>的</w:t>
                  </w:r>
                  <w:r>
                    <w:rPr>
                      <w:rFonts w:ascii="宋体" w:hAnsi="宋体" w:eastAsia="宋体" w:cs="宋体"/>
                      <w:color w:val="auto"/>
                      <w:spacing w:val="13"/>
                      <w:sz w:val="21"/>
                      <w:szCs w:val="21"/>
                    </w:rPr>
                    <w:t>超</w:t>
                  </w:r>
                  <w:r>
                    <w:rPr>
                      <w:rFonts w:ascii="宋体" w:hAnsi="宋体" w:eastAsia="宋体" w:cs="宋体"/>
                      <w:color w:val="auto"/>
                      <w:spacing w:val="9"/>
                      <w:sz w:val="21"/>
                      <w:szCs w:val="21"/>
                    </w:rPr>
                    <w:t>薄塑料购物袋、厚度小于</w:t>
                  </w:r>
                  <w:r>
                    <w:rPr>
                      <w:rFonts w:ascii="Times New Roman" w:hAnsi="Times New Roman" w:eastAsia="Times New Roman" w:cs="Times New Roman"/>
                      <w:color w:val="auto"/>
                      <w:spacing w:val="9"/>
                      <w:sz w:val="21"/>
                      <w:szCs w:val="21"/>
                    </w:rPr>
                    <w:t>0.01</w:t>
                  </w:r>
                  <w:r>
                    <w:rPr>
                      <w:rFonts w:ascii="宋体" w:hAnsi="宋体" w:eastAsia="宋体" w:cs="宋体"/>
                      <w:color w:val="auto"/>
                      <w:spacing w:val="12"/>
                      <w:sz w:val="21"/>
                      <w:szCs w:val="21"/>
                    </w:rPr>
                    <w:t>毫</w:t>
                  </w:r>
                  <w:r>
                    <w:rPr>
                      <w:rFonts w:ascii="宋体" w:hAnsi="宋体" w:eastAsia="宋体" w:cs="宋体"/>
                      <w:color w:val="auto"/>
                      <w:spacing w:val="9"/>
                      <w:sz w:val="21"/>
                      <w:szCs w:val="21"/>
                    </w:rPr>
                    <w:t>米</w:t>
                  </w:r>
                  <w:r>
                    <w:rPr>
                      <w:rFonts w:ascii="宋体" w:hAnsi="宋体" w:eastAsia="宋体" w:cs="宋体"/>
                      <w:color w:val="auto"/>
                      <w:spacing w:val="6"/>
                      <w:sz w:val="21"/>
                      <w:szCs w:val="21"/>
                    </w:rPr>
                    <w:t>的聚乙烯农用地膜。禁止以医疗</w:t>
                  </w:r>
                  <w:r>
                    <w:rPr>
                      <w:rFonts w:ascii="宋体" w:hAnsi="宋体" w:eastAsia="宋体" w:cs="宋体"/>
                      <w:color w:val="auto"/>
                      <w:spacing w:val="13"/>
                      <w:sz w:val="21"/>
                      <w:szCs w:val="21"/>
                    </w:rPr>
                    <w:t>废</w:t>
                  </w:r>
                  <w:r>
                    <w:rPr>
                      <w:rFonts w:ascii="宋体" w:hAnsi="宋体" w:eastAsia="宋体" w:cs="宋体"/>
                      <w:color w:val="auto"/>
                      <w:spacing w:val="8"/>
                      <w:sz w:val="21"/>
                      <w:szCs w:val="21"/>
                    </w:rPr>
                    <w:t>物为原料制造塑料制品。</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left"/>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本项目不收集</w:t>
                  </w:r>
                  <w:r>
                    <w:rPr>
                      <w:rFonts w:ascii="Times New Roman" w:hAnsi="Times New Roman" w:eastAsia="Times New Roman" w:cs="Times New Roman"/>
                      <w:color w:val="auto"/>
                      <w:spacing w:val="5"/>
                      <w:sz w:val="21"/>
                      <w:szCs w:val="21"/>
                    </w:rPr>
                    <w:t>以医疗废物为原料</w:t>
                  </w:r>
                  <w:r>
                    <w:rPr>
                      <w:rFonts w:hint="eastAsia" w:ascii="Times New Roman" w:hAnsi="Times New Roman" w:eastAsia="Times New Roman" w:cs="Times New Roman"/>
                      <w:color w:val="auto"/>
                      <w:spacing w:val="5"/>
                      <w:sz w:val="21"/>
                      <w:szCs w:val="21"/>
                      <w:lang w:val="en-US" w:eastAsia="zh-CN"/>
                    </w:rPr>
                    <w:t>的塑料，本项</w:t>
                  </w:r>
                  <w:r>
                    <w:rPr>
                      <w:rFonts w:hint="eastAsia" w:eastAsia="Times New Roman" w:cs="Times New Roman"/>
                      <w:color w:val="auto"/>
                      <w:spacing w:val="5"/>
                      <w:sz w:val="21"/>
                      <w:szCs w:val="21"/>
                      <w:lang w:val="en-US" w:eastAsia="zh-CN"/>
                    </w:rPr>
                    <w:t>目采样废PP和PET塑料瓶</w:t>
                  </w:r>
                  <w:r>
                    <w:rPr>
                      <w:rFonts w:hint="eastAsia" w:ascii="Times New Roman" w:hAnsi="Times New Roman" w:eastAsia="Times New Roman" w:cs="Times New Roman"/>
                      <w:color w:val="auto"/>
                      <w:spacing w:val="5"/>
                      <w:sz w:val="21"/>
                      <w:szCs w:val="21"/>
                      <w:lang w:val="en-US" w:eastAsia="zh-CN"/>
                    </w:rPr>
                    <w:t>进行破碎、清洗、分选</w:t>
                  </w:r>
                  <w:r>
                    <w:rPr>
                      <w:rFonts w:hint="eastAsia" w:eastAsia="Times New Roman" w:cs="Times New Roman"/>
                      <w:color w:val="auto"/>
                      <w:spacing w:val="5"/>
                      <w:sz w:val="21"/>
                      <w:szCs w:val="21"/>
                      <w:lang w:val="en-US" w:eastAsia="zh-CN"/>
                    </w:rPr>
                    <w:t>、造粒</w:t>
                  </w:r>
                  <w:r>
                    <w:rPr>
                      <w:rFonts w:hint="eastAsia" w:ascii="Times New Roman" w:hAnsi="Times New Roman" w:eastAsia="Times New Roman" w:cs="Times New Roman"/>
                      <w:color w:val="auto"/>
                      <w:spacing w:val="5"/>
                      <w:sz w:val="21"/>
                      <w:szCs w:val="21"/>
                      <w:lang w:val="en-US" w:eastAsia="zh-CN"/>
                    </w:rPr>
                    <w:t>不进行其他产品生产</w:t>
                  </w:r>
                </w:p>
              </w:tc>
              <w:tc>
                <w:tcPr>
                  <w:tcW w:w="14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2</w:t>
                  </w:r>
                </w:p>
              </w:tc>
              <w:tc>
                <w:tcPr>
                  <w:tcW w:w="105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47"/>
                    <w:textAlignment w:val="auto"/>
                    <w:rPr>
                      <w:rFonts w:ascii="宋体" w:hAnsi="宋体" w:eastAsia="宋体" w:cs="宋体"/>
                      <w:color w:val="auto"/>
                      <w:sz w:val="21"/>
                      <w:szCs w:val="21"/>
                    </w:rPr>
                  </w:pPr>
                  <w:r>
                    <w:rPr>
                      <w:rFonts w:ascii="宋体" w:hAnsi="宋体" w:eastAsia="宋体" w:cs="宋体"/>
                      <w:color w:val="auto"/>
                      <w:spacing w:val="7"/>
                      <w:position w:val="1"/>
                      <w:sz w:val="21"/>
                      <w:szCs w:val="21"/>
                    </w:rPr>
                    <w:t>三、</w:t>
                  </w:r>
                  <w:r>
                    <w:rPr>
                      <w:rFonts w:ascii="宋体" w:hAnsi="宋体" w:eastAsia="宋体" w:cs="宋体"/>
                      <w:color w:val="auto"/>
                      <w:spacing w:val="6"/>
                      <w:position w:val="1"/>
                      <w:sz w:val="21"/>
                      <w:szCs w:val="21"/>
                    </w:rPr>
                    <w:t>规</w:t>
                  </w:r>
                  <w:r>
                    <w:rPr>
                      <w:rFonts w:ascii="宋体" w:hAnsi="宋体" w:eastAsia="宋体" w:cs="宋体"/>
                      <w:color w:val="auto"/>
                      <w:spacing w:val="5"/>
                      <w:sz w:val="21"/>
                      <w:szCs w:val="21"/>
                    </w:rPr>
                    <w:t>范塑料</w:t>
                  </w:r>
                </w:p>
                <w:p>
                  <w:pPr>
                    <w:keepNext w:val="0"/>
                    <w:keepLines w:val="0"/>
                    <w:pageBreakBefore w:val="0"/>
                    <w:widowControl w:val="0"/>
                    <w:kinsoku/>
                    <w:wordWrap/>
                    <w:overflowPunct/>
                    <w:topLinePunct w:val="0"/>
                    <w:autoSpaceDE/>
                    <w:autoSpaceDN/>
                    <w:bidi w:val="0"/>
                    <w:spacing w:before="23" w:line="288" w:lineRule="auto"/>
                    <w:ind w:left="46"/>
                    <w:textAlignment w:val="auto"/>
                    <w:rPr>
                      <w:rFonts w:ascii="宋体" w:hAnsi="宋体" w:eastAsia="宋体" w:cs="宋体"/>
                      <w:color w:val="auto"/>
                      <w:sz w:val="21"/>
                      <w:szCs w:val="21"/>
                    </w:rPr>
                  </w:pPr>
                  <w:r>
                    <w:rPr>
                      <w:rFonts w:ascii="宋体" w:hAnsi="宋体" w:eastAsia="宋体" w:cs="宋体"/>
                      <w:color w:val="auto"/>
                      <w:spacing w:val="7"/>
                      <w:sz w:val="21"/>
                      <w:szCs w:val="21"/>
                    </w:rPr>
                    <w:t>废弃物</w:t>
                  </w:r>
                  <w:r>
                    <w:rPr>
                      <w:rFonts w:ascii="宋体" w:hAnsi="宋体" w:eastAsia="宋体" w:cs="宋体"/>
                      <w:color w:val="auto"/>
                      <w:sz w:val="21"/>
                      <w:szCs w:val="21"/>
                    </w:rPr>
                    <w:t>回收利</w:t>
                  </w:r>
                </w:p>
                <w:p>
                  <w:pPr>
                    <w:keepNext w:val="0"/>
                    <w:keepLines w:val="0"/>
                    <w:pageBreakBefore w:val="0"/>
                    <w:widowControl w:val="0"/>
                    <w:kinsoku/>
                    <w:wordWrap/>
                    <w:overflowPunct/>
                    <w:topLinePunct w:val="0"/>
                    <w:autoSpaceDE/>
                    <w:autoSpaceDN/>
                    <w:bidi w:val="0"/>
                    <w:spacing w:before="23" w:line="288" w:lineRule="auto"/>
                    <w:ind w:left="49"/>
                    <w:textAlignment w:val="auto"/>
                    <w:rPr>
                      <w:rFonts w:hint="default" w:ascii="Times New Roman" w:hAnsi="Times New Roman" w:eastAsia="宋体" w:cs="Times New Roman"/>
                      <w:color w:val="auto"/>
                      <w:kern w:val="0"/>
                      <w:sz w:val="21"/>
                      <w:szCs w:val="21"/>
                      <w:vertAlign w:val="baseline"/>
                      <w:lang w:val="en-US" w:eastAsia="zh-CN"/>
                    </w:rPr>
                  </w:pPr>
                  <w:r>
                    <w:rPr>
                      <w:rFonts w:ascii="宋体" w:hAnsi="宋体" w:eastAsia="宋体" w:cs="宋体"/>
                      <w:color w:val="auto"/>
                      <w:spacing w:val="7"/>
                      <w:sz w:val="21"/>
                      <w:szCs w:val="21"/>
                    </w:rPr>
                    <w:t>用</w:t>
                  </w:r>
                  <w:r>
                    <w:rPr>
                      <w:rFonts w:ascii="宋体" w:hAnsi="宋体" w:eastAsia="宋体" w:cs="宋体"/>
                      <w:color w:val="auto"/>
                      <w:spacing w:val="6"/>
                      <w:sz w:val="21"/>
                      <w:szCs w:val="21"/>
                    </w:rPr>
                    <w:t>和处</w:t>
                  </w:r>
                  <w:r>
                    <w:rPr>
                      <w:rFonts w:ascii="宋体" w:hAnsi="宋体" w:eastAsia="宋体" w:cs="宋体"/>
                      <w:color w:val="auto"/>
                      <w:spacing w:val="2"/>
                      <w:sz w:val="21"/>
                      <w:szCs w:val="21"/>
                    </w:rPr>
                    <w:t>置</w:t>
                  </w:r>
                </w:p>
              </w:tc>
              <w:tc>
                <w:tcPr>
                  <w:tcW w:w="32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left"/>
                    <w:textAlignment w:val="auto"/>
                    <w:rPr>
                      <w:rFonts w:hint="default" w:ascii="Times New Roman" w:hAnsi="Times New Roman" w:eastAsia="宋体" w:cs="Times New Roman"/>
                      <w:color w:val="auto"/>
                      <w:kern w:val="0"/>
                      <w:sz w:val="21"/>
                      <w:szCs w:val="21"/>
                      <w:vertAlign w:val="baseline"/>
                      <w:lang w:val="en-US" w:eastAsia="zh-CN"/>
                    </w:rPr>
                  </w:pPr>
                  <w:r>
                    <w:rPr>
                      <w:rFonts w:ascii="宋体" w:hAnsi="宋体" w:eastAsia="宋体" w:cs="宋体"/>
                      <w:color w:val="auto"/>
                      <w:spacing w:val="20"/>
                      <w:sz w:val="21"/>
                      <w:szCs w:val="21"/>
                    </w:rPr>
                    <w:t>(</w:t>
                  </w:r>
                  <w:r>
                    <w:rPr>
                      <w:rFonts w:ascii="宋体" w:hAnsi="宋体" w:eastAsia="宋体" w:cs="宋体"/>
                      <w:color w:val="auto"/>
                      <w:spacing w:val="11"/>
                      <w:sz w:val="21"/>
                      <w:szCs w:val="21"/>
                    </w:rPr>
                    <w:t>七</w:t>
                  </w:r>
                  <w:r>
                    <w:rPr>
                      <w:rFonts w:hint="eastAsia" w:ascii="宋体" w:hAnsi="宋体" w:eastAsia="宋体" w:cs="宋体"/>
                      <w:color w:val="auto"/>
                      <w:spacing w:val="11"/>
                      <w:sz w:val="21"/>
                      <w:szCs w:val="21"/>
                      <w:lang w:eastAsia="zh-CN"/>
                    </w:rPr>
                    <w:t>）</w:t>
                  </w:r>
                  <w:r>
                    <w:rPr>
                      <w:rFonts w:ascii="宋体" w:hAnsi="宋体" w:eastAsia="宋体" w:cs="宋体"/>
                      <w:color w:val="auto"/>
                      <w:spacing w:val="11"/>
                      <w:sz w:val="21"/>
                      <w:szCs w:val="21"/>
                    </w:rPr>
                    <w:t>加强塑料废弃物回收和清运。</w:t>
                  </w:r>
                  <w:r>
                    <w:rPr>
                      <w:rFonts w:ascii="宋体" w:hAnsi="宋体" w:eastAsia="宋体" w:cs="宋体"/>
                      <w:color w:val="auto"/>
                      <w:spacing w:val="17"/>
                      <w:sz w:val="21"/>
                      <w:szCs w:val="21"/>
                    </w:rPr>
                    <w:t>合</w:t>
                  </w:r>
                  <w:r>
                    <w:rPr>
                      <w:rFonts w:ascii="宋体" w:hAnsi="宋体" w:eastAsia="宋体" w:cs="宋体"/>
                      <w:color w:val="auto"/>
                      <w:spacing w:val="14"/>
                      <w:sz w:val="21"/>
                      <w:szCs w:val="21"/>
                    </w:rPr>
                    <w:t>理规划建设塑料制品再生资源回</w:t>
                  </w:r>
                  <w:r>
                    <w:rPr>
                      <w:rFonts w:ascii="宋体" w:hAnsi="宋体" w:eastAsia="宋体" w:cs="宋体"/>
                      <w:color w:val="auto"/>
                      <w:spacing w:val="10"/>
                      <w:sz w:val="21"/>
                      <w:szCs w:val="21"/>
                    </w:rPr>
                    <w:t>收功</w:t>
                  </w:r>
                  <w:r>
                    <w:rPr>
                      <w:rFonts w:ascii="宋体" w:hAnsi="宋体" w:eastAsia="宋体" w:cs="宋体"/>
                      <w:color w:val="auto"/>
                      <w:spacing w:val="7"/>
                      <w:sz w:val="21"/>
                      <w:szCs w:val="21"/>
                    </w:rPr>
                    <w:t>能</w:t>
                  </w:r>
                  <w:r>
                    <w:rPr>
                      <w:rFonts w:ascii="宋体" w:hAnsi="宋体" w:eastAsia="宋体" w:cs="宋体"/>
                      <w:color w:val="auto"/>
                      <w:spacing w:val="5"/>
                      <w:sz w:val="21"/>
                      <w:szCs w:val="21"/>
                    </w:rPr>
                    <w:t>网点，鼓励各地再生资源回收</w:t>
                  </w:r>
                  <w:r>
                    <w:rPr>
                      <w:rFonts w:ascii="宋体" w:hAnsi="宋体" w:eastAsia="宋体" w:cs="宋体"/>
                      <w:color w:val="auto"/>
                      <w:spacing w:val="6"/>
                      <w:sz w:val="21"/>
                      <w:szCs w:val="21"/>
                    </w:rPr>
                    <w:t>站加大对塑料废弃物的回收利用，</w:t>
                  </w:r>
                  <w:r>
                    <w:rPr>
                      <w:rFonts w:ascii="宋体" w:hAnsi="宋体" w:eastAsia="宋体" w:cs="宋体"/>
                      <w:color w:val="auto"/>
                      <w:spacing w:val="4"/>
                      <w:sz w:val="21"/>
                      <w:szCs w:val="21"/>
                    </w:rPr>
                    <w:t>逐</w:t>
                  </w:r>
                  <w:r>
                    <w:rPr>
                      <w:rFonts w:ascii="宋体" w:hAnsi="宋体" w:eastAsia="宋体" w:cs="宋体"/>
                      <w:color w:val="auto"/>
                      <w:spacing w:val="10"/>
                      <w:sz w:val="21"/>
                      <w:szCs w:val="21"/>
                    </w:rPr>
                    <w:t>步提</w:t>
                  </w:r>
                  <w:r>
                    <w:rPr>
                      <w:rFonts w:ascii="宋体" w:hAnsi="宋体" w:eastAsia="宋体" w:cs="宋体"/>
                      <w:color w:val="auto"/>
                      <w:spacing w:val="7"/>
                      <w:sz w:val="21"/>
                      <w:szCs w:val="21"/>
                    </w:rPr>
                    <w:t>高</w:t>
                  </w:r>
                  <w:r>
                    <w:rPr>
                      <w:rFonts w:ascii="宋体" w:hAnsi="宋体" w:eastAsia="宋体" w:cs="宋体"/>
                      <w:color w:val="auto"/>
                      <w:spacing w:val="5"/>
                      <w:sz w:val="21"/>
                      <w:szCs w:val="21"/>
                    </w:rPr>
                    <w:t>塑料废弃物回收利用量。严格</w:t>
                  </w:r>
                  <w:r>
                    <w:rPr>
                      <w:rFonts w:ascii="宋体" w:hAnsi="宋体" w:eastAsia="宋体" w:cs="宋体"/>
                      <w:color w:val="auto"/>
                      <w:spacing w:val="17"/>
                      <w:sz w:val="21"/>
                      <w:szCs w:val="21"/>
                    </w:rPr>
                    <w:t>塑</w:t>
                  </w:r>
                  <w:r>
                    <w:rPr>
                      <w:rFonts w:ascii="宋体" w:hAnsi="宋体" w:eastAsia="宋体" w:cs="宋体"/>
                      <w:color w:val="auto"/>
                      <w:spacing w:val="14"/>
                      <w:sz w:val="21"/>
                      <w:szCs w:val="21"/>
                    </w:rPr>
                    <w:t>料废弃物等可回收物分类收集与</w:t>
                  </w:r>
                  <w:r>
                    <w:rPr>
                      <w:rFonts w:ascii="宋体" w:hAnsi="宋体" w:eastAsia="宋体" w:cs="宋体"/>
                      <w:color w:val="auto"/>
                      <w:spacing w:val="17"/>
                      <w:sz w:val="21"/>
                      <w:szCs w:val="21"/>
                    </w:rPr>
                    <w:t>贮</w:t>
                  </w:r>
                  <w:r>
                    <w:rPr>
                      <w:rFonts w:ascii="宋体" w:hAnsi="宋体" w:eastAsia="宋体" w:cs="宋体"/>
                      <w:color w:val="auto"/>
                      <w:spacing w:val="14"/>
                      <w:sz w:val="21"/>
                      <w:szCs w:val="21"/>
                    </w:rPr>
                    <w:t>存，定期移交具有资质的处理单</w:t>
                  </w:r>
                  <w:r>
                    <w:rPr>
                      <w:rFonts w:ascii="宋体" w:hAnsi="宋体" w:eastAsia="宋体" w:cs="宋体"/>
                      <w:color w:val="auto"/>
                      <w:spacing w:val="10"/>
                      <w:sz w:val="21"/>
                      <w:szCs w:val="21"/>
                    </w:rPr>
                    <w:t>位、</w:t>
                  </w:r>
                  <w:r>
                    <w:rPr>
                      <w:rFonts w:ascii="宋体" w:hAnsi="宋体" w:eastAsia="宋体" w:cs="宋体"/>
                      <w:color w:val="auto"/>
                      <w:spacing w:val="7"/>
                      <w:sz w:val="21"/>
                      <w:szCs w:val="21"/>
                    </w:rPr>
                    <w:t>环</w:t>
                  </w:r>
                  <w:r>
                    <w:rPr>
                      <w:rFonts w:ascii="宋体" w:hAnsi="宋体" w:eastAsia="宋体" w:cs="宋体"/>
                      <w:color w:val="auto"/>
                      <w:spacing w:val="5"/>
                      <w:sz w:val="21"/>
                      <w:szCs w:val="21"/>
                    </w:rPr>
                    <w:t>卫部门等进行统一处置，禁止</w:t>
                  </w:r>
                  <w:r>
                    <w:rPr>
                      <w:rFonts w:ascii="宋体" w:hAnsi="宋体" w:eastAsia="宋体" w:cs="宋体"/>
                      <w:color w:val="auto"/>
                      <w:spacing w:val="12"/>
                      <w:sz w:val="21"/>
                      <w:szCs w:val="21"/>
                    </w:rPr>
                    <w:t>随</w:t>
                  </w:r>
                  <w:r>
                    <w:rPr>
                      <w:rFonts w:ascii="宋体" w:hAnsi="宋体" w:eastAsia="宋体" w:cs="宋体"/>
                      <w:color w:val="auto"/>
                      <w:spacing w:val="10"/>
                      <w:sz w:val="21"/>
                      <w:szCs w:val="21"/>
                    </w:rPr>
                    <w:t>意</w:t>
                  </w:r>
                  <w:r>
                    <w:rPr>
                      <w:rFonts w:ascii="宋体" w:hAnsi="宋体" w:eastAsia="宋体" w:cs="宋体"/>
                      <w:color w:val="auto"/>
                      <w:spacing w:val="6"/>
                      <w:sz w:val="21"/>
                      <w:szCs w:val="21"/>
                    </w:rPr>
                    <w:t>堆放、倾倒造成塑料垃圾污染。</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firstLine="0"/>
                    <w:textAlignment w:val="auto"/>
                    <w:rPr>
                      <w:rFonts w:hint="eastAsia" w:ascii="宋体" w:hAnsi="宋体" w:eastAsia="宋体" w:cs="宋体"/>
                      <w:color w:val="auto"/>
                      <w:spacing w:val="11"/>
                      <w:sz w:val="21"/>
                      <w:szCs w:val="21"/>
                      <w:lang w:val="en-US" w:eastAsia="zh-CN"/>
                    </w:rPr>
                  </w:pPr>
                  <w:r>
                    <w:rPr>
                      <w:rFonts w:hint="eastAsia" w:ascii="宋体" w:hAnsi="宋体" w:eastAsia="宋体" w:cs="宋体"/>
                      <w:color w:val="auto"/>
                      <w:spacing w:val="11"/>
                      <w:sz w:val="21"/>
                      <w:szCs w:val="21"/>
                      <w:lang w:val="en-US" w:eastAsia="zh-CN"/>
                    </w:rPr>
                    <w:t>本项目进行废塑料的破碎、清洗</w:t>
                  </w:r>
                  <w:r>
                    <w:rPr>
                      <w:rFonts w:hint="eastAsia" w:ascii="宋体" w:hAnsi="宋体" w:cs="宋体"/>
                      <w:color w:val="auto"/>
                      <w:spacing w:val="11"/>
                      <w:sz w:val="21"/>
                      <w:szCs w:val="21"/>
                      <w:lang w:val="en-US" w:eastAsia="zh-CN"/>
                    </w:rPr>
                    <w:t>、分选、造粒</w:t>
                  </w:r>
                  <w:r>
                    <w:rPr>
                      <w:rFonts w:hint="eastAsia" w:ascii="宋体" w:hAnsi="宋体" w:eastAsia="宋体" w:cs="宋体"/>
                      <w:color w:val="auto"/>
                      <w:spacing w:val="11"/>
                      <w:sz w:val="21"/>
                      <w:szCs w:val="21"/>
                      <w:lang w:val="en-US" w:eastAsia="zh-CN"/>
                    </w:rPr>
                    <w:t>属于加强</w:t>
                  </w:r>
                  <w:r>
                    <w:rPr>
                      <w:rFonts w:ascii="宋体" w:hAnsi="宋体" w:eastAsia="宋体" w:cs="宋体"/>
                      <w:color w:val="auto"/>
                      <w:spacing w:val="11"/>
                      <w:sz w:val="21"/>
                      <w:szCs w:val="21"/>
                    </w:rPr>
                    <w:t>塑料废弃物回收和清运</w:t>
                  </w:r>
                  <w:r>
                    <w:rPr>
                      <w:rFonts w:hint="eastAsia" w:ascii="宋体" w:hAnsi="宋体" w:eastAsia="宋体" w:cs="宋体"/>
                      <w:color w:val="auto"/>
                      <w:spacing w:val="11"/>
                      <w:sz w:val="21"/>
                      <w:szCs w:val="21"/>
                      <w:lang w:val="en-US" w:eastAsia="zh-CN"/>
                    </w:rPr>
                    <w:t>情况</w:t>
                  </w:r>
                </w:p>
              </w:tc>
              <w:tc>
                <w:tcPr>
                  <w:tcW w:w="14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hint="default" w:ascii="Times New Roman" w:hAnsi="Times New Roman" w:eastAsia="宋体" w:cs="Times New Roman"/>
                      <w:color w:val="auto"/>
                      <w:kern w:val="0"/>
                      <w:sz w:val="21"/>
                      <w:szCs w:val="21"/>
                      <w:vertAlign w:val="baseline"/>
                      <w:lang w:val="en-US" w:eastAsia="zh-CN"/>
                    </w:rPr>
                  </w:pPr>
                </w:p>
              </w:tc>
              <w:tc>
                <w:tcPr>
                  <w:tcW w:w="105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8" w:lineRule="auto"/>
                    <w:jc w:val="center"/>
                    <w:textAlignment w:val="auto"/>
                    <w:rPr>
                      <w:rFonts w:ascii="宋体" w:hAnsi="宋体" w:eastAsia="宋体" w:cs="宋体"/>
                      <w:color w:val="auto"/>
                      <w:spacing w:val="2"/>
                      <w:sz w:val="21"/>
                      <w:szCs w:val="21"/>
                    </w:rPr>
                  </w:pPr>
                </w:p>
              </w:tc>
              <w:tc>
                <w:tcPr>
                  <w:tcW w:w="32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firstLine="0"/>
                    <w:textAlignment w:val="auto"/>
                    <w:rPr>
                      <w:rFonts w:ascii="宋体" w:hAnsi="宋体" w:eastAsia="宋体" w:cs="宋体"/>
                      <w:color w:val="auto"/>
                      <w:sz w:val="21"/>
                      <w:szCs w:val="21"/>
                    </w:rPr>
                  </w:pPr>
                  <w:r>
                    <w:rPr>
                      <w:rFonts w:ascii="宋体" w:hAnsi="宋体" w:eastAsia="宋体" w:cs="宋体"/>
                      <w:color w:val="auto"/>
                      <w:spacing w:val="17"/>
                      <w:sz w:val="21"/>
                      <w:szCs w:val="21"/>
                    </w:rPr>
                    <w:t>(</w:t>
                  </w:r>
                  <w:r>
                    <w:rPr>
                      <w:rFonts w:ascii="宋体" w:hAnsi="宋体" w:eastAsia="宋体" w:cs="宋体"/>
                      <w:color w:val="auto"/>
                      <w:spacing w:val="11"/>
                      <w:sz w:val="21"/>
                      <w:szCs w:val="21"/>
                    </w:rPr>
                    <w:t>八</w:t>
                  </w:r>
                  <w:r>
                    <w:rPr>
                      <w:rFonts w:hint="eastAsia" w:ascii="宋体" w:hAnsi="宋体" w:eastAsia="宋体" w:cs="宋体"/>
                      <w:color w:val="auto"/>
                      <w:spacing w:val="11"/>
                      <w:sz w:val="21"/>
                      <w:szCs w:val="21"/>
                      <w:lang w:eastAsia="zh-CN"/>
                    </w:rPr>
                    <w:t>）</w:t>
                  </w:r>
                  <w:r>
                    <w:rPr>
                      <w:rFonts w:ascii="宋体" w:hAnsi="宋体" w:eastAsia="宋体" w:cs="宋体"/>
                      <w:color w:val="auto"/>
                      <w:spacing w:val="11"/>
                      <w:sz w:val="21"/>
                      <w:szCs w:val="21"/>
                    </w:rPr>
                    <w:t>推进塑料废弃物资源化能源化</w:t>
                  </w:r>
                  <w:r>
                    <w:rPr>
                      <w:rFonts w:ascii="宋体" w:hAnsi="宋体" w:eastAsia="宋体" w:cs="宋体"/>
                      <w:color w:val="auto"/>
                      <w:spacing w:val="3"/>
                      <w:sz w:val="21"/>
                      <w:szCs w:val="21"/>
                    </w:rPr>
                    <w:t>利用</w:t>
                  </w:r>
                  <w:r>
                    <w:rPr>
                      <w:rFonts w:ascii="宋体" w:hAnsi="宋体" w:eastAsia="宋体" w:cs="宋体"/>
                      <w:color w:val="auto"/>
                      <w:spacing w:val="2"/>
                      <w:sz w:val="21"/>
                      <w:szCs w:val="21"/>
                    </w:rPr>
                    <w:t>。</w:t>
                  </w:r>
                </w:p>
                <w:p>
                  <w:pPr>
                    <w:keepNext w:val="0"/>
                    <w:keepLines w:val="0"/>
                    <w:pageBreakBefore w:val="0"/>
                    <w:widowControl w:val="0"/>
                    <w:kinsoku/>
                    <w:wordWrap/>
                    <w:overflowPunct/>
                    <w:topLinePunct w:val="0"/>
                    <w:autoSpaceDE/>
                    <w:autoSpaceDN/>
                    <w:bidi w:val="0"/>
                    <w:spacing w:before="2" w:line="288" w:lineRule="auto"/>
                    <w:ind w:left="11" w:right="2" w:firstLine="81"/>
                    <w:textAlignment w:val="auto"/>
                    <w:rPr>
                      <w:rFonts w:ascii="宋体" w:hAnsi="宋体" w:eastAsia="宋体" w:cs="宋体"/>
                      <w:color w:val="auto"/>
                      <w:spacing w:val="20"/>
                      <w:sz w:val="21"/>
                      <w:szCs w:val="21"/>
                    </w:rPr>
                  </w:pPr>
                  <w:r>
                    <w:rPr>
                      <w:rFonts w:ascii="宋体" w:hAnsi="宋体" w:eastAsia="宋体" w:cs="宋体"/>
                      <w:color w:val="auto"/>
                      <w:spacing w:val="14"/>
                      <w:sz w:val="21"/>
                      <w:szCs w:val="21"/>
                    </w:rPr>
                    <w:t>推</w:t>
                  </w:r>
                  <w:r>
                    <w:rPr>
                      <w:rFonts w:ascii="宋体" w:hAnsi="宋体" w:eastAsia="宋体" w:cs="宋体"/>
                      <w:color w:val="auto"/>
                      <w:spacing w:val="9"/>
                      <w:sz w:val="21"/>
                      <w:szCs w:val="21"/>
                    </w:rPr>
                    <w:t>动塑料废弃物资源化利用的</w:t>
                  </w:r>
                  <w:r>
                    <w:rPr>
                      <w:rFonts w:hint="eastAsia" w:ascii="宋体" w:hAnsi="宋体" w:eastAsia="宋体" w:cs="宋体"/>
                      <w:color w:val="auto"/>
                      <w:spacing w:val="9"/>
                      <w:sz w:val="21"/>
                      <w:szCs w:val="21"/>
                      <w:lang w:eastAsia="zh-CN"/>
                    </w:rPr>
                    <w:t>规</w:t>
                  </w:r>
                  <w:r>
                    <w:rPr>
                      <w:rFonts w:hint="eastAsia" w:ascii="宋体" w:hAnsi="宋体" w:cs="宋体"/>
                      <w:color w:val="auto"/>
                      <w:spacing w:val="9"/>
                      <w:sz w:val="21"/>
                      <w:szCs w:val="21"/>
                      <w:lang w:eastAsia="zh-CN"/>
                    </w:rPr>
                    <w:t>范化</w:t>
                  </w:r>
                  <w:r>
                    <w:rPr>
                      <w:rFonts w:ascii="宋体" w:hAnsi="宋体" w:eastAsia="宋体" w:cs="宋体"/>
                      <w:color w:val="auto"/>
                      <w:spacing w:val="6"/>
                      <w:sz w:val="21"/>
                      <w:szCs w:val="21"/>
                    </w:rPr>
                    <w:t>、集中化和产业化，提高塑料废弃</w:t>
                  </w:r>
                  <w:r>
                    <w:rPr>
                      <w:rFonts w:ascii="宋体" w:hAnsi="宋体" w:eastAsia="宋体" w:cs="宋体"/>
                      <w:color w:val="auto"/>
                      <w:spacing w:val="12"/>
                      <w:sz w:val="21"/>
                      <w:szCs w:val="21"/>
                    </w:rPr>
                    <w:t>物</w:t>
                  </w:r>
                  <w:r>
                    <w:rPr>
                      <w:rFonts w:ascii="宋体" w:hAnsi="宋体" w:eastAsia="宋体" w:cs="宋体"/>
                      <w:color w:val="auto"/>
                      <w:spacing w:val="8"/>
                      <w:sz w:val="21"/>
                      <w:szCs w:val="21"/>
                    </w:rPr>
                    <w:t>资</w:t>
                  </w:r>
                  <w:r>
                    <w:rPr>
                      <w:rFonts w:ascii="宋体" w:hAnsi="宋体" w:eastAsia="宋体" w:cs="宋体"/>
                      <w:color w:val="auto"/>
                      <w:spacing w:val="6"/>
                      <w:sz w:val="21"/>
                      <w:szCs w:val="21"/>
                    </w:rPr>
                    <w:t>源化利用水平，最大限度降低塑</w:t>
                  </w:r>
                  <w:r>
                    <w:rPr>
                      <w:rFonts w:ascii="宋体" w:hAnsi="宋体" w:eastAsia="宋体" w:cs="宋体"/>
                      <w:color w:val="auto"/>
                      <w:spacing w:val="13"/>
                      <w:sz w:val="21"/>
                      <w:szCs w:val="21"/>
                    </w:rPr>
                    <w:t>料</w:t>
                  </w:r>
                  <w:r>
                    <w:rPr>
                      <w:rFonts w:ascii="宋体" w:hAnsi="宋体" w:eastAsia="宋体" w:cs="宋体"/>
                      <w:color w:val="auto"/>
                      <w:spacing w:val="7"/>
                      <w:sz w:val="21"/>
                      <w:szCs w:val="21"/>
                    </w:rPr>
                    <w:t>垃圾直接填埋量。</w:t>
                  </w:r>
                </w:p>
              </w:tc>
              <w:tc>
                <w:tcPr>
                  <w:tcW w:w="20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8" w:lineRule="auto"/>
                    <w:ind w:left="0" w:right="0" w:firstLine="0"/>
                    <w:textAlignment w:val="auto"/>
                    <w:rPr>
                      <w:rFonts w:hint="default" w:ascii="宋体" w:hAnsi="宋体" w:eastAsia="宋体" w:cs="宋体"/>
                      <w:color w:val="auto"/>
                      <w:spacing w:val="11"/>
                      <w:sz w:val="21"/>
                      <w:szCs w:val="21"/>
                      <w:lang w:val="en-US" w:eastAsia="zh-CN"/>
                    </w:rPr>
                  </w:pPr>
                  <w:r>
                    <w:rPr>
                      <w:rFonts w:hint="default" w:ascii="宋体" w:hAnsi="宋体" w:eastAsia="宋体" w:cs="宋体"/>
                      <w:color w:val="auto"/>
                      <w:spacing w:val="11"/>
                      <w:sz w:val="21"/>
                      <w:szCs w:val="21"/>
                      <w:lang w:val="en-US" w:eastAsia="zh-CN"/>
                    </w:rPr>
                    <w:t>本项目建设可提</w:t>
                  </w:r>
                  <w:r>
                    <w:rPr>
                      <w:rFonts w:hint="eastAsia" w:ascii="宋体" w:hAnsi="宋体" w:cs="宋体"/>
                      <w:color w:val="auto"/>
                      <w:spacing w:val="11"/>
                      <w:sz w:val="21"/>
                      <w:szCs w:val="21"/>
                      <w:lang w:val="en-US" w:eastAsia="zh-CN"/>
                    </w:rPr>
                    <w:t>高</w:t>
                  </w:r>
                  <w:r>
                    <w:rPr>
                      <w:rFonts w:hint="default" w:ascii="宋体" w:hAnsi="宋体" w:eastAsia="宋体" w:cs="宋体"/>
                      <w:color w:val="auto"/>
                      <w:spacing w:val="11"/>
                      <w:sz w:val="21"/>
                      <w:szCs w:val="21"/>
                      <w:lang w:val="en-US" w:eastAsia="zh-CN"/>
                    </w:rPr>
                    <w:t>区域塑料废弃物资源化利用水平</w:t>
                  </w:r>
                  <w:r>
                    <w:rPr>
                      <w:rFonts w:hint="eastAsia" w:ascii="宋体" w:hAnsi="宋体" w:eastAsia="宋体" w:cs="宋体"/>
                      <w:color w:val="auto"/>
                      <w:spacing w:val="11"/>
                      <w:sz w:val="21"/>
                      <w:szCs w:val="21"/>
                      <w:lang w:val="en-US" w:eastAsia="zh-CN"/>
                    </w:rPr>
                    <w:t>，</w:t>
                  </w:r>
                  <w:r>
                    <w:rPr>
                      <w:rFonts w:hint="default" w:ascii="宋体" w:hAnsi="宋体" w:eastAsia="宋体" w:cs="宋体"/>
                      <w:color w:val="auto"/>
                      <w:spacing w:val="11"/>
                      <w:sz w:val="21"/>
                      <w:szCs w:val="21"/>
                      <w:lang w:val="en-US" w:eastAsia="zh-CN"/>
                    </w:rPr>
                    <w:t>降低塑料垃圾直接填埋量。</w:t>
                  </w:r>
                </w:p>
              </w:tc>
              <w:tc>
                <w:tcPr>
                  <w:tcW w:w="14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65" w:line="288" w:lineRule="auto"/>
                    <w:ind w:left="9" w:right="2" w:firstLine="11"/>
                    <w:jc w:val="center"/>
                    <w:textAlignment w:val="auto"/>
                    <w:rPr>
                      <w:rFonts w:hint="default" w:ascii="Times New Roman" w:hAnsi="Times New Roman" w:eastAsia="Times New Roman" w:cs="Times New Roman"/>
                      <w:color w:val="auto"/>
                      <w:spacing w:val="5"/>
                      <w:sz w:val="21"/>
                      <w:szCs w:val="21"/>
                      <w:lang w:val="en-US" w:eastAsia="zh-CN"/>
                    </w:rPr>
                  </w:pPr>
                  <w:r>
                    <w:rPr>
                      <w:rFonts w:hint="eastAsia" w:ascii="Times New Roman" w:hAnsi="Times New Roman" w:eastAsia="Times New Roman" w:cs="Times New Roman"/>
                      <w:color w:val="auto"/>
                      <w:spacing w:val="5"/>
                      <w:sz w:val="21"/>
                      <w:szCs w:val="21"/>
                      <w:lang w:val="en-US" w:eastAsia="zh-CN"/>
                    </w:rPr>
                    <w:t>符合</w:t>
                  </w:r>
                </w:p>
              </w:tc>
            </w:tr>
          </w:tbl>
          <w:p>
            <w:pPr>
              <w:pStyle w:val="66"/>
              <w:spacing w:line="240" w:lineRule="auto"/>
              <w:ind w:firstLine="0" w:firstLineChars="0"/>
              <w:rPr>
                <w:rFonts w:hint="eastAsia" w:ascii="Times New Roman" w:hAnsi="Times New Roman" w:cs="Times New Roman"/>
                <w:lang w:val="en-US" w:eastAsia="zh-CN"/>
              </w:rPr>
            </w:pPr>
          </w:p>
          <w:p>
            <w:pPr>
              <w:pStyle w:val="66"/>
              <w:spacing w:line="240" w:lineRule="auto"/>
              <w:ind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t xml:space="preserve">  </w:t>
            </w:r>
          </w:p>
          <w:p>
            <w:pPr>
              <w:pStyle w:val="66"/>
              <w:spacing w:line="240" w:lineRule="auto"/>
              <w:ind w:firstLine="0" w:firstLineChars="0"/>
              <w:rPr>
                <w:rFonts w:hint="eastAsia" w:ascii="Times New Roman" w:hAnsi="Times New Roman" w:cs="Times New Roman"/>
                <w:lang w:val="en-US" w:eastAsia="zh-CN"/>
              </w:rPr>
            </w:pPr>
          </w:p>
          <w:p>
            <w:pPr>
              <w:pStyle w:val="39"/>
              <w:rPr>
                <w:vertAlign w:val="baseline"/>
              </w:rPr>
            </w:pPr>
          </w:p>
        </w:tc>
      </w:tr>
    </w:tbl>
    <w:p>
      <w:pPr>
        <w:pStyle w:val="39"/>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1"/>
        <w:spacing w:before="0" w:beforeAutospacing="0" w:after="0" w:afterAutospacing="0"/>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375" w:type="dxa"/>
            <w:noWrap w:val="0"/>
            <w:vAlign w:val="center"/>
          </w:tcPr>
          <w:p>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建设内容</w:t>
            </w:r>
          </w:p>
        </w:tc>
        <w:tc>
          <w:tcPr>
            <w:tcW w:w="8609" w:type="dxa"/>
            <w:noWrap w:val="0"/>
            <w:vAlign w:val="top"/>
          </w:tcPr>
          <w:p>
            <w:pPr>
              <w:pStyle w:val="66"/>
              <w:spacing w:before="120" w:beforeLines="50"/>
              <w:ind w:firstLine="482"/>
              <w:rPr>
                <w:rFonts w:hint="default" w:ascii="Times New Roman" w:hAnsi="Times New Roman" w:cs="Times New Roman"/>
                <w:b/>
                <w:bCs/>
              </w:rPr>
            </w:pPr>
            <w:r>
              <w:rPr>
                <w:rFonts w:hint="default" w:ascii="Times New Roman" w:hAnsi="Times New Roman" w:cs="Times New Roman"/>
                <w:b/>
                <w:bCs/>
              </w:rPr>
              <w:t>1、项目名称、建设性质、建设单位、建设地点、建设投资</w:t>
            </w:r>
          </w:p>
          <w:p>
            <w:pPr>
              <w:pStyle w:val="66"/>
              <w:ind w:firstLine="480"/>
              <w:rPr>
                <w:rFonts w:hint="eastAsia" w:ascii="Times New Roman" w:hAnsi="Times New Roman" w:eastAsia="宋体" w:cs="Times New Roman"/>
                <w:lang w:eastAsia="zh-CN"/>
              </w:rPr>
            </w:pPr>
            <w:r>
              <w:rPr>
                <w:rFonts w:hint="default" w:ascii="Times New Roman" w:hAnsi="Times New Roman" w:cs="Times New Roman"/>
              </w:rPr>
              <w:t>项目名称：</w:t>
            </w:r>
            <w:r>
              <w:rPr>
                <w:rFonts w:hint="eastAsia" w:ascii="Times New Roman" w:hAnsi="Times New Roman" w:cs="Times New Roman"/>
                <w:lang w:eastAsia="zh-CN"/>
              </w:rPr>
              <w:t>复合塑料筐及废塑料造粒生产项目</w:t>
            </w:r>
          </w:p>
          <w:p>
            <w:pPr>
              <w:pStyle w:val="66"/>
              <w:ind w:firstLine="480"/>
              <w:rPr>
                <w:rFonts w:hint="default" w:ascii="Times New Roman" w:hAnsi="Times New Roman" w:cs="Times New Roman"/>
              </w:rPr>
            </w:pPr>
            <w:r>
              <w:rPr>
                <w:rFonts w:hint="default" w:ascii="Times New Roman" w:hAnsi="Times New Roman" w:cs="Times New Roman"/>
              </w:rPr>
              <w:t>建设性质：新建</w:t>
            </w:r>
          </w:p>
          <w:p>
            <w:pPr>
              <w:pStyle w:val="66"/>
              <w:ind w:firstLine="480"/>
              <w:rPr>
                <w:rFonts w:hint="eastAsia" w:ascii="Times New Roman" w:hAnsi="Times New Roman" w:eastAsia="宋体" w:cs="Times New Roman"/>
                <w:lang w:eastAsia="zh-CN"/>
              </w:rPr>
            </w:pPr>
            <w:r>
              <w:rPr>
                <w:rFonts w:hint="default" w:ascii="Times New Roman" w:hAnsi="Times New Roman" w:cs="Times New Roman"/>
              </w:rPr>
              <w:t>建设单位：</w:t>
            </w:r>
            <w:r>
              <w:rPr>
                <w:rFonts w:hint="eastAsia" w:ascii="Times New Roman" w:hAnsi="Times New Roman" w:cs="Times New Roman"/>
                <w:lang w:eastAsia="zh-CN"/>
              </w:rPr>
              <w:t>遂宁辉耀复合塑料有限公司</w:t>
            </w:r>
          </w:p>
          <w:p>
            <w:pPr>
              <w:pStyle w:val="66"/>
              <w:ind w:firstLine="480"/>
              <w:rPr>
                <w:rFonts w:hint="eastAsia" w:ascii="Times New Roman" w:hAnsi="Times New Roman" w:eastAsia="宋体" w:cs="Times New Roman"/>
                <w:lang w:val="en-US" w:eastAsia="zh-CN"/>
              </w:rPr>
            </w:pPr>
            <w:r>
              <w:rPr>
                <w:rFonts w:hint="default" w:ascii="Times New Roman" w:hAnsi="Times New Roman" w:cs="Times New Roman"/>
              </w:rPr>
              <w:t>建设地点：</w:t>
            </w:r>
            <w:r>
              <w:rPr>
                <w:rFonts w:hint="eastAsia" w:ascii="Times New Roman" w:hAnsi="Times New Roman" w:cs="Times New Roman"/>
                <w:lang w:eastAsia="zh-CN"/>
              </w:rPr>
              <w:t>四川省遂宁市蓬溪县上游 工业园区德才路 6 号</w:t>
            </w:r>
          </w:p>
          <w:p>
            <w:pPr>
              <w:pStyle w:val="66"/>
              <w:ind w:firstLine="480"/>
              <w:rPr>
                <w:rFonts w:hint="default" w:ascii="Times New Roman" w:hAnsi="Times New Roman" w:cs="Times New Roman"/>
                <w:color w:val="FF0000"/>
              </w:rPr>
            </w:pPr>
            <w:r>
              <w:rPr>
                <w:rFonts w:hint="default" w:ascii="Times New Roman" w:hAnsi="Times New Roman" w:cs="Times New Roman"/>
              </w:rPr>
              <w:t>建设投资：</w:t>
            </w:r>
            <w:r>
              <w:rPr>
                <w:rFonts w:hint="eastAsia" w:ascii="Times New Roman" w:hAnsi="Times New Roman" w:cs="Times New Roman"/>
                <w:lang w:val="en-US" w:eastAsia="zh-CN"/>
              </w:rPr>
              <w:t>800</w:t>
            </w:r>
            <w:r>
              <w:rPr>
                <w:rFonts w:hint="default" w:ascii="Times New Roman" w:hAnsi="Times New Roman" w:cs="Times New Roman"/>
                <w:color w:val="000000"/>
              </w:rPr>
              <w:t>万元</w:t>
            </w:r>
            <w:r>
              <w:rPr>
                <w:rFonts w:hint="default" w:ascii="Times New Roman" w:hAnsi="Times New Roman" w:cs="Times New Roman"/>
                <w:color w:val="auto"/>
              </w:rPr>
              <w:t>，</w:t>
            </w:r>
            <w:r>
              <w:rPr>
                <w:rFonts w:hint="default" w:ascii="Times New Roman" w:hAnsi="Times New Roman" w:cs="Times New Roman"/>
              </w:rPr>
              <w:t>其中环保投资约为</w:t>
            </w:r>
            <w:r>
              <w:rPr>
                <w:rFonts w:hint="eastAsia" w:ascii="Times New Roman" w:hAnsi="Times New Roman" w:cs="Times New Roman"/>
                <w:lang w:val="en-US" w:eastAsia="zh-CN"/>
              </w:rPr>
              <w:t>46.5</w:t>
            </w:r>
            <w:r>
              <w:rPr>
                <w:rFonts w:hint="default" w:ascii="Times New Roman" w:hAnsi="Times New Roman" w:cs="Times New Roman"/>
              </w:rPr>
              <w:t>万元，占总投资</w:t>
            </w:r>
            <w:r>
              <w:rPr>
                <w:rFonts w:hint="eastAsia" w:ascii="Times New Roman" w:hAnsi="Times New Roman" w:cs="Times New Roman"/>
                <w:lang w:val="en-US" w:eastAsia="zh-CN"/>
              </w:rPr>
              <w:t>5.81</w:t>
            </w:r>
            <w:r>
              <w:rPr>
                <w:rFonts w:hint="default" w:ascii="Times New Roman" w:hAnsi="Times New Roman" w:cs="Times New Roman"/>
              </w:rPr>
              <w:t>%</w:t>
            </w:r>
            <w:r>
              <w:rPr>
                <w:rFonts w:hint="default" w:ascii="Times New Roman" w:hAnsi="Times New Roman" w:cs="Times New Roman"/>
                <w:color w:val="000000"/>
              </w:rPr>
              <w:t>。</w:t>
            </w:r>
          </w:p>
          <w:p>
            <w:pPr>
              <w:pStyle w:val="66"/>
              <w:ind w:firstLine="482"/>
              <w:rPr>
                <w:rFonts w:hint="default" w:ascii="Times New Roman" w:hAnsi="Times New Roman" w:cs="Times New Roman"/>
                <w:b/>
                <w:bCs/>
              </w:rPr>
            </w:pPr>
            <w:r>
              <w:rPr>
                <w:rFonts w:hint="default" w:ascii="Times New Roman" w:hAnsi="Times New Roman" w:cs="Times New Roman"/>
                <w:b/>
                <w:bCs/>
              </w:rPr>
              <w:t>2、建设内容及规模</w:t>
            </w:r>
          </w:p>
          <w:p>
            <w:pPr>
              <w:pStyle w:val="66"/>
              <w:bidi w:val="0"/>
              <w:jc w:val="both"/>
              <w:rPr>
                <w:rFonts w:hint="default" w:ascii="Times New Roman" w:hAnsi="Times New Roman" w:cs="Times New Roman"/>
              </w:rPr>
            </w:pPr>
            <w:r>
              <w:rPr>
                <w:rFonts w:hint="default" w:ascii="Times New Roman" w:hAnsi="Times New Roman" w:cs="Times New Roman"/>
                <w:lang w:val="en-US" w:eastAsia="zh-CN"/>
              </w:rPr>
              <w:t xml:space="preserve">本项目租赁园区已建厂房 5000 </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新建厂房2300㎡，</w:t>
            </w:r>
            <w:r>
              <w:rPr>
                <w:rFonts w:hint="default" w:ascii="Times New Roman" w:hAnsi="Times New Roman" w:cs="Times New Roman"/>
                <w:lang w:val="en-US" w:eastAsia="zh-CN"/>
              </w:rPr>
              <w:t>主要设置混合搅拌机、注塑机、清洗机、破碎机、挤出机、切粒机及配套建设环保设施设备，建设塑料筐及 PP/PET 塑料回收造粒生产设施，项目建成后具备年生产塑料筐 200 万个，PP/PET 塑料颗粒5000t。</w:t>
            </w:r>
          </w:p>
          <w:p>
            <w:pPr>
              <w:pStyle w:val="66"/>
              <w:ind w:firstLine="482"/>
              <w:rPr>
                <w:rFonts w:hint="default" w:ascii="Times New Roman" w:hAnsi="Times New Roman" w:cs="Times New Roman"/>
                <w:b/>
                <w:bCs/>
              </w:rPr>
            </w:pPr>
            <w:r>
              <w:rPr>
                <w:rFonts w:hint="default" w:ascii="Times New Roman" w:hAnsi="Times New Roman" w:cs="Times New Roman"/>
                <w:b/>
                <w:bCs/>
              </w:rPr>
              <w:t xml:space="preserve">3、项目组成及主要环境问题 </w:t>
            </w:r>
          </w:p>
          <w:p>
            <w:pPr>
              <w:pStyle w:val="66"/>
              <w:ind w:firstLine="480"/>
              <w:rPr>
                <w:rFonts w:hint="default" w:ascii="Times New Roman" w:hAnsi="Times New Roman" w:cs="Times New Roman"/>
              </w:rPr>
            </w:pPr>
            <w:r>
              <w:rPr>
                <w:rFonts w:hint="default" w:ascii="Times New Roman" w:hAnsi="Times New Roman" w:cs="Times New Roman"/>
              </w:rPr>
              <w:t>本项目建设内容及项目组成见表2-1。</w:t>
            </w:r>
          </w:p>
          <w:p>
            <w:pPr>
              <w:pStyle w:val="60"/>
              <w:rPr>
                <w:rFonts w:hint="default" w:ascii="Times New Roman" w:hAnsi="Times New Roman"/>
              </w:rPr>
            </w:pPr>
            <w:r>
              <w:rPr>
                <w:rFonts w:hint="default" w:ascii="Times New Roman" w:hAnsi="Times New Roman"/>
              </w:rPr>
              <w:t>表2-1 项目建设主要组成一览表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93"/>
              <w:gridCol w:w="4664"/>
              <w:gridCol w:w="1238"/>
              <w:gridCol w:w="11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exact"/>
                <w:jc w:val="center"/>
              </w:trPr>
              <w:tc>
                <w:tcPr>
                  <w:tcW w:w="993" w:type="dxa"/>
                  <w:vMerge w:val="restart"/>
                  <w:noWrap w:val="0"/>
                  <w:vAlign w:val="center"/>
                </w:tcPr>
                <w:p>
                  <w:pPr>
                    <w:jc w:val="center"/>
                    <w:rPr>
                      <w:b/>
                      <w:bCs/>
                      <w:szCs w:val="21"/>
                    </w:rPr>
                  </w:pPr>
                  <w:r>
                    <w:rPr>
                      <w:b/>
                      <w:bCs/>
                      <w:szCs w:val="21"/>
                    </w:rPr>
                    <w:t>工程类别</w:t>
                  </w:r>
                </w:p>
              </w:tc>
              <w:tc>
                <w:tcPr>
                  <w:tcW w:w="4664" w:type="dxa"/>
                  <w:vMerge w:val="restart"/>
                  <w:noWrap w:val="0"/>
                  <w:vAlign w:val="center"/>
                </w:tcPr>
                <w:p>
                  <w:pPr>
                    <w:jc w:val="center"/>
                    <w:rPr>
                      <w:b/>
                      <w:bCs/>
                      <w:szCs w:val="21"/>
                    </w:rPr>
                  </w:pPr>
                  <w:r>
                    <w:rPr>
                      <w:b/>
                      <w:bCs/>
                      <w:szCs w:val="21"/>
                    </w:rPr>
                    <w:t>建设内容及规模</w:t>
                  </w:r>
                </w:p>
              </w:tc>
              <w:tc>
                <w:tcPr>
                  <w:tcW w:w="2382" w:type="dxa"/>
                  <w:gridSpan w:val="2"/>
                  <w:noWrap w:val="0"/>
                  <w:vAlign w:val="center"/>
                </w:tcPr>
                <w:p>
                  <w:pPr>
                    <w:jc w:val="left"/>
                    <w:rPr>
                      <w:b/>
                      <w:bCs/>
                      <w:szCs w:val="21"/>
                    </w:rPr>
                  </w:pPr>
                  <w:r>
                    <w:rPr>
                      <w:b/>
                      <w:bCs/>
                      <w:szCs w:val="21"/>
                    </w:rPr>
                    <w:t>可能产生的环境问题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exact"/>
                <w:jc w:val="center"/>
              </w:trPr>
              <w:tc>
                <w:tcPr>
                  <w:tcW w:w="993" w:type="dxa"/>
                  <w:vMerge w:val="continue"/>
                  <w:noWrap w:val="0"/>
                  <w:vAlign w:val="center"/>
                </w:tcPr>
                <w:p>
                  <w:pPr>
                    <w:jc w:val="center"/>
                    <w:rPr>
                      <w:b/>
                      <w:kern w:val="0"/>
                      <w:szCs w:val="21"/>
                      <w:lang w:val="en-GB"/>
                    </w:rPr>
                  </w:pPr>
                </w:p>
              </w:tc>
              <w:tc>
                <w:tcPr>
                  <w:tcW w:w="4664" w:type="dxa"/>
                  <w:vMerge w:val="continue"/>
                  <w:noWrap w:val="0"/>
                  <w:vAlign w:val="center"/>
                </w:tcPr>
                <w:p>
                  <w:pPr>
                    <w:rPr>
                      <w:b/>
                      <w:kern w:val="0"/>
                      <w:szCs w:val="21"/>
                    </w:rPr>
                  </w:pPr>
                </w:p>
              </w:tc>
              <w:tc>
                <w:tcPr>
                  <w:tcW w:w="1238" w:type="dxa"/>
                  <w:noWrap w:val="0"/>
                  <w:vAlign w:val="center"/>
                </w:tcPr>
                <w:p>
                  <w:pPr>
                    <w:rPr>
                      <w:b/>
                      <w:lang w:val="en-GB"/>
                    </w:rPr>
                  </w:pPr>
                  <w:r>
                    <w:rPr>
                      <w:b/>
                      <w:lang w:val="en-GB"/>
                    </w:rPr>
                    <w:t>施工期</w:t>
                  </w:r>
                </w:p>
              </w:tc>
              <w:tc>
                <w:tcPr>
                  <w:tcW w:w="1144" w:type="dxa"/>
                  <w:noWrap w:val="0"/>
                  <w:vAlign w:val="center"/>
                </w:tcPr>
                <w:p>
                  <w:pPr>
                    <w:rPr>
                      <w:b/>
                      <w:lang w:val="en-GB"/>
                    </w:rPr>
                  </w:pPr>
                  <w:r>
                    <w:rPr>
                      <w:b/>
                      <w:lang w:val="en-GB"/>
                    </w:rPr>
                    <w:t>营运期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73" w:hRule="atLeast"/>
                <w:jc w:val="center"/>
              </w:trPr>
              <w:tc>
                <w:tcPr>
                  <w:tcW w:w="993" w:type="dxa"/>
                  <w:noWrap w:val="0"/>
                  <w:vAlign w:val="center"/>
                </w:tcPr>
                <w:p>
                  <w:pPr>
                    <w:rPr>
                      <w:b/>
                      <w:lang w:val="en-GB"/>
                    </w:rPr>
                  </w:pPr>
                  <w:r>
                    <w:rPr>
                      <w:b/>
                      <w:lang w:val="en-GB"/>
                    </w:rPr>
                    <w:t>主体工程</w:t>
                  </w:r>
                </w:p>
              </w:tc>
              <w:tc>
                <w:tcPr>
                  <w:tcW w:w="4664" w:type="dxa"/>
                  <w:noWrap w:val="0"/>
                  <w:vAlign w:val="center"/>
                </w:tcPr>
                <w:p>
                  <w:pPr>
                    <w:spacing w:line="36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设置PP/PET破碎清洗车间1处，1F钢框架结构，面积约1900㎡；</w:t>
                  </w:r>
                </w:p>
                <w:p>
                  <w:pPr>
                    <w:spacing w:line="36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设置塑料框生产车间1处，1F钢框架结构，面积约2300㎡；</w:t>
                  </w:r>
                </w:p>
                <w:p>
                  <w:pPr>
                    <w:spacing w:line="360" w:lineRule="auto"/>
                    <w:jc w:val="left"/>
                    <w:rPr>
                      <w:rFonts w:hint="default" w:eastAsia="宋体"/>
                      <w:szCs w:val="21"/>
                      <w:lang w:val="en-US" w:eastAsia="zh-CN"/>
                    </w:rPr>
                  </w:pPr>
                  <w:r>
                    <w:rPr>
                      <w:rFonts w:hint="default" w:ascii="Times New Roman" w:hAnsi="Times New Roman" w:cs="Times New Roman"/>
                      <w:lang w:val="en-US" w:eastAsia="zh-CN"/>
                    </w:rPr>
                    <w:t>设置仓库一处，1F钢框架结构，面积约800㎡；新建废塑料造粒车1处，1F钢框架结构，面积约2300㎡。</w:t>
                  </w:r>
                </w:p>
              </w:tc>
              <w:tc>
                <w:tcPr>
                  <w:tcW w:w="1238" w:type="dxa"/>
                  <w:vMerge w:val="restart"/>
                  <w:noWrap w:val="0"/>
                  <w:vAlign w:val="center"/>
                </w:tcPr>
                <w:p>
                  <w:pPr>
                    <w:rPr>
                      <w:lang w:val="en-GB"/>
                    </w:rPr>
                  </w:pPr>
                  <w:r>
                    <w:rPr>
                      <w:lang w:val="en-GB"/>
                    </w:rPr>
                    <w:t xml:space="preserve"> </w:t>
                  </w:r>
                  <w:r>
                    <w:rPr>
                      <w:rFonts w:hint="eastAsia"/>
                      <w:lang w:val="en-GB"/>
                    </w:rPr>
                    <w:t>施工</w:t>
                  </w:r>
                  <w:r>
                    <w:rPr>
                      <w:lang w:val="en-GB"/>
                    </w:rPr>
                    <w:t>固废，噪声、废气</w:t>
                  </w:r>
                </w:p>
              </w:tc>
              <w:tc>
                <w:tcPr>
                  <w:tcW w:w="1144" w:type="dxa"/>
                  <w:noWrap w:val="0"/>
                  <w:vAlign w:val="center"/>
                </w:tcPr>
                <w:p>
                  <w:pPr>
                    <w:jc w:val="left"/>
                    <w:rPr>
                      <w:lang w:val="en-GB"/>
                    </w:rPr>
                  </w:pPr>
                  <w:r>
                    <w:t>固废、废气、噪声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restart"/>
                  <w:noWrap w:val="0"/>
                  <w:vAlign w:val="center"/>
                </w:tcPr>
                <w:p>
                  <w:pPr>
                    <w:rPr>
                      <w:b/>
                      <w:lang w:val="en-GB"/>
                    </w:rPr>
                  </w:pPr>
                  <w:r>
                    <w:rPr>
                      <w:b/>
                      <w:lang w:val="en-GB"/>
                    </w:rPr>
                    <w:t>储运工程</w:t>
                  </w:r>
                </w:p>
              </w:tc>
              <w:tc>
                <w:tcPr>
                  <w:tcW w:w="4664" w:type="dxa"/>
                  <w:noWrap w:val="0"/>
                  <w:vAlign w:val="center"/>
                </w:tcPr>
                <w:p>
                  <w:pPr>
                    <w:spacing w:line="360" w:lineRule="auto"/>
                    <w:jc w:val="left"/>
                    <w:rPr>
                      <w:color w:val="FF0000"/>
                      <w:szCs w:val="21"/>
                    </w:rPr>
                  </w:pPr>
                  <w:r>
                    <w:rPr>
                      <w:rFonts w:hint="eastAsia"/>
                      <w:szCs w:val="21"/>
                      <w:lang w:val="en-US" w:eastAsia="zh-CN"/>
                    </w:rPr>
                    <w:t>设置废PP/PET塑料瓶原料暂存区域</w:t>
                  </w:r>
                  <w:r>
                    <w:rPr>
                      <w:rFonts w:hint="eastAsia"/>
                      <w:szCs w:val="21"/>
                    </w:rPr>
                    <w:t>一处，</w:t>
                  </w:r>
                  <w:r>
                    <w:rPr>
                      <w:rFonts w:hint="eastAsia"/>
                      <w:szCs w:val="21"/>
                      <w:lang w:val="en-US" w:eastAsia="zh-CN"/>
                    </w:rPr>
                    <w:t>破碎清洗车间北侧</w:t>
                  </w:r>
                  <w:r>
                    <w:rPr>
                      <w:szCs w:val="21"/>
                    </w:rPr>
                    <w:t>，面积约</w:t>
                  </w:r>
                  <w:r>
                    <w:rPr>
                      <w:rFonts w:hint="eastAsia"/>
                      <w:szCs w:val="21"/>
                      <w:lang w:val="en-US" w:eastAsia="zh-CN"/>
                    </w:rPr>
                    <w:t>430</w:t>
                  </w:r>
                  <w:r>
                    <w:rPr>
                      <w:szCs w:val="21"/>
                    </w:rPr>
                    <w:t>平方米。</w:t>
                  </w:r>
                </w:p>
              </w:tc>
              <w:tc>
                <w:tcPr>
                  <w:tcW w:w="1238" w:type="dxa"/>
                  <w:vMerge w:val="continue"/>
                  <w:noWrap w:val="0"/>
                  <w:vAlign w:val="center"/>
                </w:tcPr>
                <w:p>
                  <w:pPr>
                    <w:jc w:val="center"/>
                    <w:rPr>
                      <w:lang w:val="en-GB"/>
                    </w:rPr>
                  </w:pPr>
                </w:p>
              </w:tc>
              <w:tc>
                <w:tcPr>
                  <w:tcW w:w="1144" w:type="dxa"/>
                  <w:vMerge w:val="restart"/>
                  <w:noWrap w:val="0"/>
                  <w:vAlign w:val="center"/>
                </w:tcPr>
                <w:p>
                  <w:pPr>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continue"/>
                  <w:noWrap w:val="0"/>
                  <w:vAlign w:val="center"/>
                </w:tcPr>
                <w:p>
                  <w:pPr>
                    <w:rPr>
                      <w:b/>
                      <w:lang w:val="en-GB"/>
                    </w:rPr>
                  </w:pPr>
                </w:p>
              </w:tc>
              <w:tc>
                <w:tcPr>
                  <w:tcW w:w="4664" w:type="dxa"/>
                  <w:noWrap w:val="0"/>
                  <w:vAlign w:val="center"/>
                </w:tcPr>
                <w:p>
                  <w:pPr>
                    <w:spacing w:line="360" w:lineRule="auto"/>
                    <w:jc w:val="left"/>
                    <w:rPr>
                      <w:rFonts w:hint="default"/>
                      <w:szCs w:val="21"/>
                      <w:lang w:val="en-US" w:eastAsia="zh-CN"/>
                    </w:rPr>
                  </w:pPr>
                  <w:r>
                    <w:rPr>
                      <w:rFonts w:hint="eastAsia"/>
                      <w:szCs w:val="21"/>
                      <w:lang w:val="en-US" w:eastAsia="zh-CN"/>
                    </w:rPr>
                    <w:t>设置碳酸钙、PP/PET新料车间暂存区一处，位于塑料周转筐生产车间西南侧，面积约290平方米。</w:t>
                  </w:r>
                </w:p>
              </w:tc>
              <w:tc>
                <w:tcPr>
                  <w:tcW w:w="1238" w:type="dxa"/>
                  <w:vMerge w:val="continue"/>
                  <w:noWrap w:val="0"/>
                  <w:vAlign w:val="center"/>
                </w:tcPr>
                <w:p>
                  <w:pPr>
                    <w:jc w:val="center"/>
                    <w:rPr>
                      <w:lang w:val="en-GB"/>
                    </w:rPr>
                  </w:pPr>
                </w:p>
              </w:tc>
              <w:tc>
                <w:tcPr>
                  <w:tcW w:w="1144" w:type="dxa"/>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continue"/>
                  <w:noWrap w:val="0"/>
                  <w:vAlign w:val="center"/>
                </w:tcPr>
                <w:p>
                  <w:pPr>
                    <w:rPr>
                      <w:b/>
                      <w:lang w:val="en-GB"/>
                    </w:rPr>
                  </w:pPr>
                </w:p>
              </w:tc>
              <w:tc>
                <w:tcPr>
                  <w:tcW w:w="4664" w:type="dxa"/>
                  <w:noWrap w:val="0"/>
                  <w:vAlign w:val="center"/>
                </w:tcPr>
                <w:p>
                  <w:pPr>
                    <w:spacing w:line="360" w:lineRule="auto"/>
                    <w:jc w:val="left"/>
                    <w:rPr>
                      <w:rFonts w:hint="eastAsia"/>
                      <w:szCs w:val="21"/>
                      <w:lang w:val="en-US" w:eastAsia="zh-CN"/>
                    </w:rPr>
                  </w:pPr>
                  <w:r>
                    <w:rPr>
                      <w:rFonts w:hint="eastAsia"/>
                      <w:szCs w:val="21"/>
                      <w:lang w:val="en-US" w:eastAsia="zh-CN"/>
                    </w:rPr>
                    <w:t>设置PP/PET回收颗粒暂存区一处，位于造粒生产车间东侧，面积约600平方米。</w:t>
                  </w:r>
                </w:p>
              </w:tc>
              <w:tc>
                <w:tcPr>
                  <w:tcW w:w="1238" w:type="dxa"/>
                  <w:vMerge w:val="continue"/>
                  <w:noWrap w:val="0"/>
                  <w:vAlign w:val="center"/>
                </w:tcPr>
                <w:p>
                  <w:pPr>
                    <w:jc w:val="center"/>
                    <w:rPr>
                      <w:lang w:val="en-GB"/>
                    </w:rPr>
                  </w:pPr>
                </w:p>
              </w:tc>
              <w:tc>
                <w:tcPr>
                  <w:tcW w:w="1144" w:type="dxa"/>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993" w:type="dxa"/>
                  <w:vMerge w:val="continue"/>
                  <w:noWrap w:val="0"/>
                  <w:vAlign w:val="center"/>
                </w:tcPr>
                <w:p>
                  <w:pPr>
                    <w:rPr>
                      <w:b/>
                      <w:lang w:val="en-GB"/>
                    </w:rPr>
                  </w:pPr>
                </w:p>
              </w:tc>
              <w:tc>
                <w:tcPr>
                  <w:tcW w:w="4664" w:type="dxa"/>
                  <w:noWrap w:val="0"/>
                  <w:vAlign w:val="center"/>
                </w:tcPr>
                <w:p>
                  <w:pPr>
                    <w:spacing w:line="360" w:lineRule="auto"/>
                    <w:jc w:val="left"/>
                    <w:rPr>
                      <w:szCs w:val="21"/>
                    </w:rPr>
                  </w:pPr>
                  <w:r>
                    <w:rPr>
                      <w:rFonts w:hint="eastAsia"/>
                      <w:szCs w:val="21"/>
                    </w:rPr>
                    <w:t>设置</w:t>
                  </w:r>
                  <w:r>
                    <w:rPr>
                      <w:rFonts w:hint="eastAsia"/>
                      <w:szCs w:val="21"/>
                      <w:lang w:val="en-US" w:eastAsia="zh-CN"/>
                    </w:rPr>
                    <w:t>独立仓库一处</w:t>
                  </w:r>
                  <w:r>
                    <w:rPr>
                      <w:rFonts w:hint="eastAsia"/>
                      <w:szCs w:val="21"/>
                    </w:rPr>
                    <w:t>，位于</w:t>
                  </w:r>
                  <w:r>
                    <w:rPr>
                      <w:rFonts w:hint="eastAsia"/>
                      <w:szCs w:val="21"/>
                      <w:lang w:val="en-US" w:eastAsia="zh-CN"/>
                    </w:rPr>
                    <w:t>厂区中部，</w:t>
                  </w:r>
                  <w:r>
                    <w:rPr>
                      <w:rFonts w:hint="eastAsia"/>
                      <w:szCs w:val="21"/>
                    </w:rPr>
                    <w:t>车间</w:t>
                  </w:r>
                  <w:r>
                    <w:rPr>
                      <w:rFonts w:hint="eastAsia"/>
                      <w:szCs w:val="21"/>
                      <w:lang w:val="en-US" w:eastAsia="zh-CN"/>
                    </w:rPr>
                    <w:t>南侧</w:t>
                  </w:r>
                  <w:r>
                    <w:rPr>
                      <w:szCs w:val="21"/>
                    </w:rPr>
                    <w:t>，面积约</w:t>
                  </w:r>
                  <w:r>
                    <w:rPr>
                      <w:rFonts w:hint="eastAsia"/>
                      <w:szCs w:val="21"/>
                      <w:lang w:val="en-US" w:eastAsia="zh-CN"/>
                    </w:rPr>
                    <w:t>950</w:t>
                  </w:r>
                  <w:r>
                    <w:rPr>
                      <w:szCs w:val="21"/>
                    </w:rPr>
                    <w:t>平方米</w:t>
                  </w:r>
                  <w:r>
                    <w:rPr>
                      <w:rFonts w:hint="eastAsia"/>
                      <w:szCs w:val="21"/>
                      <w:lang w:eastAsia="zh-CN"/>
                    </w:rPr>
                    <w:t>，</w:t>
                  </w:r>
                  <w:r>
                    <w:rPr>
                      <w:rFonts w:hint="eastAsia"/>
                      <w:szCs w:val="21"/>
                      <w:lang w:val="en-US" w:eastAsia="zh-CN"/>
                    </w:rPr>
                    <w:t>用于暂存塑料框成品及碳酸钙、PP/PET新料</w:t>
                  </w:r>
                  <w:r>
                    <w:rPr>
                      <w:szCs w:val="21"/>
                    </w:rPr>
                    <w:t>。</w:t>
                  </w:r>
                </w:p>
              </w:tc>
              <w:tc>
                <w:tcPr>
                  <w:tcW w:w="1238" w:type="dxa"/>
                  <w:vMerge w:val="continue"/>
                  <w:noWrap w:val="0"/>
                  <w:vAlign w:val="center"/>
                </w:tcPr>
                <w:p>
                  <w:pPr>
                    <w:jc w:val="center"/>
                    <w:rPr>
                      <w:lang w:val="en-GB"/>
                    </w:rPr>
                  </w:pPr>
                </w:p>
              </w:tc>
              <w:tc>
                <w:tcPr>
                  <w:tcW w:w="1144" w:type="dxa"/>
                  <w:vMerge w:val="continue"/>
                  <w:noWrap w:val="0"/>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993" w:type="dxa"/>
                  <w:vMerge w:val="restart"/>
                  <w:noWrap w:val="0"/>
                  <w:vAlign w:val="center"/>
                </w:tcPr>
                <w:p>
                  <w:pPr>
                    <w:rPr>
                      <w:b/>
                      <w:color w:val="auto"/>
                      <w:lang w:val="en-GB"/>
                    </w:rPr>
                  </w:pPr>
                  <w:r>
                    <w:rPr>
                      <w:b/>
                      <w:color w:val="auto"/>
                      <w:lang w:val="en-GB"/>
                    </w:rPr>
                    <w:t>公用工程</w:t>
                  </w:r>
                </w:p>
              </w:tc>
              <w:tc>
                <w:tcPr>
                  <w:tcW w:w="4664" w:type="dxa"/>
                  <w:noWrap w:val="0"/>
                  <w:vAlign w:val="center"/>
                </w:tcPr>
                <w:p>
                  <w:pPr>
                    <w:spacing w:line="360" w:lineRule="auto"/>
                    <w:jc w:val="left"/>
                    <w:rPr>
                      <w:color w:val="auto"/>
                      <w:szCs w:val="21"/>
                    </w:rPr>
                  </w:pPr>
                  <w:r>
                    <w:rPr>
                      <w:rFonts w:hint="eastAsia"/>
                      <w:color w:val="auto"/>
                      <w:szCs w:val="21"/>
                      <w:lang w:val="en-US" w:eastAsia="zh-CN"/>
                    </w:rPr>
                    <w:t>设置办公区一处，位于厂区西侧，面积约100平方米</w:t>
                  </w:r>
                  <w:r>
                    <w:rPr>
                      <w:rFonts w:hint="eastAsia"/>
                      <w:color w:val="auto"/>
                      <w:szCs w:val="21"/>
                    </w:rPr>
                    <w:t>。</w:t>
                  </w:r>
                </w:p>
              </w:tc>
              <w:tc>
                <w:tcPr>
                  <w:tcW w:w="1238" w:type="dxa"/>
                  <w:noWrap w:val="0"/>
                  <w:vAlign w:val="center"/>
                </w:tcPr>
                <w:p>
                  <w:pPr>
                    <w:jc w:val="left"/>
                    <w:rPr>
                      <w:szCs w:val="21"/>
                    </w:rPr>
                  </w:pPr>
                  <w:r>
                    <w:rPr>
                      <w:rFonts w:hint="eastAsia"/>
                      <w:lang w:val="en-GB"/>
                    </w:rPr>
                    <w:t>施工</w:t>
                  </w:r>
                  <w:r>
                    <w:rPr>
                      <w:lang w:val="en-GB"/>
                    </w:rPr>
                    <w:t>固废，噪声、废气</w:t>
                  </w:r>
                </w:p>
              </w:tc>
              <w:tc>
                <w:tcPr>
                  <w:tcW w:w="1144" w:type="dxa"/>
                  <w:noWrap w:val="0"/>
                  <w:vAlign w:val="center"/>
                </w:tcPr>
                <w:p>
                  <w:pPr>
                    <w:jc w:val="left"/>
                    <w:rPr>
                      <w:rFonts w:hint="eastAsia"/>
                      <w:szCs w:val="21"/>
                    </w:rPr>
                  </w:pPr>
                  <w:r>
                    <w:rPr>
                      <w:rFonts w:hint="eastAsia"/>
                      <w:szCs w:val="21"/>
                    </w:rPr>
                    <w:t>噪声、固废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53" w:hRule="atLeast"/>
                <w:jc w:val="center"/>
              </w:trPr>
              <w:tc>
                <w:tcPr>
                  <w:tcW w:w="993" w:type="dxa"/>
                  <w:vMerge w:val="continue"/>
                  <w:noWrap w:val="0"/>
                  <w:vAlign w:val="center"/>
                </w:tcPr>
                <w:p>
                  <w:pPr>
                    <w:rPr>
                      <w:b/>
                      <w:lang w:val="en-GB"/>
                    </w:rPr>
                  </w:pPr>
                </w:p>
              </w:tc>
              <w:tc>
                <w:tcPr>
                  <w:tcW w:w="4664" w:type="dxa"/>
                  <w:noWrap w:val="0"/>
                  <w:vAlign w:val="center"/>
                </w:tcPr>
                <w:p>
                  <w:pPr>
                    <w:spacing w:line="360" w:lineRule="auto"/>
                    <w:jc w:val="left"/>
                    <w:rPr>
                      <w:szCs w:val="21"/>
                    </w:rPr>
                  </w:pPr>
                  <w:r>
                    <w:rPr>
                      <w:szCs w:val="21"/>
                    </w:rPr>
                    <w:t>供电：园区市政电网供电</w:t>
                  </w:r>
                </w:p>
              </w:tc>
              <w:tc>
                <w:tcPr>
                  <w:tcW w:w="1238" w:type="dxa"/>
                  <w:noWrap w:val="0"/>
                  <w:vAlign w:val="center"/>
                </w:tcPr>
                <w:p>
                  <w:pPr>
                    <w:rPr>
                      <w:lang w:val="en-GB"/>
                    </w:rPr>
                  </w:pPr>
                  <w:r>
                    <w:t>/</w:t>
                  </w:r>
                </w:p>
              </w:tc>
              <w:tc>
                <w:tcPr>
                  <w:tcW w:w="1144" w:type="dxa"/>
                  <w:noWrap w:val="0"/>
                  <w:vAlign w:val="center"/>
                </w:tcPr>
                <w:p>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993" w:type="dxa"/>
                  <w:vMerge w:val="continue"/>
                  <w:noWrap w:val="0"/>
                  <w:vAlign w:val="center"/>
                </w:tcPr>
                <w:p>
                  <w:pPr>
                    <w:rPr>
                      <w:b/>
                      <w:lang w:val="en-GB"/>
                    </w:rPr>
                  </w:pPr>
                </w:p>
              </w:tc>
              <w:tc>
                <w:tcPr>
                  <w:tcW w:w="4664" w:type="dxa"/>
                  <w:noWrap w:val="0"/>
                  <w:vAlign w:val="center"/>
                </w:tcPr>
                <w:p>
                  <w:pPr>
                    <w:spacing w:line="360" w:lineRule="auto"/>
                    <w:jc w:val="left"/>
                    <w:rPr>
                      <w:rFonts w:hint="eastAsia" w:eastAsia="宋体"/>
                      <w:szCs w:val="21"/>
                      <w:lang w:val="en-US" w:eastAsia="zh-CN"/>
                    </w:rPr>
                  </w:pPr>
                  <w:r>
                    <w:rPr>
                      <w:szCs w:val="21"/>
                    </w:rPr>
                    <w:t>供水与排水：依托园区市政供水管网供水，雨水依托园区雨水管网排放，</w:t>
                  </w:r>
                  <w:r>
                    <w:rPr>
                      <w:rFonts w:hint="eastAsia"/>
                      <w:szCs w:val="21"/>
                      <w:lang w:eastAsia="zh-CN"/>
                    </w:rPr>
                    <w:t>生活污水、</w:t>
                  </w:r>
                  <w:r>
                    <w:rPr>
                      <w:rFonts w:hint="eastAsia"/>
                      <w:szCs w:val="21"/>
                      <w:lang w:val="en-US" w:eastAsia="zh-CN"/>
                    </w:rPr>
                    <w:t>生产废水</w:t>
                  </w:r>
                  <w:r>
                    <w:rPr>
                      <w:szCs w:val="21"/>
                    </w:rPr>
                    <w:t>依托园区污水管网排入蓬溪经开区污水处理厂处理</w:t>
                  </w:r>
                  <w:r>
                    <w:rPr>
                      <w:rFonts w:hint="eastAsia"/>
                      <w:szCs w:val="21"/>
                      <w:lang w:eastAsia="zh-CN"/>
                    </w:rPr>
                    <w:t>。</w:t>
                  </w:r>
                </w:p>
              </w:tc>
              <w:tc>
                <w:tcPr>
                  <w:tcW w:w="1238" w:type="dxa"/>
                  <w:noWrap w:val="0"/>
                  <w:vAlign w:val="center"/>
                </w:tcPr>
                <w:p>
                  <w:r>
                    <w:t>/</w:t>
                  </w:r>
                </w:p>
              </w:tc>
              <w:tc>
                <w:tcPr>
                  <w:tcW w:w="1144" w:type="dxa"/>
                  <w:noWrap w:val="0"/>
                  <w:vAlign w:val="center"/>
                </w:tcPr>
                <w:p>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3" w:hRule="atLeast"/>
                <w:jc w:val="center"/>
              </w:trPr>
              <w:tc>
                <w:tcPr>
                  <w:tcW w:w="993" w:type="dxa"/>
                  <w:vMerge w:val="restart"/>
                  <w:noWrap w:val="0"/>
                  <w:vAlign w:val="center"/>
                </w:tcPr>
                <w:p>
                  <w:pPr>
                    <w:rPr>
                      <w:b/>
                      <w:lang w:val="en-GB"/>
                    </w:rPr>
                  </w:pPr>
                  <w:r>
                    <w:rPr>
                      <w:b/>
                      <w:lang w:val="en-GB"/>
                    </w:rPr>
                    <w:t>环保工程</w:t>
                  </w:r>
                </w:p>
              </w:tc>
              <w:tc>
                <w:tcPr>
                  <w:tcW w:w="4664" w:type="dxa"/>
                  <w:noWrap w:val="0"/>
                  <w:vAlign w:val="center"/>
                </w:tcPr>
                <w:p>
                  <w:pPr>
                    <w:widowControl/>
                    <w:spacing w:line="360" w:lineRule="auto"/>
                    <w:ind w:firstLine="210" w:firstLineChars="100"/>
                    <w:jc w:val="left"/>
                  </w:pPr>
                  <w:r>
                    <w:t>废气：</w:t>
                  </w:r>
                </w:p>
                <w:p>
                  <w:pPr>
                    <w:widowControl/>
                    <w:spacing w:line="360" w:lineRule="auto"/>
                    <w:ind w:firstLine="210" w:firstLineChars="100"/>
                    <w:jc w:val="left"/>
                    <w:rPr>
                      <w:rFonts w:hint="eastAsia"/>
                      <w:lang w:val="en-US" w:eastAsia="zh-CN"/>
                    </w:rPr>
                  </w:pPr>
                  <w:r>
                    <w:rPr>
                      <w:rFonts w:hint="eastAsia"/>
                    </w:rPr>
                    <w:t>①</w:t>
                  </w:r>
                  <w:r>
                    <w:rPr>
                      <w:rFonts w:hint="eastAsia"/>
                      <w:lang w:val="en-US" w:eastAsia="zh-CN"/>
                    </w:rPr>
                    <w:t>塑料框生产车间：设置布袋除尘器一套，对塑料框生产线上料过程中产生的粉尘收集处理后经15m高的排气筒（DA001）排放。</w:t>
                  </w:r>
                </w:p>
                <w:p>
                  <w:pPr>
                    <w:widowControl/>
                    <w:spacing w:line="360" w:lineRule="auto"/>
                    <w:ind w:firstLine="210" w:firstLineChars="100"/>
                    <w:jc w:val="left"/>
                    <w:rPr>
                      <w:rFonts w:hint="eastAsia"/>
                      <w:lang w:val="en-US" w:eastAsia="zh-CN"/>
                    </w:rPr>
                  </w:pPr>
                  <w:r>
                    <w:rPr>
                      <w:rFonts w:hint="eastAsia"/>
                      <w:lang w:val="en-US" w:eastAsia="zh-CN"/>
                    </w:rPr>
                    <w:t>②塑料框生产车间：设置过滤棉+二级活性炭吸附系统1套，对塑料框挤出过程中产生的有机废气收集处理后离地15m高的排气筒（DA002）排放。</w:t>
                  </w:r>
                </w:p>
                <w:p>
                  <w:pPr>
                    <w:widowControl/>
                    <w:spacing w:line="360" w:lineRule="auto"/>
                    <w:ind w:firstLine="210" w:firstLineChars="100"/>
                    <w:jc w:val="left"/>
                    <w:rPr>
                      <w:rFonts w:hint="default" w:eastAsia="宋体"/>
                      <w:lang w:val="en-US" w:eastAsia="zh-CN"/>
                    </w:rPr>
                  </w:pPr>
                  <w:r>
                    <w:rPr>
                      <w:rFonts w:hint="eastAsia"/>
                      <w:lang w:val="en-US" w:eastAsia="zh-CN"/>
                    </w:rPr>
                    <w:t>③废塑料回收造粒生产车间：设置过滤棉+二级活性炭吸附系统1套，对塑料框挤出过程中产生的有机废气收集处理后离地15m高的排气筒（DA003）排放。</w:t>
                  </w:r>
                </w:p>
              </w:tc>
              <w:tc>
                <w:tcPr>
                  <w:tcW w:w="1238" w:type="dxa"/>
                  <w:noWrap w:val="0"/>
                  <w:vAlign w:val="center"/>
                </w:tcPr>
                <w:p>
                  <w:r>
                    <w:rPr>
                      <w:rFonts w:hint="eastAsia"/>
                      <w:lang w:val="en-GB"/>
                    </w:rPr>
                    <w:t>施工</w:t>
                  </w:r>
                  <w:r>
                    <w:rPr>
                      <w:lang w:val="en-GB"/>
                    </w:rPr>
                    <w:t>固废，噪声</w:t>
                  </w:r>
                </w:p>
              </w:tc>
              <w:tc>
                <w:tcPr>
                  <w:tcW w:w="1144" w:type="dxa"/>
                  <w:noWrap w:val="0"/>
                  <w:vAlign w:val="center"/>
                </w:tcPr>
                <w:p>
                  <w:pPr>
                    <w:jc w:val="center"/>
                  </w:pPr>
                  <w:r>
                    <w:rPr>
                      <w:rFonts w:hint="eastAsia"/>
                      <w:lang w:val="en-GB"/>
                    </w:rPr>
                    <w:t>运行</w:t>
                  </w:r>
                  <w:r>
                    <w:rPr>
                      <w:lang w:val="en-GB"/>
                    </w:rPr>
                    <w:t>噪声、固废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6" w:hRule="atLeast"/>
                <w:jc w:val="center"/>
              </w:trPr>
              <w:tc>
                <w:tcPr>
                  <w:tcW w:w="993" w:type="dxa"/>
                  <w:vMerge w:val="continue"/>
                  <w:noWrap w:val="0"/>
                  <w:vAlign w:val="center"/>
                </w:tcPr>
                <w:p>
                  <w:pPr>
                    <w:rPr>
                      <w:b/>
                      <w:lang w:val="en-GB"/>
                    </w:rPr>
                  </w:pPr>
                </w:p>
              </w:tc>
              <w:tc>
                <w:tcPr>
                  <w:tcW w:w="46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eastAsia="宋体" w:cs="Times New Roman"/>
                    </w:rPr>
                  </w:pPr>
                  <w:r>
                    <w:rPr>
                      <w:rFonts w:hint="eastAsia"/>
                      <w:lang w:eastAsia="zh-CN"/>
                    </w:rPr>
                    <w:t>生活污水处理</w:t>
                  </w:r>
                  <w:r>
                    <w:rPr>
                      <w:rFonts w:hint="eastAsia"/>
                    </w:rPr>
                    <w:t>系统：</w:t>
                  </w:r>
                  <w:r>
                    <w:rPr>
                      <w:rFonts w:hint="eastAsia"/>
                      <w:lang w:eastAsia="zh-CN"/>
                    </w:rPr>
                    <w:t>生活污水</w:t>
                  </w:r>
                  <w:r>
                    <w:rPr>
                      <w:rFonts w:hint="eastAsia"/>
                      <w:lang w:val="en-US" w:eastAsia="zh-CN"/>
                    </w:rPr>
                    <w:t>依托既有</w:t>
                  </w:r>
                  <w:r>
                    <w:t>化粪池处理后排入市</w:t>
                  </w:r>
                  <w:r>
                    <w:rPr>
                      <w:rFonts w:hint="eastAsia" w:ascii="Times New Roman" w:hAnsi="Times New Roman" w:eastAsia="宋体" w:cs="Times New Roman"/>
                    </w:rPr>
                    <w:t>政污水管网送蓬溪县经济开发区污水处理厂处理</w:t>
                  </w:r>
                  <w:r>
                    <w:rPr>
                      <w:rFonts w:hint="default" w:ascii="Times New Roman" w:hAnsi="Times New Roman" w:eastAsia="宋体"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ascii="Times New Roman" w:hAnsi="Times New Roman" w:cs="Times New Roman"/>
                      <w:lang w:val="en-US" w:eastAsia="zh-CN"/>
                    </w:rPr>
                  </w:pPr>
                  <w:r>
                    <w:rPr>
                      <w:rFonts w:hint="default" w:ascii="Times New Roman" w:hAnsi="Times New Roman" w:eastAsia="宋体" w:cs="Times New Roman"/>
                      <w:lang w:val="en-US" w:eastAsia="zh-CN"/>
                    </w:rPr>
                    <w:t>生产</w:t>
                  </w:r>
                  <w:r>
                    <w:rPr>
                      <w:rFonts w:hint="default" w:ascii="Times New Roman" w:hAnsi="Times New Roman" w:cs="Times New Roman"/>
                      <w:lang w:val="en-US" w:eastAsia="zh-CN"/>
                    </w:rPr>
                    <w:t>废水：设置生产废水处理设施1处，设计处理能力20m³/d。生产废水处理设施处理后排入市政污水管网送蓬溪县经开区污水处理厂处理</w:t>
                  </w:r>
                  <w:r>
                    <w:rPr>
                      <w:rFonts w:hint="eastAsia"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textAlignment w:val="auto"/>
                    <w:rPr>
                      <w:rFonts w:hint="default"/>
                      <w:lang w:val="en-US" w:eastAsia="zh-CN"/>
                    </w:rPr>
                  </w:pPr>
                  <w:r>
                    <w:rPr>
                      <w:rFonts w:hint="default" w:ascii="Times New Roman" w:hAnsi="Times New Roman" w:cs="Times New Roman"/>
                      <w:lang w:val="en-US" w:eastAsia="zh-CN"/>
                    </w:rPr>
                    <w:t>循环水设施：废塑料造粒生产车间和塑料周转框车间各设置1个20m³的循环冷却水池，循环水循环使用6个月后，更新排放一次，更新排放的废水</w:t>
                  </w:r>
                  <w:r>
                    <w:rPr>
                      <w:rFonts w:hint="eastAsia" w:ascii="Times New Roman" w:hAnsi="Times New Roman" w:cs="Times New Roman"/>
                      <w:lang w:val="en-US" w:eastAsia="zh-CN"/>
                    </w:rPr>
                    <w:t>排入</w:t>
                  </w:r>
                  <w:r>
                    <w:rPr>
                      <w:rFonts w:hint="default" w:ascii="Times New Roman" w:hAnsi="Times New Roman" w:cs="Times New Roman"/>
                      <w:lang w:val="en-US" w:eastAsia="zh-CN"/>
                    </w:rPr>
                    <w:t>生产废水处理设施处理后排入市政污水管网送蓬溪县经开区污水处理厂处理。</w:t>
                  </w:r>
                </w:p>
              </w:tc>
              <w:tc>
                <w:tcPr>
                  <w:tcW w:w="1238" w:type="dxa"/>
                  <w:noWrap w:val="0"/>
                  <w:vAlign w:val="center"/>
                </w:tcPr>
                <w:p>
                  <w:pPr>
                    <w:rPr>
                      <w:lang w:val="en-GB"/>
                    </w:rPr>
                  </w:pPr>
                  <w:r>
                    <w:rPr>
                      <w:rFonts w:hint="eastAsia"/>
                      <w:lang w:val="en-GB"/>
                    </w:rPr>
                    <w:t>施工</w:t>
                  </w:r>
                  <w:r>
                    <w:rPr>
                      <w:lang w:val="en-GB"/>
                    </w:rPr>
                    <w:t>固废，噪声</w:t>
                  </w:r>
                </w:p>
              </w:tc>
              <w:tc>
                <w:tcPr>
                  <w:tcW w:w="1144" w:type="dxa"/>
                  <w:noWrap w:val="0"/>
                  <w:vAlign w:val="center"/>
                </w:tcPr>
                <w:p>
                  <w:pPr>
                    <w:jc w:val="center"/>
                    <w:rPr>
                      <w:rFonts w:hint="default" w:eastAsia="宋体"/>
                      <w:lang w:val="en-US" w:eastAsia="zh-CN"/>
                    </w:rPr>
                  </w:pPr>
                  <w:r>
                    <w:rPr>
                      <w:rFonts w:hint="eastAsia"/>
                      <w:lang w:val="en-US" w:eastAsia="zh-CN"/>
                    </w:rPr>
                    <w:t>废水、固废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4" w:hRule="atLeast"/>
                <w:jc w:val="center"/>
              </w:trPr>
              <w:tc>
                <w:tcPr>
                  <w:tcW w:w="993" w:type="dxa"/>
                  <w:vMerge w:val="continue"/>
                  <w:noWrap w:val="0"/>
                  <w:vAlign w:val="center"/>
                </w:tcPr>
                <w:p>
                  <w:pPr>
                    <w:rPr>
                      <w:lang w:val="en-GB"/>
                    </w:rPr>
                  </w:pPr>
                </w:p>
              </w:tc>
              <w:tc>
                <w:tcPr>
                  <w:tcW w:w="4664" w:type="dxa"/>
                  <w:noWrap w:val="0"/>
                  <w:vAlign w:val="center"/>
                </w:tcPr>
                <w:p>
                  <w:pPr>
                    <w:spacing w:line="360" w:lineRule="auto"/>
                    <w:jc w:val="left"/>
                    <w:rPr>
                      <w:szCs w:val="21"/>
                    </w:rPr>
                  </w:pPr>
                  <w:r>
                    <w:rPr>
                      <w:szCs w:val="21"/>
                    </w:rPr>
                    <w:t>噪声：设置减震设施，合理总平面布局，利用建筑结构降低噪声对外环境的影响。</w:t>
                  </w:r>
                </w:p>
              </w:tc>
              <w:tc>
                <w:tcPr>
                  <w:tcW w:w="1238" w:type="dxa"/>
                  <w:vMerge w:val="restart"/>
                  <w:noWrap w:val="0"/>
                  <w:vAlign w:val="center"/>
                </w:tcPr>
                <w:p>
                  <w:pPr>
                    <w:jc w:val="center"/>
                    <w:rPr>
                      <w:rFonts w:hint="eastAsia"/>
                      <w:lang w:val="en-GB"/>
                    </w:rPr>
                  </w:pPr>
                  <w:r>
                    <w:rPr>
                      <w:rFonts w:hint="eastAsia"/>
                      <w:lang w:val="en-GB"/>
                    </w:rPr>
                    <w:t>施工</w:t>
                  </w:r>
                  <w:r>
                    <w:rPr>
                      <w:lang w:val="en-GB"/>
                    </w:rPr>
                    <w:t>固废，噪声</w:t>
                  </w:r>
                </w:p>
                <w:p>
                  <w:pPr>
                    <w:jc w:val="center"/>
                    <w:rPr>
                      <w:szCs w:val="21"/>
                    </w:rPr>
                  </w:pPr>
                </w:p>
              </w:tc>
              <w:tc>
                <w:tcPr>
                  <w:tcW w:w="1144" w:type="dxa"/>
                  <w:noWrap w:val="0"/>
                  <w:vAlign w:val="center"/>
                </w:tcPr>
                <w:p>
                  <w:pPr>
                    <w:jc w:val="center"/>
                    <w:rPr>
                      <w:szCs w:val="21"/>
                    </w:rPr>
                  </w:pPr>
                  <w:r>
                    <w:rPr>
                      <w:szCs w:val="21"/>
                      <w:lang w:val="en-GB"/>
                    </w:rPr>
                    <w:t>固废，噪声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993" w:type="dxa"/>
                  <w:vMerge w:val="continue"/>
                  <w:noWrap w:val="0"/>
                  <w:vAlign w:val="center"/>
                </w:tcPr>
                <w:p>
                  <w:pPr>
                    <w:rPr>
                      <w:lang w:val="en-GB"/>
                    </w:rPr>
                  </w:pPr>
                </w:p>
              </w:tc>
              <w:tc>
                <w:tcPr>
                  <w:tcW w:w="4664" w:type="dxa"/>
                  <w:noWrap w:val="0"/>
                  <w:vAlign w:val="center"/>
                </w:tcPr>
                <w:p>
                  <w:pPr>
                    <w:spacing w:line="360" w:lineRule="auto"/>
                    <w:rPr>
                      <w:bCs/>
                      <w:szCs w:val="21"/>
                    </w:rPr>
                  </w:pPr>
                  <w:r>
                    <w:rPr>
                      <w:bCs/>
                      <w:szCs w:val="21"/>
                    </w:rPr>
                    <w:t>危险废物：设置危险废物暂存间1处，面积约</w:t>
                  </w:r>
                  <w:r>
                    <w:rPr>
                      <w:rFonts w:hint="eastAsia"/>
                      <w:bCs/>
                      <w:szCs w:val="21"/>
                      <w:lang w:val="en-US" w:eastAsia="zh-CN"/>
                    </w:rPr>
                    <w:t>10</w:t>
                  </w:r>
                  <w:r>
                    <w:rPr>
                      <w:bCs/>
                      <w:szCs w:val="21"/>
                    </w:rPr>
                    <w:t>平方米，位于</w:t>
                  </w:r>
                  <w:r>
                    <w:rPr>
                      <w:rFonts w:hint="eastAsia"/>
                      <w:bCs/>
                      <w:szCs w:val="21"/>
                      <w:lang w:val="en-US" w:eastAsia="zh-CN"/>
                    </w:rPr>
                    <w:t>造粒生产车间西南侧</w:t>
                  </w:r>
                  <w:r>
                    <w:rPr>
                      <w:bCs/>
                      <w:szCs w:val="21"/>
                    </w:rPr>
                    <w:t>。</w:t>
                  </w:r>
                </w:p>
              </w:tc>
              <w:tc>
                <w:tcPr>
                  <w:tcW w:w="1238" w:type="dxa"/>
                  <w:vMerge w:val="continue"/>
                  <w:noWrap w:val="0"/>
                  <w:vAlign w:val="center"/>
                </w:tcPr>
                <w:p>
                  <w:pPr>
                    <w:jc w:val="center"/>
                    <w:rPr>
                      <w:szCs w:val="21"/>
                    </w:rPr>
                  </w:pPr>
                </w:p>
              </w:tc>
              <w:tc>
                <w:tcPr>
                  <w:tcW w:w="1144" w:type="dxa"/>
                  <w:noWrap w:val="0"/>
                  <w:vAlign w:val="center"/>
                </w:tcPr>
                <w:p>
                  <w:pPr>
                    <w:jc w:val="center"/>
                    <w:rPr>
                      <w:bCs/>
                      <w:szCs w:val="21"/>
                    </w:rPr>
                  </w:pPr>
                  <w:r>
                    <w:rPr>
                      <w:szCs w:val="21"/>
                    </w:rPr>
                    <w:t>固废</w:t>
                  </w:r>
                  <w:r>
                    <w:rPr>
                      <w:rFonts w:hint="eastAsia"/>
                      <w:szCs w:val="21"/>
                    </w:rPr>
                    <w:t>、土壤、地下水污染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993" w:type="dxa"/>
                  <w:vMerge w:val="continue"/>
                  <w:noWrap w:val="0"/>
                  <w:vAlign w:val="center"/>
                </w:tcPr>
                <w:p>
                  <w:pPr>
                    <w:rPr>
                      <w:lang w:val="en-GB"/>
                    </w:rPr>
                  </w:pPr>
                </w:p>
              </w:tc>
              <w:tc>
                <w:tcPr>
                  <w:tcW w:w="4664" w:type="dxa"/>
                  <w:noWrap w:val="0"/>
                  <w:vAlign w:val="center"/>
                </w:tcPr>
                <w:p>
                  <w:pPr>
                    <w:spacing w:line="360" w:lineRule="auto"/>
                    <w:rPr>
                      <w:bCs/>
                      <w:szCs w:val="21"/>
                    </w:rPr>
                  </w:pPr>
                  <w:r>
                    <w:rPr>
                      <w:bCs/>
                      <w:szCs w:val="21"/>
                    </w:rPr>
                    <w:t>一般固废</w:t>
                  </w:r>
                  <w:r>
                    <w:rPr>
                      <w:rFonts w:hint="eastAsia"/>
                      <w:bCs/>
                      <w:szCs w:val="21"/>
                    </w:rPr>
                    <w:t>暂存点</w:t>
                  </w:r>
                  <w:r>
                    <w:rPr>
                      <w:bCs/>
                      <w:szCs w:val="21"/>
                    </w:rPr>
                    <w:t>：设置一般固废暂存</w:t>
                  </w:r>
                  <w:r>
                    <w:rPr>
                      <w:rFonts w:hint="eastAsia"/>
                      <w:bCs/>
                      <w:szCs w:val="21"/>
                    </w:rPr>
                    <w:t>点</w:t>
                  </w:r>
                  <w:r>
                    <w:rPr>
                      <w:bCs/>
                      <w:szCs w:val="21"/>
                    </w:rPr>
                    <w:t>1处，</w:t>
                  </w:r>
                  <w:r>
                    <w:rPr>
                      <w:rFonts w:hint="eastAsia"/>
                      <w:bCs/>
                      <w:szCs w:val="21"/>
                    </w:rPr>
                    <w:t>位于</w:t>
                  </w:r>
                  <w:r>
                    <w:rPr>
                      <w:rFonts w:hint="eastAsia"/>
                      <w:bCs/>
                      <w:szCs w:val="21"/>
                      <w:lang w:val="en-US" w:eastAsia="zh-CN"/>
                    </w:rPr>
                    <w:t>造粒生产车间东侧</w:t>
                  </w:r>
                  <w:r>
                    <w:rPr>
                      <w:bCs/>
                      <w:szCs w:val="21"/>
                    </w:rPr>
                    <w:t>，面积约</w:t>
                  </w:r>
                  <w:r>
                    <w:rPr>
                      <w:rFonts w:hint="eastAsia"/>
                      <w:bCs/>
                      <w:szCs w:val="21"/>
                      <w:lang w:val="en-US" w:eastAsia="zh-CN"/>
                    </w:rPr>
                    <w:t>50</w:t>
                  </w:r>
                  <w:r>
                    <w:rPr>
                      <w:bCs/>
                      <w:szCs w:val="21"/>
                    </w:rPr>
                    <w:t>平方米。</w:t>
                  </w:r>
                </w:p>
              </w:tc>
              <w:tc>
                <w:tcPr>
                  <w:tcW w:w="1238" w:type="dxa"/>
                  <w:vMerge w:val="continue"/>
                  <w:noWrap w:val="0"/>
                  <w:vAlign w:val="center"/>
                </w:tcPr>
                <w:p>
                  <w:pPr>
                    <w:jc w:val="center"/>
                    <w:rPr>
                      <w:szCs w:val="21"/>
                    </w:rPr>
                  </w:pPr>
                </w:p>
              </w:tc>
              <w:tc>
                <w:tcPr>
                  <w:tcW w:w="1144" w:type="dxa"/>
                  <w:noWrap w:val="0"/>
                  <w:vAlign w:val="center"/>
                </w:tcPr>
                <w:p>
                  <w:pPr>
                    <w:jc w:val="center"/>
                    <w:rPr>
                      <w:szCs w:val="21"/>
                    </w:rPr>
                  </w:pPr>
                  <w:r>
                    <w:rPr>
                      <w:szCs w:val="21"/>
                      <w:lang w:val="en-GB"/>
                    </w:rPr>
                    <w:t>固废</w:t>
                  </w:r>
                </w:p>
              </w:tc>
            </w:tr>
          </w:tbl>
          <w:p>
            <w:pPr>
              <w:pStyle w:val="66"/>
              <w:ind w:firstLine="480"/>
              <w:rPr>
                <w:rFonts w:hint="default" w:ascii="Times New Roman" w:hAnsi="Times New Roman" w:cs="Times New Roman"/>
              </w:rPr>
            </w:pPr>
          </w:p>
          <w:p>
            <w:pPr>
              <w:pStyle w:val="66"/>
              <w:ind w:firstLine="482"/>
              <w:rPr>
                <w:rFonts w:hint="default" w:ascii="Times New Roman" w:hAnsi="Times New Roman" w:cs="Times New Roman"/>
                <w:b/>
                <w:bCs/>
              </w:rPr>
            </w:pPr>
            <w:r>
              <w:rPr>
                <w:rFonts w:hint="default" w:ascii="Times New Roman" w:hAnsi="Times New Roman" w:cs="Times New Roman"/>
                <w:b/>
                <w:bCs/>
              </w:rPr>
              <w:t>4、主要设备清单</w:t>
            </w:r>
          </w:p>
          <w:p>
            <w:pPr>
              <w:pStyle w:val="66"/>
              <w:ind w:firstLine="480"/>
              <w:rPr>
                <w:rFonts w:hint="default" w:ascii="Times New Roman" w:hAnsi="Times New Roman" w:cs="Times New Roman"/>
              </w:rPr>
            </w:pPr>
            <w:r>
              <w:rPr>
                <w:rFonts w:hint="default" w:ascii="Times New Roman" w:hAnsi="Times New Roman" w:cs="Times New Roman"/>
              </w:rPr>
              <w:t>本项目主要从事</w:t>
            </w:r>
            <w:r>
              <w:rPr>
                <w:rFonts w:hint="eastAsia" w:ascii="Times New Roman" w:hAnsi="Times New Roman" w:cs="Times New Roman"/>
                <w:lang w:eastAsia="zh-CN"/>
              </w:rPr>
              <w:t>复合塑料框及废塑料回收造粒</w:t>
            </w:r>
            <w:r>
              <w:rPr>
                <w:rFonts w:ascii="Times New Roman" w:hAnsi="Times New Roman" w:cs="Times New Roman"/>
              </w:rPr>
              <w:t>生产</w:t>
            </w:r>
            <w:r>
              <w:rPr>
                <w:rFonts w:hint="default" w:ascii="Times New Roman" w:hAnsi="Times New Roman" w:cs="Times New Roman"/>
              </w:rPr>
              <w:t>，生产过程中主要生产设备如下：</w:t>
            </w:r>
          </w:p>
          <w:p>
            <w:pPr>
              <w:pStyle w:val="60"/>
              <w:rPr>
                <w:rFonts w:hint="default" w:ascii="Times New Roman" w:hAnsi="Times New Roman"/>
                <w:lang w:val="zh-CN"/>
              </w:rPr>
            </w:pPr>
            <w:r>
              <w:rPr>
                <w:rFonts w:hint="default" w:ascii="Times New Roman" w:hAnsi="Times New Roman"/>
                <w:lang w:val="zh-CN"/>
              </w:rPr>
              <w:t>表</w:t>
            </w:r>
            <w:r>
              <w:rPr>
                <w:rFonts w:hint="default" w:ascii="Times New Roman" w:hAnsi="Times New Roman"/>
              </w:rPr>
              <w:t xml:space="preserve">2-2  </w:t>
            </w:r>
            <w:r>
              <w:rPr>
                <w:rFonts w:hint="default" w:ascii="Times New Roman" w:hAnsi="Times New Roman"/>
                <w:lang w:val="zh-CN"/>
              </w:rPr>
              <w:t>主要生产设备明细表</w:t>
            </w:r>
          </w:p>
          <w:tbl>
            <w:tblPr>
              <w:tblStyle w:val="24"/>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1"/>
              <w:gridCol w:w="2363"/>
              <w:gridCol w:w="1321"/>
              <w:gridCol w:w="1153"/>
              <w:gridCol w:w="947"/>
              <w:gridCol w:w="16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8" w:hRule="atLeast"/>
                <w:jc w:val="center"/>
              </w:trPr>
              <w:tc>
                <w:tcPr>
                  <w:tcW w:w="741" w:type="dxa"/>
                  <w:noWrap w:val="0"/>
                  <w:vAlign w:val="center"/>
                </w:tcPr>
                <w:p>
                  <w:pPr>
                    <w:pStyle w:val="61"/>
                    <w:tabs>
                      <w:tab w:val="left" w:pos="4500"/>
                    </w:tabs>
                    <w:spacing w:line="320" w:lineRule="exact"/>
                    <w:rPr>
                      <w:rFonts w:hint="eastAsia"/>
                      <w:b/>
                      <w:bCs/>
                      <w:sz w:val="21"/>
                      <w:szCs w:val="21"/>
                    </w:rPr>
                  </w:pPr>
                  <w:r>
                    <w:rPr>
                      <w:rFonts w:hint="eastAsia"/>
                      <w:b/>
                      <w:bCs/>
                      <w:sz w:val="21"/>
                      <w:szCs w:val="21"/>
                    </w:rPr>
                    <w:t>序号</w:t>
                  </w:r>
                </w:p>
              </w:tc>
              <w:tc>
                <w:tcPr>
                  <w:tcW w:w="2363" w:type="dxa"/>
                  <w:noWrap w:val="0"/>
                  <w:vAlign w:val="center"/>
                </w:tcPr>
                <w:p>
                  <w:pPr>
                    <w:pStyle w:val="61"/>
                    <w:tabs>
                      <w:tab w:val="left" w:pos="4500"/>
                    </w:tabs>
                    <w:spacing w:line="320" w:lineRule="exact"/>
                    <w:rPr>
                      <w:rFonts w:hint="eastAsia"/>
                      <w:b/>
                      <w:bCs/>
                      <w:sz w:val="21"/>
                      <w:szCs w:val="21"/>
                    </w:rPr>
                  </w:pPr>
                  <w:r>
                    <w:rPr>
                      <w:rFonts w:hint="eastAsia"/>
                      <w:b/>
                      <w:bCs/>
                      <w:sz w:val="21"/>
                      <w:szCs w:val="21"/>
                    </w:rPr>
                    <w:t>设备名称</w:t>
                  </w:r>
                </w:p>
              </w:tc>
              <w:tc>
                <w:tcPr>
                  <w:tcW w:w="1321" w:type="dxa"/>
                  <w:noWrap w:val="0"/>
                  <w:vAlign w:val="center"/>
                </w:tcPr>
                <w:p>
                  <w:pPr>
                    <w:pStyle w:val="61"/>
                    <w:tabs>
                      <w:tab w:val="left" w:pos="4500"/>
                    </w:tabs>
                    <w:spacing w:line="320" w:lineRule="exact"/>
                    <w:rPr>
                      <w:rFonts w:hint="eastAsia"/>
                      <w:b/>
                      <w:bCs/>
                      <w:sz w:val="21"/>
                      <w:szCs w:val="21"/>
                    </w:rPr>
                  </w:pPr>
                  <w:r>
                    <w:rPr>
                      <w:rFonts w:hint="eastAsia"/>
                      <w:b/>
                      <w:bCs/>
                      <w:sz w:val="21"/>
                      <w:szCs w:val="21"/>
                    </w:rPr>
                    <w:t>型号规格</w:t>
                  </w:r>
                </w:p>
              </w:tc>
              <w:tc>
                <w:tcPr>
                  <w:tcW w:w="1153" w:type="dxa"/>
                  <w:noWrap w:val="0"/>
                  <w:vAlign w:val="center"/>
                </w:tcPr>
                <w:p>
                  <w:pPr>
                    <w:pStyle w:val="61"/>
                    <w:tabs>
                      <w:tab w:val="left" w:pos="4500"/>
                    </w:tabs>
                    <w:spacing w:line="320" w:lineRule="exact"/>
                    <w:rPr>
                      <w:rFonts w:hint="eastAsia"/>
                      <w:b/>
                      <w:bCs/>
                      <w:sz w:val="21"/>
                      <w:szCs w:val="21"/>
                    </w:rPr>
                  </w:pPr>
                  <w:r>
                    <w:rPr>
                      <w:rFonts w:hint="eastAsia"/>
                      <w:b/>
                      <w:bCs/>
                      <w:sz w:val="21"/>
                      <w:szCs w:val="21"/>
                    </w:rPr>
                    <w:t>数 量</w:t>
                  </w:r>
                </w:p>
              </w:tc>
              <w:tc>
                <w:tcPr>
                  <w:tcW w:w="947" w:type="dxa"/>
                  <w:noWrap w:val="0"/>
                  <w:vAlign w:val="center"/>
                </w:tcPr>
                <w:p>
                  <w:pPr>
                    <w:pStyle w:val="61"/>
                    <w:tabs>
                      <w:tab w:val="left" w:pos="4500"/>
                    </w:tabs>
                    <w:spacing w:line="320" w:lineRule="exact"/>
                    <w:rPr>
                      <w:rFonts w:hint="eastAsia"/>
                      <w:b/>
                      <w:bCs/>
                      <w:sz w:val="21"/>
                      <w:szCs w:val="21"/>
                    </w:rPr>
                  </w:pPr>
                  <w:r>
                    <w:rPr>
                      <w:rFonts w:hint="eastAsia"/>
                      <w:b/>
                      <w:bCs/>
                      <w:sz w:val="21"/>
                      <w:szCs w:val="21"/>
                    </w:rPr>
                    <w:t>单位</w:t>
                  </w:r>
                </w:p>
              </w:tc>
              <w:tc>
                <w:tcPr>
                  <w:tcW w:w="1695" w:type="dxa"/>
                  <w:noWrap w:val="0"/>
                  <w:vAlign w:val="center"/>
                </w:tcPr>
                <w:p>
                  <w:pPr>
                    <w:pStyle w:val="61"/>
                    <w:tabs>
                      <w:tab w:val="left" w:pos="4500"/>
                    </w:tabs>
                    <w:spacing w:line="320" w:lineRule="exact"/>
                    <w:rPr>
                      <w:rFonts w:hint="eastAsia" w:eastAsia="宋体"/>
                      <w:b/>
                      <w:bCs/>
                      <w:sz w:val="21"/>
                      <w:szCs w:val="21"/>
                      <w:lang w:eastAsia="zh-CN"/>
                    </w:rPr>
                  </w:pPr>
                  <w:r>
                    <w:rPr>
                      <w:rFonts w:hint="eastAsia"/>
                      <w:b/>
                      <w:bCs/>
                      <w:sz w:val="21"/>
                      <w:szCs w:val="21"/>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741" w:type="dxa"/>
                  <w:noWrap w:val="0"/>
                  <w:vAlign w:val="center"/>
                </w:tcPr>
                <w:p>
                  <w:pPr>
                    <w:pStyle w:val="61"/>
                    <w:tabs>
                      <w:tab w:val="left" w:pos="4500"/>
                    </w:tabs>
                    <w:spacing w:line="320" w:lineRule="exact"/>
                    <w:rPr>
                      <w:rFonts w:hint="eastAsia"/>
                      <w:sz w:val="21"/>
                      <w:szCs w:val="21"/>
                    </w:rPr>
                  </w:pPr>
                  <w:r>
                    <w:rPr>
                      <w:rFonts w:hint="eastAsia"/>
                      <w:sz w:val="21"/>
                      <w:szCs w:val="21"/>
                    </w:rPr>
                    <w:t>1</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混料机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eastAsia="宋体"/>
                      <w:color w:val="auto"/>
                      <w:sz w:val="21"/>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695" w:type="dxa"/>
                  <w:noWrap w:val="0"/>
                  <w:vAlign w:val="center"/>
                </w:tcPr>
                <w:p>
                  <w:pPr>
                    <w:pStyle w:val="61"/>
                    <w:tabs>
                      <w:tab w:val="left" w:pos="4500"/>
                    </w:tabs>
                    <w:spacing w:line="320" w:lineRule="exact"/>
                    <w:rPr>
                      <w:rFonts w:hint="eastAsia" w:eastAsia="宋体"/>
                      <w:sz w:val="21"/>
                      <w:szCs w:val="21"/>
                      <w:lang w:eastAsia="zh-CN"/>
                    </w:rPr>
                  </w:pPr>
                  <w:r>
                    <w:rPr>
                      <w:rFonts w:hint="eastAsia"/>
                      <w:sz w:val="21"/>
                      <w:szCs w:val="21"/>
                      <w:lang w:eastAsia="zh-CN"/>
                    </w:rPr>
                    <w:t>塑料框生产线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741" w:type="dxa"/>
                  <w:noWrap w:val="0"/>
                  <w:vAlign w:val="center"/>
                </w:tcPr>
                <w:p>
                  <w:pPr>
                    <w:pStyle w:val="61"/>
                    <w:tabs>
                      <w:tab w:val="left" w:pos="4500"/>
                    </w:tabs>
                    <w:spacing w:line="320" w:lineRule="exact"/>
                    <w:rPr>
                      <w:rFonts w:hint="eastAsia" w:ascii="Times New Roman"/>
                      <w:kern w:val="2"/>
                      <w:sz w:val="21"/>
                      <w:szCs w:val="21"/>
                      <w:lang w:val="en-US" w:eastAsia="zh-CN" w:bidi="ar-SA"/>
                    </w:rPr>
                  </w:pPr>
                  <w:r>
                    <w:rPr>
                      <w:rFonts w:hint="eastAsia"/>
                      <w:sz w:val="21"/>
                      <w:szCs w:val="21"/>
                    </w:rPr>
                    <w:t>2</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挤出机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color w:val="auto"/>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695" w:type="dxa"/>
                  <w:noWrap w:val="0"/>
                  <w:vAlign w:val="center"/>
                </w:tcPr>
                <w:p>
                  <w:pPr>
                    <w:pStyle w:val="61"/>
                    <w:tabs>
                      <w:tab w:val="left" w:pos="4500"/>
                    </w:tabs>
                    <w:spacing w:line="320" w:lineRule="exact"/>
                    <w:rPr>
                      <w:sz w:val="21"/>
                      <w:szCs w:val="21"/>
                    </w:rPr>
                  </w:pPr>
                  <w:r>
                    <w:rPr>
                      <w:rFonts w:hint="eastAsia"/>
                      <w:sz w:val="21"/>
                      <w:szCs w:val="21"/>
                      <w:lang w:eastAsia="zh-CN"/>
                    </w:rPr>
                    <w:t>塑料框生产线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3</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破碎机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color w:val="auto"/>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695" w:type="dxa"/>
                  <w:noWrap w:val="0"/>
                  <w:vAlign w:val="center"/>
                </w:tcPr>
                <w:p>
                  <w:pPr>
                    <w:pStyle w:val="61"/>
                    <w:tabs>
                      <w:tab w:val="left" w:pos="4500"/>
                    </w:tabs>
                    <w:spacing w:line="320" w:lineRule="exact"/>
                    <w:rPr>
                      <w:rFonts w:hint="eastAsia"/>
                      <w:sz w:val="21"/>
                      <w:szCs w:val="21"/>
                      <w:lang w:eastAsia="zh-CN"/>
                    </w:rPr>
                  </w:pPr>
                  <w:r>
                    <w:rPr>
                      <w:rFonts w:hint="eastAsia"/>
                      <w:sz w:val="21"/>
                      <w:szCs w:val="21"/>
                      <w:lang w:eastAsia="zh-CN"/>
                    </w:rPr>
                    <w:t>塑料框生产线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4</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rPr>
                  </w:pPr>
                  <w:r>
                    <w:rPr>
                      <w:rFonts w:hint="eastAsia" w:cs="Times New Roman"/>
                      <w:i w:val="0"/>
                      <w:iCs w:val="0"/>
                      <w:color w:val="auto"/>
                      <w:sz w:val="21"/>
                      <w:szCs w:val="21"/>
                      <w:u w:val="none"/>
                      <w:lang w:val="en-US" w:eastAsia="zh-CN"/>
                    </w:rPr>
                    <w:t>挤出机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eastAsia="宋体"/>
                      <w:color w:val="auto"/>
                      <w:sz w:val="21"/>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695" w:type="dxa"/>
                  <w:noWrap w:val="0"/>
                  <w:vAlign w:val="center"/>
                </w:tcPr>
                <w:p>
                  <w:pPr>
                    <w:pStyle w:val="61"/>
                    <w:tabs>
                      <w:tab w:val="left" w:pos="4500"/>
                    </w:tabs>
                    <w:spacing w:line="320" w:lineRule="exact"/>
                    <w:rPr>
                      <w:rFonts w:hint="eastAsia" w:eastAsia="宋体"/>
                      <w:sz w:val="21"/>
                      <w:szCs w:val="21"/>
                      <w:lang w:eastAsia="zh-CN"/>
                    </w:rPr>
                  </w:pPr>
                  <w:r>
                    <w:rPr>
                      <w:rFonts w:hint="eastAsia"/>
                      <w:sz w:val="21"/>
                      <w:szCs w:val="21"/>
                      <w:lang w:eastAsia="zh-CN"/>
                    </w:rPr>
                    <w:t>塑料造粒生产线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5</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切粒机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color w:val="auto"/>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695" w:type="dxa"/>
                  <w:noWrap w:val="0"/>
                  <w:vAlign w:val="center"/>
                </w:tcPr>
                <w:p>
                  <w:pPr>
                    <w:pStyle w:val="61"/>
                    <w:tabs>
                      <w:tab w:val="left" w:pos="4500"/>
                    </w:tabs>
                    <w:spacing w:line="320" w:lineRule="exact"/>
                    <w:rPr>
                      <w:rFonts w:hint="eastAsia"/>
                      <w:sz w:val="21"/>
                      <w:szCs w:val="21"/>
                      <w:lang w:eastAsia="zh-CN"/>
                    </w:rPr>
                  </w:pPr>
                  <w:r>
                    <w:rPr>
                      <w:rFonts w:hint="eastAsia"/>
                      <w:sz w:val="21"/>
                      <w:szCs w:val="21"/>
                      <w:lang w:eastAsia="zh-CN"/>
                    </w:rPr>
                    <w:t>塑料造粒生产线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6</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sz w:val="21"/>
                      <w:szCs w:val="21"/>
                      <w:u w:val="none"/>
                      <w:lang w:val="en-US" w:eastAsia="zh-CN"/>
                    </w:rPr>
                    <w:t>破碎机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eastAsia="宋体"/>
                      <w:color w:val="auto"/>
                      <w:sz w:val="21"/>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rPr>
                  </w:pPr>
                  <w:r>
                    <w:rPr>
                      <w:rFonts w:hint="eastAsia" w:cs="Times New Roman"/>
                      <w:i w:val="0"/>
                      <w:iCs w:val="0"/>
                      <w:color w:val="auto"/>
                      <w:kern w:val="0"/>
                      <w:sz w:val="21"/>
                      <w:szCs w:val="21"/>
                      <w:u w:val="none"/>
                      <w:lang w:val="en-US" w:eastAsia="zh-CN" w:bidi="ar"/>
                    </w:rPr>
                    <w:t>5</w:t>
                  </w:r>
                </w:p>
              </w:tc>
              <w:tc>
                <w:tcPr>
                  <w:tcW w:w="1695" w:type="dxa"/>
                  <w:noWrap w:val="0"/>
                  <w:vAlign w:val="center"/>
                </w:tcPr>
                <w:p>
                  <w:pPr>
                    <w:pStyle w:val="61"/>
                    <w:tabs>
                      <w:tab w:val="left" w:pos="4500"/>
                    </w:tabs>
                    <w:spacing w:line="320" w:lineRule="exact"/>
                    <w:rPr>
                      <w:rFonts w:hint="eastAsia" w:eastAsia="宋体"/>
                      <w:sz w:val="21"/>
                      <w:szCs w:val="21"/>
                      <w:lang w:eastAsia="zh-CN"/>
                    </w:rPr>
                  </w:pPr>
                  <w:r>
                    <w:rPr>
                      <w:rFonts w:hint="eastAsia"/>
                      <w:sz w:val="21"/>
                      <w:szCs w:val="21"/>
                      <w:lang w:eastAsia="zh-CN"/>
                    </w:rPr>
                    <w:t>废塑料清洗线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7</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rPr>
                  </w:pPr>
                  <w:r>
                    <w:rPr>
                      <w:rFonts w:hint="eastAsia" w:cs="Times New Roman"/>
                      <w:i w:val="0"/>
                      <w:iCs w:val="0"/>
                      <w:color w:val="auto"/>
                      <w:sz w:val="21"/>
                      <w:szCs w:val="21"/>
                      <w:u w:val="none"/>
                      <w:lang w:val="en-US" w:eastAsia="zh-CN"/>
                    </w:rPr>
                    <w:t>清洗机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eastAsia="宋体"/>
                      <w:color w:val="auto"/>
                      <w:sz w:val="21"/>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rPr>
                  </w:pPr>
                  <w:r>
                    <w:rPr>
                      <w:rFonts w:hint="eastAsia" w:cs="Times New Roman"/>
                      <w:i w:val="0"/>
                      <w:iCs w:val="0"/>
                      <w:color w:val="auto"/>
                      <w:kern w:val="0"/>
                      <w:sz w:val="21"/>
                      <w:szCs w:val="21"/>
                      <w:u w:val="none"/>
                      <w:lang w:val="en-US" w:eastAsia="zh-CN" w:bidi="ar"/>
                    </w:rPr>
                    <w:t>6</w:t>
                  </w:r>
                </w:p>
              </w:tc>
              <w:tc>
                <w:tcPr>
                  <w:tcW w:w="1695" w:type="dxa"/>
                  <w:noWrap w:val="0"/>
                  <w:vAlign w:val="center"/>
                </w:tcPr>
                <w:p>
                  <w:pPr>
                    <w:pStyle w:val="61"/>
                    <w:tabs>
                      <w:tab w:val="left" w:pos="4500"/>
                    </w:tabs>
                    <w:spacing w:line="320" w:lineRule="exact"/>
                    <w:rPr>
                      <w:sz w:val="21"/>
                      <w:szCs w:val="21"/>
                    </w:rPr>
                  </w:pPr>
                  <w:r>
                    <w:rPr>
                      <w:rFonts w:hint="eastAsia"/>
                      <w:sz w:val="21"/>
                      <w:szCs w:val="21"/>
                      <w:lang w:eastAsia="zh-CN"/>
                    </w:rPr>
                    <w:t>废塑料清洗线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8</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rPr>
                  </w:pPr>
                  <w:r>
                    <w:rPr>
                      <w:rFonts w:hint="eastAsia" w:cs="Times New Roman"/>
                      <w:i w:val="0"/>
                      <w:iCs w:val="0"/>
                      <w:color w:val="auto"/>
                      <w:sz w:val="21"/>
                      <w:szCs w:val="21"/>
                      <w:u w:val="none"/>
                      <w:lang w:eastAsia="zh-CN"/>
                    </w:rPr>
                    <w:t>脱水机</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定制设备</w:t>
                  </w:r>
                </w:p>
              </w:tc>
              <w:tc>
                <w:tcPr>
                  <w:tcW w:w="1153" w:type="dxa"/>
                  <w:noWrap w:val="0"/>
                  <w:vAlign w:val="center"/>
                </w:tcPr>
                <w:p>
                  <w:pPr>
                    <w:spacing w:line="320" w:lineRule="exact"/>
                    <w:jc w:val="center"/>
                    <w:rPr>
                      <w:rFonts w:hint="eastAsia" w:eastAsia="宋体"/>
                      <w:color w:val="auto"/>
                      <w:sz w:val="21"/>
                      <w:szCs w:val="21"/>
                      <w:lang w:val="en-US" w:eastAsia="zh-CN"/>
                    </w:rPr>
                  </w:pPr>
                  <w:r>
                    <w:rPr>
                      <w:rFonts w:hint="eastAsia"/>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Cs w:val="21"/>
                    </w:rPr>
                  </w:pPr>
                  <w:r>
                    <w:rPr>
                      <w:rFonts w:hint="eastAsia" w:ascii="Times New Roman" w:hAnsi="Times New Roman" w:eastAsia="宋体" w:cs="Times New Roman"/>
                      <w:i w:val="0"/>
                      <w:iCs w:val="0"/>
                      <w:color w:val="auto"/>
                      <w:kern w:val="0"/>
                      <w:sz w:val="21"/>
                      <w:szCs w:val="21"/>
                      <w:u w:val="none"/>
                      <w:lang w:val="en-US" w:eastAsia="zh-CN" w:bidi="ar"/>
                    </w:rPr>
                    <w:t>6</w:t>
                  </w:r>
                </w:p>
              </w:tc>
              <w:tc>
                <w:tcPr>
                  <w:tcW w:w="1695" w:type="dxa"/>
                  <w:noWrap w:val="0"/>
                  <w:vAlign w:val="center"/>
                </w:tcPr>
                <w:p>
                  <w:pPr>
                    <w:pStyle w:val="61"/>
                    <w:tabs>
                      <w:tab w:val="left" w:pos="4500"/>
                    </w:tabs>
                    <w:spacing w:line="320" w:lineRule="exact"/>
                    <w:rPr>
                      <w:rFonts w:hint="eastAsia"/>
                      <w:sz w:val="21"/>
                      <w:szCs w:val="21"/>
                    </w:rPr>
                  </w:pPr>
                  <w:r>
                    <w:rPr>
                      <w:rFonts w:hint="eastAsia"/>
                      <w:sz w:val="21"/>
                      <w:szCs w:val="21"/>
                      <w:lang w:eastAsia="zh-CN"/>
                    </w:rPr>
                    <w:t>废塑料清洗线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rPr>
                    <w:t>9</w:t>
                  </w:r>
                </w:p>
              </w:tc>
              <w:tc>
                <w:tcPr>
                  <w:tcW w:w="236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i w:val="0"/>
                      <w:iCs w:val="0"/>
                      <w:color w:val="auto"/>
                      <w:sz w:val="21"/>
                      <w:szCs w:val="21"/>
                      <w:u w:val="none"/>
                      <w:lang w:eastAsia="zh-CN"/>
                    </w:rPr>
                    <w:t>洗槽</w:t>
                  </w:r>
                </w:p>
              </w:tc>
              <w:tc>
                <w:tcPr>
                  <w:tcW w:w="132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i w:val="0"/>
                      <w:iCs w:val="0"/>
                      <w:color w:val="auto"/>
                      <w:kern w:val="0"/>
                      <w:sz w:val="21"/>
                      <w:szCs w:val="21"/>
                      <w:u w:val="none"/>
                      <w:lang w:val="en-US" w:eastAsia="zh-CN" w:bidi="ar"/>
                    </w:rPr>
                    <w:t>8m</w:t>
                  </w:r>
                </w:p>
              </w:tc>
              <w:tc>
                <w:tcPr>
                  <w:tcW w:w="1153" w:type="dxa"/>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Cs w:val="21"/>
                      <w:lang w:val="en-US" w:eastAsia="zh-CN"/>
                    </w:rPr>
                    <w:t>台</w:t>
                  </w:r>
                </w:p>
              </w:tc>
              <w:tc>
                <w:tcPr>
                  <w:tcW w:w="94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cs="Times New Roman"/>
                      <w:i w:val="0"/>
                      <w:iCs w:val="0"/>
                      <w:color w:val="auto"/>
                      <w:kern w:val="0"/>
                      <w:sz w:val="21"/>
                      <w:szCs w:val="21"/>
                      <w:u w:val="none"/>
                      <w:lang w:val="en-US" w:eastAsia="zh-CN" w:bidi="ar"/>
                    </w:rPr>
                    <w:t>0</w:t>
                  </w:r>
                </w:p>
              </w:tc>
              <w:tc>
                <w:tcPr>
                  <w:tcW w:w="1695" w:type="dxa"/>
                  <w:noWrap w:val="0"/>
                  <w:vAlign w:val="center"/>
                </w:tcPr>
                <w:p>
                  <w:pPr>
                    <w:pStyle w:val="61"/>
                    <w:tabs>
                      <w:tab w:val="left" w:pos="4500"/>
                    </w:tabs>
                    <w:spacing w:line="320" w:lineRule="exact"/>
                    <w:rPr>
                      <w:rFonts w:hint="default" w:ascii="Times New Roman" w:hAnsi="Times New Roman" w:cs="Times New Roman"/>
                      <w:sz w:val="21"/>
                      <w:szCs w:val="21"/>
                    </w:rPr>
                  </w:pPr>
                  <w:r>
                    <w:rPr>
                      <w:rFonts w:hint="default" w:ascii="Times New Roman" w:hAnsi="Times New Roman" w:cs="Times New Roman"/>
                      <w:sz w:val="21"/>
                      <w:szCs w:val="21"/>
                      <w:lang w:eastAsia="zh-CN"/>
                    </w:rPr>
                    <w:t>废塑料清洗线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10</w:t>
                  </w:r>
                </w:p>
              </w:tc>
              <w:tc>
                <w:tcPr>
                  <w:tcW w:w="236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风选机</w:t>
                  </w:r>
                </w:p>
              </w:tc>
              <w:tc>
                <w:tcPr>
                  <w:tcW w:w="1321"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5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947" w:type="dxa"/>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p>
              </w:tc>
              <w:tc>
                <w:tcPr>
                  <w:tcW w:w="1695" w:type="dxa"/>
                  <w:noWrap w:val="0"/>
                  <w:vAlign w:val="center"/>
                </w:tcPr>
                <w:p>
                  <w:pPr>
                    <w:pStyle w:val="61"/>
                    <w:tabs>
                      <w:tab w:val="left" w:pos="4500"/>
                    </w:tabs>
                    <w:spacing w:line="320" w:lineRule="exact"/>
                    <w:rPr>
                      <w:rFonts w:hint="default" w:ascii="Times New Roman" w:hAnsi="Times New Roman" w:cs="Times New Roman"/>
                      <w:sz w:val="21"/>
                      <w:szCs w:val="21"/>
                    </w:rPr>
                  </w:pPr>
                  <w:r>
                    <w:rPr>
                      <w:rFonts w:hint="default" w:ascii="Times New Roman" w:hAnsi="Times New Roman" w:cs="Times New Roman"/>
                      <w:sz w:val="21"/>
                      <w:szCs w:val="21"/>
                      <w:lang w:eastAsia="zh-CN"/>
                    </w:rPr>
                    <w:t>废塑料清洗线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11</w:t>
                  </w:r>
                </w:p>
              </w:tc>
              <w:tc>
                <w:tcPr>
                  <w:tcW w:w="236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提升机</w:t>
                  </w:r>
                </w:p>
              </w:tc>
              <w:tc>
                <w:tcPr>
                  <w:tcW w:w="1321"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5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947" w:type="dxa"/>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8</w:t>
                  </w:r>
                </w:p>
              </w:tc>
              <w:tc>
                <w:tcPr>
                  <w:tcW w:w="1695" w:type="dxa"/>
                  <w:noWrap w:val="0"/>
                  <w:vAlign w:val="center"/>
                </w:tcPr>
                <w:p>
                  <w:pPr>
                    <w:pStyle w:val="61"/>
                    <w:tabs>
                      <w:tab w:val="left" w:pos="4500"/>
                    </w:tabs>
                    <w:spacing w:line="320" w:lineRule="exact"/>
                    <w:rPr>
                      <w:rFonts w:hint="default" w:ascii="Times New Roman" w:hAnsi="Times New Roman" w:cs="Times New Roman"/>
                      <w:sz w:val="21"/>
                      <w:szCs w:val="21"/>
                    </w:rPr>
                  </w:pPr>
                  <w:r>
                    <w:rPr>
                      <w:rFonts w:hint="default" w:ascii="Times New Roman" w:hAnsi="Times New Roman" w:cs="Times New Roman"/>
                      <w:sz w:val="21"/>
                      <w:szCs w:val="21"/>
                      <w:lang w:eastAsia="zh-CN"/>
                    </w:rPr>
                    <w:t>废塑料清洗线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2363" w:type="dxa"/>
                  <w:noWrap w:val="0"/>
                  <w:vAlign w:val="center"/>
                </w:tcPr>
                <w:p>
                  <w:pPr>
                    <w:pStyle w:val="61"/>
                    <w:tabs>
                      <w:tab w:val="left" w:pos="4500"/>
                    </w:tabs>
                    <w:spacing w:line="32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空压机</w:t>
                  </w:r>
                </w:p>
              </w:tc>
              <w:tc>
                <w:tcPr>
                  <w:tcW w:w="1321" w:type="dxa"/>
                  <w:noWrap w:val="0"/>
                  <w:vAlign w:val="center"/>
                </w:tcPr>
                <w:p>
                  <w:pPr>
                    <w:pStyle w:val="61"/>
                    <w:tabs>
                      <w:tab w:val="left" w:pos="4500"/>
                    </w:tabs>
                    <w:spacing w:line="32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0.8MPa</w:t>
                  </w:r>
                </w:p>
              </w:tc>
              <w:tc>
                <w:tcPr>
                  <w:tcW w:w="115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947" w:type="dxa"/>
                  <w:noWrap w:val="0"/>
                  <w:vAlign w:val="center"/>
                </w:tcPr>
                <w:p>
                  <w:pPr>
                    <w:spacing w:line="32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2</w:t>
                  </w:r>
                </w:p>
              </w:tc>
              <w:tc>
                <w:tcPr>
                  <w:tcW w:w="1695" w:type="dxa"/>
                  <w:noWrap w:val="0"/>
                  <w:vAlign w:val="center"/>
                </w:tcPr>
                <w:p>
                  <w:pPr>
                    <w:pStyle w:val="61"/>
                    <w:tabs>
                      <w:tab w:val="left" w:pos="4500"/>
                    </w:tabs>
                    <w:spacing w:line="320" w:lineRule="exac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供气设施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default" w:eastAsia="宋体"/>
                      <w:sz w:val="21"/>
                      <w:szCs w:val="21"/>
                      <w:lang w:val="en-US" w:eastAsia="zh-CN"/>
                    </w:rPr>
                  </w:pPr>
                  <w:r>
                    <w:rPr>
                      <w:rFonts w:hint="eastAsia"/>
                      <w:sz w:val="21"/>
                      <w:szCs w:val="21"/>
                      <w:lang w:val="en-US" w:eastAsia="zh-CN"/>
                    </w:rPr>
                    <w:t>13</w:t>
                  </w:r>
                </w:p>
              </w:tc>
              <w:tc>
                <w:tcPr>
                  <w:tcW w:w="236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环保风机</w:t>
                  </w:r>
                </w:p>
              </w:tc>
              <w:tc>
                <w:tcPr>
                  <w:tcW w:w="1321"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5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台</w:t>
                  </w:r>
                </w:p>
              </w:tc>
              <w:tc>
                <w:tcPr>
                  <w:tcW w:w="947" w:type="dxa"/>
                  <w:noWrap w:val="0"/>
                  <w:vAlign w:val="center"/>
                </w:tcPr>
                <w:p>
                  <w:pPr>
                    <w:spacing w:line="3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w:t>
                  </w:r>
                </w:p>
              </w:tc>
              <w:tc>
                <w:tcPr>
                  <w:tcW w:w="1695" w:type="dxa"/>
                  <w:noWrap w:val="0"/>
                  <w:vAlign w:val="center"/>
                </w:tcPr>
                <w:p>
                  <w:pPr>
                    <w:pStyle w:val="61"/>
                    <w:tabs>
                      <w:tab w:val="left" w:pos="4500"/>
                    </w:tabs>
                    <w:spacing w:line="320" w:lineRule="exac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废气处理</w:t>
                  </w:r>
                  <w:r>
                    <w:rPr>
                      <w:rFonts w:hint="eastAsia" w:ascii="Times New Roman" w:hAnsi="Times New Roman" w:cs="Times New Roman"/>
                      <w:sz w:val="21"/>
                      <w:szCs w:val="21"/>
                      <w:lang w:eastAsia="zh-CN"/>
                    </w:rPr>
                    <w:t>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741" w:type="dxa"/>
                  <w:noWrap w:val="0"/>
                  <w:vAlign w:val="center"/>
                </w:tcPr>
                <w:p>
                  <w:pPr>
                    <w:pStyle w:val="61"/>
                    <w:tabs>
                      <w:tab w:val="left" w:pos="4500"/>
                    </w:tabs>
                    <w:spacing w:line="320" w:lineRule="exact"/>
                    <w:rPr>
                      <w:rFonts w:hint="default"/>
                      <w:sz w:val="21"/>
                      <w:szCs w:val="21"/>
                      <w:lang w:val="en-US" w:eastAsia="zh-CN"/>
                    </w:rPr>
                  </w:pPr>
                  <w:r>
                    <w:rPr>
                      <w:rFonts w:hint="eastAsia"/>
                      <w:sz w:val="21"/>
                      <w:szCs w:val="21"/>
                      <w:lang w:val="en-US" w:eastAsia="zh-CN"/>
                    </w:rPr>
                    <w:t>14</w:t>
                  </w:r>
                </w:p>
              </w:tc>
              <w:tc>
                <w:tcPr>
                  <w:tcW w:w="2363" w:type="dxa"/>
                  <w:noWrap w:val="0"/>
                  <w:vAlign w:val="center"/>
                </w:tcPr>
                <w:p>
                  <w:pPr>
                    <w:pStyle w:val="61"/>
                    <w:tabs>
                      <w:tab w:val="left" w:pos="4500"/>
                    </w:tabs>
                    <w:spacing w:line="320" w:lineRule="exac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污水处理设施</w:t>
                  </w:r>
                </w:p>
              </w:tc>
              <w:tc>
                <w:tcPr>
                  <w:tcW w:w="1321" w:type="dxa"/>
                  <w:noWrap w:val="0"/>
                  <w:vAlign w:val="center"/>
                </w:tcPr>
                <w:p>
                  <w:pPr>
                    <w:pStyle w:val="61"/>
                    <w:tabs>
                      <w:tab w:val="left" w:pos="4500"/>
                    </w:tabs>
                    <w:spacing w:line="32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20m³/d</w:t>
                  </w:r>
                </w:p>
              </w:tc>
              <w:tc>
                <w:tcPr>
                  <w:tcW w:w="1153" w:type="dxa"/>
                  <w:noWrap w:val="0"/>
                  <w:vAlign w:val="center"/>
                </w:tcPr>
                <w:p>
                  <w:pPr>
                    <w:pStyle w:val="61"/>
                    <w:tabs>
                      <w:tab w:val="left" w:pos="4500"/>
                    </w:tabs>
                    <w:spacing w:line="320" w:lineRule="exac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处</w:t>
                  </w:r>
                </w:p>
              </w:tc>
              <w:tc>
                <w:tcPr>
                  <w:tcW w:w="947" w:type="dxa"/>
                  <w:noWrap w:val="0"/>
                  <w:vAlign w:val="center"/>
                </w:tcPr>
                <w:p>
                  <w:pPr>
                    <w:spacing w:line="320" w:lineRule="exact"/>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c>
                <w:tcPr>
                  <w:tcW w:w="1695" w:type="dxa"/>
                  <w:noWrap w:val="0"/>
                  <w:vAlign w:val="center"/>
                </w:tcPr>
                <w:p>
                  <w:pPr>
                    <w:pStyle w:val="61"/>
                    <w:tabs>
                      <w:tab w:val="left" w:pos="4500"/>
                    </w:tabs>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废水处理</w:t>
                  </w:r>
                </w:p>
              </w:tc>
            </w:tr>
          </w:tbl>
          <w:p>
            <w:pPr>
              <w:pStyle w:val="60"/>
              <w:rPr>
                <w:rFonts w:hint="default" w:ascii="Times New Roman" w:hAnsi="Times New Roman"/>
                <w:lang w:val="zh-CN"/>
              </w:rPr>
            </w:pPr>
          </w:p>
          <w:p>
            <w:pPr>
              <w:ind w:firstLine="482"/>
              <w:jc w:val="left"/>
              <w:rPr>
                <w:b/>
                <w:bCs/>
                <w:kern w:val="0"/>
              </w:rPr>
            </w:pPr>
          </w:p>
          <w:p>
            <w:pPr>
              <w:pStyle w:val="66"/>
              <w:ind w:firstLine="482"/>
              <w:rPr>
                <w:rFonts w:hint="default" w:ascii="Times New Roman" w:hAnsi="Times New Roman" w:cs="Times New Roman"/>
                <w:b/>
                <w:bCs/>
              </w:rPr>
            </w:pPr>
            <w:r>
              <w:rPr>
                <w:rFonts w:hint="default" w:ascii="Times New Roman" w:hAnsi="Times New Roman" w:cs="Times New Roman"/>
                <w:b/>
                <w:bCs/>
              </w:rPr>
              <w:t>5、项目主要原辅材料</w:t>
            </w:r>
          </w:p>
          <w:p>
            <w:pPr>
              <w:pStyle w:val="66"/>
              <w:ind w:firstLine="480"/>
              <w:rPr>
                <w:rFonts w:hint="default" w:ascii="Times New Roman" w:hAnsi="Times New Roman" w:cs="Times New Roman"/>
                <w:lang w:val="zh-CN"/>
              </w:rPr>
            </w:pPr>
            <w:r>
              <w:rPr>
                <w:rFonts w:hint="default" w:ascii="Times New Roman" w:hAnsi="Times New Roman" w:cs="Times New Roman"/>
              </w:rPr>
              <w:t>本项目主要从事</w:t>
            </w:r>
            <w:r>
              <w:rPr>
                <w:rFonts w:hint="eastAsia" w:ascii="Times New Roman" w:hAnsi="Times New Roman" w:cs="Times New Roman"/>
                <w:lang w:val="en-US" w:eastAsia="zh-CN"/>
              </w:rPr>
              <w:t>塑料框和废塑料造粒回收生产，其中塑料框原料主要为PP、PE塑料颗粒和碳酸钙，废塑料回收生产线主要原料为外购的废塑料瓶。项目具体原辅材料如下</w:t>
            </w:r>
            <w:r>
              <w:rPr>
                <w:rFonts w:hint="default" w:ascii="Times New Roman" w:hAnsi="Times New Roman" w:cs="Times New Roman"/>
              </w:rPr>
              <w:t>表。</w:t>
            </w:r>
          </w:p>
          <w:p>
            <w:pPr>
              <w:pStyle w:val="60"/>
              <w:rPr>
                <w:rFonts w:ascii="Times New Roman" w:hAnsi="Times New Roman"/>
                <w:lang w:val="zh-CN"/>
              </w:rPr>
            </w:pPr>
            <w:r>
              <w:rPr>
                <w:rFonts w:hint="default" w:ascii="Times New Roman" w:hAnsi="Times New Roman"/>
                <w:lang w:val="zh-CN"/>
              </w:rPr>
              <w:t>表</w:t>
            </w:r>
            <w:r>
              <w:rPr>
                <w:rFonts w:hint="default" w:ascii="Times New Roman" w:hAnsi="Times New Roman"/>
              </w:rPr>
              <w:t xml:space="preserve">2-3  </w:t>
            </w:r>
            <w:r>
              <w:rPr>
                <w:rFonts w:hint="default" w:ascii="Times New Roman" w:hAnsi="Times New Roman"/>
                <w:lang w:val="zh-CN"/>
              </w:rPr>
              <w:t>主要原材料</w:t>
            </w:r>
            <w:r>
              <w:rPr>
                <w:rFonts w:ascii="Times New Roman" w:hAnsi="Times New Roman"/>
                <w:lang w:val="zh-CN"/>
              </w:rPr>
              <w:t>清单</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2"/>
              <w:gridCol w:w="1071"/>
              <w:gridCol w:w="860"/>
              <w:gridCol w:w="744"/>
              <w:gridCol w:w="942"/>
              <w:gridCol w:w="864"/>
              <w:gridCol w:w="878"/>
              <w:gridCol w:w="825"/>
              <w:gridCol w:w="10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442" w:type="dxa"/>
                  <w:vMerge w:val="restart"/>
                  <w:noWrap w:val="0"/>
                  <w:vAlign w:val="center"/>
                </w:tcPr>
                <w:p>
                  <w:pPr>
                    <w:widowControl/>
                    <w:jc w:val="center"/>
                    <w:textAlignment w:val="center"/>
                    <w:rPr>
                      <w:sz w:val="22"/>
                      <w:szCs w:val="22"/>
                    </w:rPr>
                  </w:pPr>
                  <w:r>
                    <w:rPr>
                      <w:kern w:val="0"/>
                      <w:sz w:val="22"/>
                      <w:szCs w:val="22"/>
                      <w:lang w:bidi="ar"/>
                    </w:rPr>
                    <w:t>类别</w:t>
                  </w:r>
                </w:p>
              </w:tc>
              <w:tc>
                <w:tcPr>
                  <w:tcW w:w="1071" w:type="dxa"/>
                  <w:vMerge w:val="restart"/>
                  <w:noWrap w:val="0"/>
                  <w:vAlign w:val="center"/>
                </w:tcPr>
                <w:p>
                  <w:pPr>
                    <w:widowControl/>
                    <w:jc w:val="center"/>
                    <w:textAlignment w:val="center"/>
                    <w:rPr>
                      <w:sz w:val="22"/>
                      <w:szCs w:val="22"/>
                    </w:rPr>
                  </w:pPr>
                  <w:r>
                    <w:rPr>
                      <w:kern w:val="0"/>
                      <w:sz w:val="22"/>
                      <w:szCs w:val="22"/>
                      <w:lang w:bidi="ar"/>
                    </w:rPr>
                    <w:t>名称</w:t>
                  </w:r>
                </w:p>
              </w:tc>
              <w:tc>
                <w:tcPr>
                  <w:tcW w:w="860" w:type="dxa"/>
                  <w:vMerge w:val="restart"/>
                  <w:noWrap w:val="0"/>
                  <w:vAlign w:val="center"/>
                </w:tcPr>
                <w:p>
                  <w:pPr>
                    <w:widowControl/>
                    <w:jc w:val="center"/>
                    <w:textAlignment w:val="center"/>
                    <w:rPr>
                      <w:rFonts w:hint="eastAsia" w:eastAsia="宋体"/>
                      <w:sz w:val="22"/>
                      <w:szCs w:val="22"/>
                      <w:lang w:eastAsia="zh-CN"/>
                    </w:rPr>
                  </w:pPr>
                  <w:r>
                    <w:rPr>
                      <w:kern w:val="0"/>
                      <w:sz w:val="22"/>
                      <w:szCs w:val="22"/>
                      <w:lang w:bidi="ar"/>
                    </w:rPr>
                    <w:t>年消耗量</w:t>
                  </w:r>
                  <w:r>
                    <w:rPr>
                      <w:rFonts w:hint="eastAsia"/>
                      <w:kern w:val="0"/>
                      <w:sz w:val="22"/>
                      <w:szCs w:val="22"/>
                      <w:lang w:eastAsia="zh-CN" w:bidi="ar"/>
                    </w:rPr>
                    <w:t>（</w:t>
                  </w:r>
                  <w:r>
                    <w:rPr>
                      <w:rFonts w:hint="eastAsia"/>
                      <w:kern w:val="0"/>
                      <w:sz w:val="22"/>
                      <w:szCs w:val="22"/>
                      <w:lang w:val="en-US" w:eastAsia="zh-CN" w:bidi="ar"/>
                    </w:rPr>
                    <w:t>t/a</w:t>
                  </w:r>
                  <w:r>
                    <w:rPr>
                      <w:rFonts w:hint="eastAsia"/>
                      <w:kern w:val="0"/>
                      <w:sz w:val="22"/>
                      <w:szCs w:val="22"/>
                      <w:lang w:eastAsia="zh-CN" w:bidi="ar"/>
                    </w:rPr>
                    <w:t>）</w:t>
                  </w:r>
                </w:p>
              </w:tc>
              <w:tc>
                <w:tcPr>
                  <w:tcW w:w="744" w:type="dxa"/>
                  <w:vMerge w:val="restart"/>
                  <w:noWrap w:val="0"/>
                  <w:vAlign w:val="center"/>
                </w:tcPr>
                <w:p>
                  <w:pPr>
                    <w:widowControl/>
                    <w:jc w:val="center"/>
                    <w:textAlignment w:val="center"/>
                    <w:rPr>
                      <w:sz w:val="22"/>
                      <w:szCs w:val="22"/>
                    </w:rPr>
                  </w:pPr>
                  <w:r>
                    <w:rPr>
                      <w:kern w:val="0"/>
                      <w:sz w:val="22"/>
                      <w:szCs w:val="22"/>
                      <w:lang w:bidi="ar"/>
                    </w:rPr>
                    <w:t>包装形式</w:t>
                  </w:r>
                </w:p>
              </w:tc>
              <w:tc>
                <w:tcPr>
                  <w:tcW w:w="942" w:type="dxa"/>
                  <w:vMerge w:val="restart"/>
                  <w:noWrap w:val="0"/>
                  <w:vAlign w:val="center"/>
                </w:tcPr>
                <w:p>
                  <w:pPr>
                    <w:widowControl/>
                    <w:jc w:val="center"/>
                    <w:textAlignment w:val="center"/>
                    <w:rPr>
                      <w:sz w:val="22"/>
                      <w:szCs w:val="22"/>
                    </w:rPr>
                  </w:pPr>
                  <w:r>
                    <w:rPr>
                      <w:kern w:val="0"/>
                      <w:sz w:val="22"/>
                      <w:szCs w:val="22"/>
                      <w:lang w:bidi="ar"/>
                    </w:rPr>
                    <w:t>规格</w:t>
                  </w:r>
                </w:p>
              </w:tc>
              <w:tc>
                <w:tcPr>
                  <w:tcW w:w="864" w:type="dxa"/>
                  <w:vMerge w:val="restart"/>
                  <w:noWrap w:val="0"/>
                  <w:vAlign w:val="center"/>
                </w:tcPr>
                <w:p>
                  <w:pPr>
                    <w:widowControl/>
                    <w:jc w:val="center"/>
                    <w:textAlignment w:val="center"/>
                    <w:rPr>
                      <w:sz w:val="22"/>
                      <w:szCs w:val="22"/>
                    </w:rPr>
                  </w:pPr>
                  <w:r>
                    <w:rPr>
                      <w:kern w:val="0"/>
                      <w:sz w:val="22"/>
                      <w:szCs w:val="22"/>
                      <w:lang w:bidi="ar"/>
                    </w:rPr>
                    <w:t>形态</w:t>
                  </w:r>
                </w:p>
              </w:tc>
              <w:tc>
                <w:tcPr>
                  <w:tcW w:w="878" w:type="dxa"/>
                  <w:vMerge w:val="restart"/>
                  <w:noWrap w:val="0"/>
                  <w:vAlign w:val="center"/>
                </w:tcPr>
                <w:p>
                  <w:pPr>
                    <w:widowControl/>
                    <w:jc w:val="center"/>
                    <w:textAlignment w:val="center"/>
                    <w:rPr>
                      <w:sz w:val="22"/>
                      <w:szCs w:val="22"/>
                    </w:rPr>
                  </w:pPr>
                  <w:r>
                    <w:rPr>
                      <w:kern w:val="0"/>
                      <w:sz w:val="22"/>
                      <w:szCs w:val="22"/>
                      <w:lang w:bidi="ar"/>
                    </w:rPr>
                    <w:t>存放位置</w:t>
                  </w:r>
                </w:p>
              </w:tc>
              <w:tc>
                <w:tcPr>
                  <w:tcW w:w="825" w:type="dxa"/>
                  <w:vMerge w:val="restart"/>
                  <w:noWrap w:val="0"/>
                  <w:vAlign w:val="center"/>
                </w:tcPr>
                <w:p>
                  <w:pPr>
                    <w:widowControl/>
                    <w:jc w:val="center"/>
                    <w:textAlignment w:val="center"/>
                    <w:rPr>
                      <w:sz w:val="22"/>
                      <w:szCs w:val="22"/>
                    </w:rPr>
                  </w:pPr>
                  <w:r>
                    <w:rPr>
                      <w:kern w:val="0"/>
                      <w:sz w:val="22"/>
                      <w:szCs w:val="22"/>
                      <w:lang w:bidi="ar"/>
                    </w:rPr>
                    <w:t>最大存量</w:t>
                  </w:r>
                </w:p>
              </w:tc>
              <w:tc>
                <w:tcPr>
                  <w:tcW w:w="1010" w:type="dxa"/>
                  <w:vMerge w:val="restart"/>
                  <w:noWrap w:val="0"/>
                  <w:vAlign w:val="center"/>
                </w:tcPr>
                <w:p>
                  <w:pPr>
                    <w:widowControl/>
                    <w:jc w:val="center"/>
                    <w:textAlignment w:val="center"/>
                    <w:rPr>
                      <w:rFonts w:hint="eastAsia" w:eastAsia="宋体"/>
                      <w:sz w:val="22"/>
                      <w:szCs w:val="22"/>
                      <w:lang w:eastAsia="zh-CN"/>
                    </w:rPr>
                  </w:pPr>
                  <w:r>
                    <w:rPr>
                      <w:rFonts w:hint="eastAsia"/>
                      <w:kern w:val="0"/>
                      <w:sz w:val="22"/>
                      <w:szCs w:val="22"/>
                      <w:lang w:val="en-US" w:eastAsia="zh-CN" w:bidi="ar"/>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442" w:type="dxa"/>
                  <w:vMerge w:val="continue"/>
                  <w:noWrap w:val="0"/>
                  <w:vAlign w:val="center"/>
                </w:tcPr>
                <w:p>
                  <w:pPr>
                    <w:jc w:val="center"/>
                    <w:rPr>
                      <w:b/>
                      <w:bCs/>
                      <w:sz w:val="22"/>
                      <w:szCs w:val="22"/>
                    </w:rPr>
                  </w:pPr>
                </w:p>
              </w:tc>
              <w:tc>
                <w:tcPr>
                  <w:tcW w:w="1071" w:type="dxa"/>
                  <w:vMerge w:val="continue"/>
                  <w:noWrap w:val="0"/>
                  <w:vAlign w:val="center"/>
                </w:tcPr>
                <w:p>
                  <w:pPr>
                    <w:jc w:val="center"/>
                    <w:rPr>
                      <w:b/>
                      <w:bCs/>
                      <w:sz w:val="22"/>
                      <w:szCs w:val="22"/>
                    </w:rPr>
                  </w:pPr>
                </w:p>
              </w:tc>
              <w:tc>
                <w:tcPr>
                  <w:tcW w:w="860" w:type="dxa"/>
                  <w:vMerge w:val="continue"/>
                  <w:noWrap w:val="0"/>
                  <w:vAlign w:val="center"/>
                </w:tcPr>
                <w:p>
                  <w:pPr>
                    <w:jc w:val="center"/>
                    <w:rPr>
                      <w:b/>
                      <w:bCs/>
                      <w:sz w:val="22"/>
                      <w:szCs w:val="22"/>
                    </w:rPr>
                  </w:pPr>
                </w:p>
              </w:tc>
              <w:tc>
                <w:tcPr>
                  <w:tcW w:w="744" w:type="dxa"/>
                  <w:vMerge w:val="continue"/>
                  <w:noWrap w:val="0"/>
                  <w:vAlign w:val="center"/>
                </w:tcPr>
                <w:p>
                  <w:pPr>
                    <w:jc w:val="center"/>
                    <w:rPr>
                      <w:sz w:val="22"/>
                      <w:szCs w:val="22"/>
                    </w:rPr>
                  </w:pPr>
                </w:p>
              </w:tc>
              <w:tc>
                <w:tcPr>
                  <w:tcW w:w="942" w:type="dxa"/>
                  <w:vMerge w:val="continue"/>
                  <w:noWrap w:val="0"/>
                  <w:vAlign w:val="center"/>
                </w:tcPr>
                <w:p>
                  <w:pPr>
                    <w:jc w:val="center"/>
                    <w:rPr>
                      <w:sz w:val="22"/>
                      <w:szCs w:val="22"/>
                    </w:rPr>
                  </w:pPr>
                </w:p>
              </w:tc>
              <w:tc>
                <w:tcPr>
                  <w:tcW w:w="864" w:type="dxa"/>
                  <w:vMerge w:val="continue"/>
                  <w:noWrap w:val="0"/>
                  <w:vAlign w:val="center"/>
                </w:tcPr>
                <w:p>
                  <w:pPr>
                    <w:jc w:val="center"/>
                    <w:rPr>
                      <w:sz w:val="22"/>
                      <w:szCs w:val="22"/>
                    </w:rPr>
                  </w:pPr>
                </w:p>
              </w:tc>
              <w:tc>
                <w:tcPr>
                  <w:tcW w:w="878" w:type="dxa"/>
                  <w:vMerge w:val="continue"/>
                  <w:noWrap w:val="0"/>
                  <w:vAlign w:val="center"/>
                </w:tcPr>
                <w:p>
                  <w:pPr>
                    <w:jc w:val="center"/>
                    <w:rPr>
                      <w:sz w:val="22"/>
                      <w:szCs w:val="22"/>
                    </w:rPr>
                  </w:pPr>
                </w:p>
              </w:tc>
              <w:tc>
                <w:tcPr>
                  <w:tcW w:w="825" w:type="dxa"/>
                  <w:vMerge w:val="continue"/>
                  <w:noWrap w:val="0"/>
                  <w:vAlign w:val="center"/>
                </w:tcPr>
                <w:p>
                  <w:pPr>
                    <w:jc w:val="center"/>
                    <w:rPr>
                      <w:sz w:val="22"/>
                      <w:szCs w:val="22"/>
                    </w:rPr>
                  </w:pPr>
                </w:p>
              </w:tc>
              <w:tc>
                <w:tcPr>
                  <w:tcW w:w="1010" w:type="dxa"/>
                  <w:vMerge w:val="continue"/>
                  <w:noWrap w:val="0"/>
                  <w:vAlign w:val="center"/>
                </w:tcPr>
                <w:p>
                  <w:pPr>
                    <w:jc w:val="center"/>
                    <w:rPr>
                      <w:b/>
                      <w:bCs/>
                      <w:sz w:val="22"/>
                      <w:szCs w:val="22"/>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442" w:type="dxa"/>
                  <w:vMerge w:val="restart"/>
                  <w:noWrap w:val="0"/>
                  <w:vAlign w:val="center"/>
                </w:tcPr>
                <w:p>
                  <w:pPr>
                    <w:widowControl/>
                    <w:jc w:val="center"/>
                    <w:textAlignment w:val="center"/>
                    <w:rPr>
                      <w:sz w:val="22"/>
                      <w:szCs w:val="22"/>
                    </w:rPr>
                  </w:pPr>
                  <w:r>
                    <w:rPr>
                      <w:kern w:val="0"/>
                      <w:sz w:val="22"/>
                      <w:szCs w:val="22"/>
                      <w:lang w:bidi="ar"/>
                    </w:rPr>
                    <w:t>原材料</w:t>
                  </w:r>
                </w:p>
              </w:tc>
              <w:tc>
                <w:tcPr>
                  <w:tcW w:w="10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4"/>
                      <w:highlight w:val="none"/>
                    </w:rPr>
                    <w:t>聚乙烯</w:t>
                  </w:r>
                  <w:r>
                    <w:rPr>
                      <w:rFonts w:hint="eastAsia" w:ascii="Times New Roman" w:hAnsi="Times New Roman" w:cs="Times New Roman"/>
                      <w:color w:val="auto"/>
                      <w:szCs w:val="24"/>
                      <w:highlight w:val="none"/>
                      <w:lang w:eastAsia="zh-CN"/>
                    </w:rPr>
                    <w:t>（</w:t>
                  </w:r>
                  <w:r>
                    <w:rPr>
                      <w:rFonts w:hint="eastAsia" w:ascii="Times New Roman" w:hAnsi="Times New Roman" w:eastAsia="宋体" w:cs="Times New Roman"/>
                      <w:i w:val="0"/>
                      <w:iCs w:val="0"/>
                      <w:color w:val="auto"/>
                      <w:kern w:val="0"/>
                      <w:sz w:val="21"/>
                      <w:szCs w:val="21"/>
                      <w:u w:val="none"/>
                      <w:lang w:val="en-US" w:eastAsia="zh-CN" w:bidi="ar"/>
                    </w:rPr>
                    <w:t>PE</w:t>
                  </w:r>
                  <w:r>
                    <w:rPr>
                      <w:rFonts w:hint="eastAsia" w:ascii="Times New Roman" w:hAnsi="Times New Roman" w:cs="Times New Roman"/>
                      <w:color w:val="auto"/>
                      <w:szCs w:val="24"/>
                      <w:highlight w:val="none"/>
                      <w:lang w:eastAsia="zh-CN"/>
                    </w:rPr>
                    <w:t>）</w:t>
                  </w:r>
                  <w:r>
                    <w:rPr>
                      <w:rFonts w:hint="eastAsia" w:ascii="Times New Roman" w:hAnsi="Times New Roman" w:eastAsia="宋体" w:cs="Times New Roman"/>
                      <w:i w:val="0"/>
                      <w:iCs w:val="0"/>
                      <w:color w:val="auto"/>
                      <w:kern w:val="0"/>
                      <w:sz w:val="21"/>
                      <w:szCs w:val="21"/>
                      <w:u w:val="none"/>
                      <w:lang w:val="en-US" w:eastAsia="zh-CN" w:bidi="ar"/>
                    </w:rPr>
                    <w:t>颗粒</w:t>
                  </w:r>
                </w:p>
              </w:tc>
              <w:tc>
                <w:tcPr>
                  <w:tcW w:w="8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sz w:val="22"/>
                      <w:szCs w:val="22"/>
                      <w:lang w:val="en-US" w:eastAsia="zh-CN"/>
                    </w:rPr>
                  </w:pPr>
                  <w:r>
                    <w:rPr>
                      <w:rFonts w:hint="eastAsia" w:cs="Times New Roman"/>
                      <w:i w:val="0"/>
                      <w:iCs w:val="0"/>
                      <w:color w:val="auto"/>
                      <w:sz w:val="21"/>
                      <w:szCs w:val="21"/>
                      <w:u w:val="none"/>
                      <w:lang w:val="en-US" w:eastAsia="zh-CN"/>
                    </w:rPr>
                    <w:t>750</w:t>
                  </w:r>
                </w:p>
              </w:tc>
              <w:tc>
                <w:tcPr>
                  <w:tcW w:w="74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sz w:val="22"/>
                      <w:szCs w:val="22"/>
                      <w:lang w:val="en-US" w:eastAsia="zh-CN"/>
                    </w:rPr>
                  </w:pPr>
                  <w:r>
                    <w:rPr>
                      <w:rFonts w:hint="eastAsia" w:ascii="Times New Roman" w:hAnsi="Times New Roman" w:eastAsia="宋体" w:cs="Times New Roman"/>
                      <w:i w:val="0"/>
                      <w:iCs w:val="0"/>
                      <w:color w:val="auto"/>
                      <w:kern w:val="0"/>
                      <w:sz w:val="21"/>
                      <w:szCs w:val="21"/>
                      <w:u w:val="none"/>
                      <w:lang w:val="en-US" w:eastAsia="zh-CN" w:bidi="ar"/>
                    </w:rPr>
                    <w:t>袋装</w:t>
                  </w:r>
                </w:p>
              </w:tc>
              <w:tc>
                <w:tcPr>
                  <w:tcW w:w="9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sz w:val="22"/>
                      <w:szCs w:val="22"/>
                      <w:lang w:val="en-US" w:eastAsia="zh-CN"/>
                    </w:rPr>
                  </w:pPr>
                  <w:r>
                    <w:rPr>
                      <w:rFonts w:hint="eastAsia" w:ascii="Times New Roman" w:hAnsi="Times New Roman" w:eastAsia="宋体" w:cs="Times New Roman"/>
                      <w:i w:val="0"/>
                      <w:iCs w:val="0"/>
                      <w:color w:val="auto"/>
                      <w:kern w:val="0"/>
                      <w:sz w:val="21"/>
                      <w:szCs w:val="21"/>
                      <w:u w:val="none"/>
                      <w:lang w:val="en-US" w:eastAsia="zh-CN" w:bidi="ar"/>
                    </w:rPr>
                    <w:t>25kg/袋</w:t>
                  </w:r>
                </w:p>
              </w:tc>
              <w:tc>
                <w:tcPr>
                  <w:tcW w:w="86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rPr>
                  </w:pPr>
                  <w:r>
                    <w:rPr>
                      <w:rFonts w:hint="eastAsia" w:ascii="Times New Roman" w:hAnsi="Times New Roman" w:eastAsia="宋体" w:cs="Times New Roman"/>
                      <w:i w:val="0"/>
                      <w:iCs w:val="0"/>
                      <w:color w:val="auto"/>
                      <w:kern w:val="0"/>
                      <w:sz w:val="21"/>
                      <w:szCs w:val="21"/>
                      <w:u w:val="none"/>
                      <w:lang w:val="en-US" w:eastAsia="zh-CN" w:bidi="ar"/>
                    </w:rPr>
                    <w:t>颗粒</w:t>
                  </w:r>
                </w:p>
              </w:tc>
              <w:tc>
                <w:tcPr>
                  <w:tcW w:w="8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default" w:eastAsia="宋体"/>
                      <w:sz w:val="22"/>
                      <w:szCs w:val="22"/>
                      <w:lang w:val="en-US" w:eastAsia="zh-CN"/>
                    </w:rPr>
                  </w:pPr>
                  <w:r>
                    <w:rPr>
                      <w:rFonts w:hint="eastAsia"/>
                      <w:sz w:val="22"/>
                      <w:szCs w:val="22"/>
                      <w:lang w:val="en-US" w:eastAsia="zh-CN"/>
                    </w:rPr>
                    <w:t>100t</w:t>
                  </w:r>
                </w:p>
              </w:tc>
              <w:tc>
                <w:tcPr>
                  <w:tcW w:w="1010" w:type="dxa"/>
                  <w:noWrap w:val="0"/>
                  <w:vAlign w:val="center"/>
                </w:tcPr>
                <w:p>
                  <w:pPr>
                    <w:pStyle w:val="2"/>
                    <w:jc w:val="center"/>
                    <w:rPr>
                      <w:rFonts w:hint="default" w:eastAsia="宋体"/>
                      <w:kern w:val="2"/>
                      <w:sz w:val="22"/>
                      <w:szCs w:val="22"/>
                      <w:lang w:val="en-US" w:eastAsia="zh-CN"/>
                    </w:rPr>
                  </w:pPr>
                  <w:r>
                    <w:rPr>
                      <w:rFonts w:hint="eastAsia"/>
                      <w:kern w:val="2"/>
                      <w:sz w:val="22"/>
                      <w:szCs w:val="22"/>
                      <w:lang w:val="en-US" w:eastAsia="zh-CN"/>
                    </w:rPr>
                    <w:t>外购新料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442" w:type="dxa"/>
                  <w:vMerge w:val="continue"/>
                  <w:noWrap w:val="0"/>
                  <w:vAlign w:val="center"/>
                </w:tcPr>
                <w:p>
                  <w:pPr>
                    <w:widowControl/>
                    <w:jc w:val="center"/>
                    <w:textAlignment w:val="center"/>
                    <w:rPr>
                      <w:kern w:val="0"/>
                      <w:sz w:val="22"/>
                      <w:szCs w:val="22"/>
                      <w:lang w:bidi="ar"/>
                    </w:rPr>
                  </w:pPr>
                </w:p>
              </w:tc>
              <w:tc>
                <w:tcPr>
                  <w:tcW w:w="10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auto"/>
                      <w:sz w:val="21"/>
                      <w:szCs w:val="21"/>
                      <w:u w:val="none"/>
                      <w:lang w:val="en-US" w:eastAsia="zh-CN"/>
                    </w:rPr>
                    <w:t>聚丙烯（PP）</w:t>
                  </w:r>
                  <w:r>
                    <w:rPr>
                      <w:rFonts w:hint="eastAsia" w:ascii="Times New Roman" w:hAnsi="Times New Roman" w:eastAsia="宋体" w:cs="Times New Roman"/>
                      <w:i w:val="0"/>
                      <w:iCs w:val="0"/>
                      <w:color w:val="auto"/>
                      <w:kern w:val="0"/>
                      <w:sz w:val="21"/>
                      <w:szCs w:val="21"/>
                      <w:u w:val="none"/>
                      <w:lang w:val="en-US" w:eastAsia="zh-CN" w:bidi="ar"/>
                    </w:rPr>
                    <w:t>颗粒</w:t>
                  </w:r>
                </w:p>
              </w:tc>
              <w:tc>
                <w:tcPr>
                  <w:tcW w:w="8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sz w:val="22"/>
                      <w:szCs w:val="22"/>
                      <w:lang w:val="en-US" w:eastAsia="zh-CN"/>
                    </w:rPr>
                  </w:pPr>
                  <w:r>
                    <w:rPr>
                      <w:rFonts w:hint="eastAsia" w:cs="Times New Roman"/>
                      <w:i w:val="0"/>
                      <w:iCs w:val="0"/>
                      <w:color w:val="auto"/>
                      <w:sz w:val="21"/>
                      <w:szCs w:val="21"/>
                      <w:u w:val="none"/>
                      <w:lang w:val="en-US" w:eastAsia="zh-CN"/>
                    </w:rPr>
                    <w:t>750</w:t>
                  </w:r>
                </w:p>
              </w:tc>
              <w:tc>
                <w:tcPr>
                  <w:tcW w:w="74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lang w:val="en-US" w:eastAsia="zh-CN"/>
                    </w:rPr>
                  </w:pPr>
                  <w:r>
                    <w:rPr>
                      <w:rFonts w:hint="eastAsia" w:ascii="Times New Roman" w:hAnsi="Times New Roman" w:eastAsia="宋体" w:cs="Times New Roman"/>
                      <w:i w:val="0"/>
                      <w:iCs w:val="0"/>
                      <w:color w:val="auto"/>
                      <w:kern w:val="0"/>
                      <w:sz w:val="21"/>
                      <w:szCs w:val="21"/>
                      <w:u w:val="none"/>
                      <w:lang w:val="en-US" w:eastAsia="zh-CN" w:bidi="ar"/>
                    </w:rPr>
                    <w:t>袋装</w:t>
                  </w:r>
                </w:p>
              </w:tc>
              <w:tc>
                <w:tcPr>
                  <w:tcW w:w="9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lang w:val="en-US" w:eastAsia="zh-CN"/>
                    </w:rPr>
                  </w:pPr>
                  <w:r>
                    <w:rPr>
                      <w:rFonts w:hint="eastAsia" w:ascii="Times New Roman" w:hAnsi="Times New Roman" w:eastAsia="宋体" w:cs="Times New Roman"/>
                      <w:i w:val="0"/>
                      <w:iCs w:val="0"/>
                      <w:color w:val="auto"/>
                      <w:kern w:val="0"/>
                      <w:sz w:val="21"/>
                      <w:szCs w:val="21"/>
                      <w:u w:val="none"/>
                      <w:lang w:val="en-US" w:eastAsia="zh-CN" w:bidi="ar"/>
                    </w:rPr>
                    <w:t>25kg/袋</w:t>
                  </w:r>
                </w:p>
              </w:tc>
              <w:tc>
                <w:tcPr>
                  <w:tcW w:w="86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kern w:val="0"/>
                      <w:sz w:val="22"/>
                      <w:szCs w:val="22"/>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颗粒</w:t>
                  </w:r>
                </w:p>
              </w:tc>
              <w:tc>
                <w:tcPr>
                  <w:tcW w:w="8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lang w:val="en-US" w:eastAsia="zh-CN"/>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eastAsia"/>
                      <w:sz w:val="22"/>
                      <w:szCs w:val="22"/>
                      <w:lang w:val="en-US" w:eastAsia="zh-CN"/>
                    </w:rPr>
                  </w:pPr>
                  <w:r>
                    <w:rPr>
                      <w:rFonts w:hint="eastAsia"/>
                      <w:sz w:val="22"/>
                      <w:szCs w:val="22"/>
                      <w:lang w:val="en-US" w:eastAsia="zh-CN"/>
                    </w:rPr>
                    <w:t>100t</w:t>
                  </w:r>
                </w:p>
              </w:tc>
              <w:tc>
                <w:tcPr>
                  <w:tcW w:w="1010" w:type="dxa"/>
                  <w:noWrap w:val="0"/>
                  <w:vAlign w:val="center"/>
                </w:tcPr>
                <w:p>
                  <w:pPr>
                    <w:pStyle w:val="2"/>
                    <w:ind w:right="113" w:rightChars="0"/>
                    <w:jc w:val="center"/>
                    <w:rPr>
                      <w:rFonts w:hint="eastAsia"/>
                      <w:kern w:val="2"/>
                      <w:sz w:val="22"/>
                      <w:szCs w:val="22"/>
                      <w:lang w:val="en-US" w:eastAsia="zh-CN"/>
                    </w:rPr>
                  </w:pPr>
                  <w:r>
                    <w:rPr>
                      <w:rFonts w:hint="eastAsia"/>
                      <w:kern w:val="2"/>
                      <w:sz w:val="22"/>
                      <w:szCs w:val="22"/>
                      <w:lang w:val="en-US" w:eastAsia="zh-CN"/>
                    </w:rPr>
                    <w:t>外购新料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1" w:hRule="atLeast"/>
                <w:jc w:val="center"/>
              </w:trPr>
              <w:tc>
                <w:tcPr>
                  <w:tcW w:w="442" w:type="dxa"/>
                  <w:vMerge w:val="continue"/>
                  <w:noWrap w:val="0"/>
                  <w:vAlign w:val="center"/>
                </w:tcPr>
                <w:p>
                  <w:pPr>
                    <w:widowControl/>
                    <w:jc w:val="center"/>
                    <w:textAlignment w:val="center"/>
                    <w:rPr>
                      <w:kern w:val="0"/>
                      <w:sz w:val="22"/>
                      <w:szCs w:val="22"/>
                      <w:lang w:bidi="ar"/>
                    </w:rPr>
                  </w:pPr>
                </w:p>
              </w:tc>
              <w:tc>
                <w:tcPr>
                  <w:tcW w:w="107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色粉</w:t>
                  </w:r>
                </w:p>
              </w:tc>
              <w:tc>
                <w:tcPr>
                  <w:tcW w:w="86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0.5</w:t>
                  </w:r>
                </w:p>
              </w:tc>
              <w:tc>
                <w:tcPr>
                  <w:tcW w:w="74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袋装</w:t>
                  </w:r>
                </w:p>
              </w:tc>
              <w:tc>
                <w:tcPr>
                  <w:tcW w:w="9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1kg/袋</w:t>
                  </w:r>
                </w:p>
              </w:tc>
              <w:tc>
                <w:tcPr>
                  <w:tcW w:w="86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粉末</w:t>
                  </w:r>
                </w:p>
              </w:tc>
              <w:tc>
                <w:tcPr>
                  <w:tcW w:w="8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eastAsia"/>
                      <w:sz w:val="22"/>
                      <w:szCs w:val="22"/>
                      <w:lang w:val="en-US" w:eastAsia="zh-CN"/>
                    </w:rPr>
                  </w:pPr>
                  <w:r>
                    <w:rPr>
                      <w:rFonts w:hint="eastAsia"/>
                      <w:sz w:val="22"/>
                      <w:szCs w:val="22"/>
                      <w:lang w:val="en-US" w:eastAsia="zh-CN"/>
                    </w:rPr>
                    <w:t>0.5t</w:t>
                  </w:r>
                </w:p>
              </w:tc>
              <w:tc>
                <w:tcPr>
                  <w:tcW w:w="1010" w:type="dxa"/>
                  <w:noWrap w:val="0"/>
                  <w:vAlign w:val="center"/>
                </w:tcPr>
                <w:p>
                  <w:pPr>
                    <w:jc w:val="center"/>
                    <w:rPr>
                      <w:rFonts w:hint="eastAsia"/>
                      <w:kern w:val="2"/>
                      <w:sz w:val="22"/>
                      <w:szCs w:val="22"/>
                      <w:lang w:val="en-US" w:eastAsia="zh-CN"/>
                    </w:rPr>
                  </w:pPr>
                  <w:r>
                    <w:rPr>
                      <w:rFonts w:hint="eastAsia"/>
                      <w:kern w:val="2"/>
                      <w:sz w:val="22"/>
                      <w:szCs w:val="22"/>
                      <w:lang w:val="en-US" w:eastAsia="zh-CN"/>
                    </w:rPr>
                    <w:t>外购新料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1" w:hRule="atLeast"/>
                <w:jc w:val="center"/>
              </w:trPr>
              <w:tc>
                <w:tcPr>
                  <w:tcW w:w="442" w:type="dxa"/>
                  <w:vMerge w:val="continue"/>
                  <w:noWrap w:val="0"/>
                  <w:vAlign w:val="center"/>
                </w:tcPr>
                <w:p>
                  <w:pPr>
                    <w:widowControl/>
                    <w:jc w:val="center"/>
                    <w:textAlignment w:val="center"/>
                    <w:rPr>
                      <w:kern w:val="0"/>
                      <w:sz w:val="22"/>
                      <w:szCs w:val="22"/>
                      <w:lang w:bidi="ar"/>
                    </w:rPr>
                  </w:pPr>
                </w:p>
              </w:tc>
              <w:tc>
                <w:tcPr>
                  <w:tcW w:w="1071" w:type="dxa"/>
                  <w:noWrap w:val="0"/>
                  <w:vAlign w:val="center"/>
                </w:tcPr>
                <w:p>
                  <w:pPr>
                    <w:pStyle w:val="61"/>
                    <w:tabs>
                      <w:tab w:val="left" w:pos="4500"/>
                    </w:tabs>
                    <w:spacing w:line="320" w:lineRule="exac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auto"/>
                      <w:sz w:val="21"/>
                      <w:szCs w:val="21"/>
                      <w:u w:val="none"/>
                      <w:lang w:eastAsia="zh-CN"/>
                    </w:rPr>
                    <w:t>碳酸钙</w:t>
                  </w:r>
                </w:p>
              </w:tc>
              <w:tc>
                <w:tcPr>
                  <w:tcW w:w="860" w:type="dxa"/>
                  <w:noWrap w:val="0"/>
                  <w:vAlign w:val="center"/>
                </w:tcPr>
                <w:p>
                  <w:pPr>
                    <w:pStyle w:val="61"/>
                    <w:tabs>
                      <w:tab w:val="left" w:pos="4500"/>
                    </w:tabs>
                    <w:spacing w:line="320" w:lineRule="exact"/>
                    <w:rPr>
                      <w:rFonts w:hint="default" w:eastAsia="宋体"/>
                      <w:sz w:val="22"/>
                      <w:szCs w:val="22"/>
                      <w:lang w:val="en-US" w:eastAsia="zh-CN"/>
                    </w:rPr>
                  </w:pPr>
                  <w:r>
                    <w:rPr>
                      <w:rFonts w:hint="eastAsia" w:cs="Times New Roman"/>
                      <w:sz w:val="22"/>
                      <w:szCs w:val="22"/>
                      <w:lang w:val="en-US" w:eastAsia="zh-CN"/>
                    </w:rPr>
                    <w:t>35</w:t>
                  </w:r>
                  <w:r>
                    <w:rPr>
                      <w:rFonts w:hint="eastAsia" w:hAnsi="Times New Roman" w:cs="Times New Roman"/>
                      <w:sz w:val="22"/>
                      <w:szCs w:val="22"/>
                      <w:lang w:val="en-US" w:eastAsia="zh-CN"/>
                    </w:rPr>
                    <w:t>00</w:t>
                  </w:r>
                </w:p>
              </w:tc>
              <w:tc>
                <w:tcPr>
                  <w:tcW w:w="74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rPr>
                  </w:pPr>
                  <w:r>
                    <w:rPr>
                      <w:rFonts w:hint="eastAsia" w:ascii="Times New Roman" w:hAnsi="Times New Roman" w:eastAsia="宋体" w:cs="Times New Roman"/>
                      <w:i w:val="0"/>
                      <w:iCs w:val="0"/>
                      <w:color w:val="auto"/>
                      <w:kern w:val="0"/>
                      <w:sz w:val="21"/>
                      <w:szCs w:val="21"/>
                      <w:u w:val="none"/>
                      <w:lang w:val="en-US" w:eastAsia="zh-CN" w:bidi="ar"/>
                    </w:rPr>
                    <w:t>袋装</w:t>
                  </w:r>
                </w:p>
              </w:tc>
              <w:tc>
                <w:tcPr>
                  <w:tcW w:w="9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sz w:val="22"/>
                      <w:szCs w:val="22"/>
                      <w:lang w:val="en-US" w:eastAsia="zh-CN"/>
                    </w:rPr>
                  </w:pPr>
                  <w:r>
                    <w:rPr>
                      <w:rFonts w:hint="eastAsia" w:ascii="Times New Roman" w:hAnsi="Times New Roman" w:eastAsia="宋体" w:cs="Times New Roman"/>
                      <w:i w:val="0"/>
                      <w:iCs w:val="0"/>
                      <w:color w:val="auto"/>
                      <w:kern w:val="0"/>
                      <w:sz w:val="21"/>
                      <w:szCs w:val="21"/>
                      <w:u w:val="none"/>
                      <w:lang w:val="en-US" w:eastAsia="zh-CN" w:bidi="ar"/>
                    </w:rPr>
                    <w:t>25kg/袋</w:t>
                  </w:r>
                </w:p>
              </w:tc>
              <w:tc>
                <w:tcPr>
                  <w:tcW w:w="86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kern w:val="0"/>
                      <w:sz w:val="22"/>
                      <w:szCs w:val="22"/>
                      <w:lang w:bidi="ar"/>
                    </w:rPr>
                  </w:pPr>
                  <w:r>
                    <w:rPr>
                      <w:rFonts w:hint="eastAsia" w:cs="Times New Roman"/>
                      <w:i w:val="0"/>
                      <w:iCs w:val="0"/>
                      <w:color w:val="auto"/>
                      <w:kern w:val="0"/>
                      <w:sz w:val="21"/>
                      <w:szCs w:val="21"/>
                      <w:u w:val="none"/>
                      <w:lang w:val="en-US" w:eastAsia="zh-CN" w:bidi="ar"/>
                    </w:rPr>
                    <w:t>粉末</w:t>
                  </w:r>
                </w:p>
              </w:tc>
              <w:tc>
                <w:tcPr>
                  <w:tcW w:w="87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2"/>
                      <w:szCs w:val="22"/>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default" w:eastAsia="宋体"/>
                      <w:sz w:val="22"/>
                      <w:szCs w:val="22"/>
                      <w:lang w:val="en-US" w:eastAsia="zh-CN"/>
                    </w:rPr>
                  </w:pPr>
                  <w:r>
                    <w:rPr>
                      <w:rFonts w:hint="eastAsia"/>
                      <w:sz w:val="22"/>
                      <w:szCs w:val="22"/>
                      <w:lang w:val="en-US" w:eastAsia="zh-CN"/>
                    </w:rPr>
                    <w:t>400t</w:t>
                  </w:r>
                </w:p>
              </w:tc>
              <w:tc>
                <w:tcPr>
                  <w:tcW w:w="1010" w:type="dxa"/>
                  <w:noWrap w:val="0"/>
                  <w:vAlign w:val="center"/>
                </w:tcPr>
                <w:p>
                  <w:pPr>
                    <w:jc w:val="center"/>
                    <w:rPr>
                      <w:rFonts w:hint="eastAsia"/>
                      <w:kern w:val="2"/>
                      <w:sz w:val="22"/>
                      <w:szCs w:val="22"/>
                    </w:rPr>
                  </w:pPr>
                  <w:r>
                    <w:rPr>
                      <w:rFonts w:hint="eastAsia"/>
                      <w:kern w:val="2"/>
                      <w:sz w:val="22"/>
                      <w:szCs w:val="22"/>
                      <w:lang w:val="en-US" w:eastAsia="zh-CN"/>
                    </w:rPr>
                    <w:t>外购新料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continue"/>
                  <w:noWrap w:val="0"/>
                  <w:vAlign w:val="center"/>
                </w:tcPr>
                <w:p>
                  <w:pPr>
                    <w:widowControl/>
                    <w:jc w:val="center"/>
                    <w:textAlignment w:val="center"/>
                    <w:rPr>
                      <w:kern w:val="0"/>
                      <w:sz w:val="22"/>
                      <w:szCs w:val="22"/>
                      <w:lang w:bidi="ar"/>
                    </w:rPr>
                  </w:pPr>
                </w:p>
              </w:tc>
              <w:tc>
                <w:tcPr>
                  <w:tcW w:w="1071" w:type="dxa"/>
                  <w:noWrap w:val="0"/>
                  <w:vAlign w:val="center"/>
                </w:tcPr>
                <w:p>
                  <w:pPr>
                    <w:pStyle w:val="61"/>
                    <w:tabs>
                      <w:tab w:val="left" w:pos="4500"/>
                    </w:tabs>
                    <w:spacing w:line="320" w:lineRule="exact"/>
                    <w:rPr>
                      <w:rFonts w:hint="eastAsia"/>
                      <w:sz w:val="21"/>
                      <w:szCs w:val="21"/>
                      <w:lang w:val="en-US" w:eastAsia="zh-CN"/>
                    </w:rPr>
                  </w:pPr>
                  <w:r>
                    <w:rPr>
                      <w:rFonts w:hint="eastAsia"/>
                      <w:sz w:val="21"/>
                      <w:szCs w:val="21"/>
                      <w:lang w:val="en-US" w:eastAsia="zh-CN"/>
                    </w:rPr>
                    <w:t>废塑料瓶</w:t>
                  </w:r>
                </w:p>
              </w:tc>
              <w:tc>
                <w:tcPr>
                  <w:tcW w:w="860" w:type="dxa"/>
                  <w:noWrap w:val="0"/>
                  <w:vAlign w:val="center"/>
                </w:tcPr>
                <w:p>
                  <w:pPr>
                    <w:pStyle w:val="61"/>
                    <w:tabs>
                      <w:tab w:val="left" w:pos="4500"/>
                    </w:tabs>
                    <w:spacing w:line="320" w:lineRule="exact"/>
                    <w:rPr>
                      <w:rFonts w:hint="default"/>
                      <w:kern w:val="0"/>
                      <w:sz w:val="22"/>
                      <w:szCs w:val="22"/>
                      <w:lang w:val="en-US" w:eastAsia="zh-CN" w:bidi="ar"/>
                    </w:rPr>
                  </w:pPr>
                  <w:r>
                    <w:rPr>
                      <w:rFonts w:hint="eastAsia"/>
                      <w:kern w:val="0"/>
                      <w:sz w:val="22"/>
                      <w:szCs w:val="22"/>
                      <w:lang w:val="en-US" w:eastAsia="zh-CN" w:bidi="ar"/>
                    </w:rPr>
                    <w:t>5200</w:t>
                  </w:r>
                </w:p>
              </w:tc>
              <w:tc>
                <w:tcPr>
                  <w:tcW w:w="744"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捆装</w:t>
                  </w:r>
                </w:p>
              </w:tc>
              <w:tc>
                <w:tcPr>
                  <w:tcW w:w="942"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1t/捆</w:t>
                  </w:r>
                </w:p>
              </w:tc>
              <w:tc>
                <w:tcPr>
                  <w:tcW w:w="86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固体</w:t>
                  </w:r>
                </w:p>
              </w:tc>
              <w:tc>
                <w:tcPr>
                  <w:tcW w:w="878"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破碎清洗线</w:t>
                  </w:r>
                </w:p>
              </w:tc>
              <w:tc>
                <w:tcPr>
                  <w:tcW w:w="825"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500</w:t>
                  </w:r>
                  <w:r>
                    <w:rPr>
                      <w:rFonts w:hint="eastAsia"/>
                      <w:sz w:val="22"/>
                      <w:szCs w:val="22"/>
                      <w:lang w:val="en-US" w:eastAsia="zh-CN"/>
                    </w:rPr>
                    <w:t>t</w:t>
                  </w:r>
                </w:p>
              </w:tc>
              <w:tc>
                <w:tcPr>
                  <w:tcW w:w="1010" w:type="dxa"/>
                  <w:noWrap w:val="0"/>
                  <w:vAlign w:val="center"/>
                </w:tcPr>
                <w:p>
                  <w:pPr>
                    <w:widowControl/>
                    <w:jc w:val="center"/>
                    <w:textAlignment w:val="center"/>
                    <w:rPr>
                      <w:rFonts w:hint="default"/>
                      <w:sz w:val="22"/>
                      <w:szCs w:val="22"/>
                      <w:lang w:val="en-US" w:eastAsia="zh-CN"/>
                    </w:rPr>
                  </w:pPr>
                  <w:r>
                    <w:rPr>
                      <w:rFonts w:hint="eastAsia"/>
                      <w:sz w:val="22"/>
                      <w:szCs w:val="22"/>
                      <w:lang w:val="en-US" w:eastAsia="zh-CN"/>
                    </w:rPr>
                    <w:t>外购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restart"/>
                  <w:noWrap w:val="0"/>
                  <w:vAlign w:val="center"/>
                </w:tcPr>
                <w:p>
                  <w:pPr>
                    <w:widowControl/>
                    <w:jc w:val="center"/>
                    <w:textAlignment w:val="center"/>
                    <w:rPr>
                      <w:rFonts w:hint="eastAsia" w:eastAsia="宋体"/>
                      <w:kern w:val="0"/>
                      <w:sz w:val="22"/>
                      <w:szCs w:val="22"/>
                      <w:lang w:eastAsia="zh-CN" w:bidi="ar"/>
                    </w:rPr>
                  </w:pPr>
                  <w:r>
                    <w:rPr>
                      <w:rFonts w:hint="eastAsia"/>
                      <w:kern w:val="0"/>
                      <w:sz w:val="22"/>
                      <w:szCs w:val="22"/>
                      <w:lang w:bidi="ar"/>
                    </w:rPr>
                    <w:t>辅</w:t>
                  </w:r>
                  <w:r>
                    <w:rPr>
                      <w:rFonts w:hint="eastAsia"/>
                      <w:kern w:val="0"/>
                      <w:sz w:val="22"/>
                      <w:szCs w:val="22"/>
                      <w:lang w:eastAsia="zh-CN" w:bidi="ar"/>
                    </w:rPr>
                    <w:t>料</w:t>
                  </w:r>
                </w:p>
              </w:tc>
              <w:tc>
                <w:tcPr>
                  <w:tcW w:w="1071" w:type="dxa"/>
                  <w:noWrap w:val="0"/>
                  <w:vAlign w:val="center"/>
                </w:tcPr>
                <w:p>
                  <w:pPr>
                    <w:pStyle w:val="61"/>
                    <w:tabs>
                      <w:tab w:val="left" w:pos="4500"/>
                    </w:tabs>
                    <w:spacing w:line="320" w:lineRule="exact"/>
                    <w:rPr>
                      <w:rFonts w:hint="default"/>
                      <w:sz w:val="21"/>
                      <w:szCs w:val="21"/>
                      <w:lang w:val="en-US" w:eastAsia="zh-CN"/>
                    </w:rPr>
                  </w:pPr>
                  <w:r>
                    <w:rPr>
                      <w:rFonts w:hint="eastAsia"/>
                      <w:sz w:val="21"/>
                      <w:szCs w:val="21"/>
                      <w:lang w:val="en-US" w:eastAsia="zh-CN"/>
                    </w:rPr>
                    <w:t>PAC</w:t>
                  </w:r>
                </w:p>
              </w:tc>
              <w:tc>
                <w:tcPr>
                  <w:tcW w:w="860" w:type="dxa"/>
                  <w:noWrap w:val="0"/>
                  <w:vAlign w:val="center"/>
                </w:tcPr>
                <w:p>
                  <w:pPr>
                    <w:pStyle w:val="61"/>
                    <w:tabs>
                      <w:tab w:val="left" w:pos="4500"/>
                    </w:tabs>
                    <w:spacing w:line="320" w:lineRule="exact"/>
                    <w:rPr>
                      <w:rFonts w:hint="default"/>
                      <w:kern w:val="0"/>
                      <w:sz w:val="22"/>
                      <w:szCs w:val="22"/>
                      <w:lang w:val="en-US" w:eastAsia="zh-CN" w:bidi="ar"/>
                    </w:rPr>
                  </w:pPr>
                  <w:r>
                    <w:rPr>
                      <w:rFonts w:hint="eastAsia"/>
                      <w:kern w:val="0"/>
                      <w:sz w:val="22"/>
                      <w:szCs w:val="22"/>
                      <w:lang w:val="en-US" w:eastAsia="zh-CN" w:bidi="ar"/>
                    </w:rPr>
                    <w:t>1.0</w:t>
                  </w:r>
                </w:p>
              </w:tc>
              <w:tc>
                <w:tcPr>
                  <w:tcW w:w="744"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袋装</w:t>
                  </w:r>
                </w:p>
              </w:tc>
              <w:tc>
                <w:tcPr>
                  <w:tcW w:w="942"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80kg/袋</w:t>
                  </w:r>
                </w:p>
              </w:tc>
              <w:tc>
                <w:tcPr>
                  <w:tcW w:w="86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固体</w:t>
                  </w:r>
                </w:p>
              </w:tc>
              <w:tc>
                <w:tcPr>
                  <w:tcW w:w="878" w:type="dxa"/>
                  <w:noWrap w:val="0"/>
                  <w:vAlign w:val="center"/>
                </w:tcPr>
                <w:p>
                  <w:pPr>
                    <w:widowControl/>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1.0t</w:t>
                  </w:r>
                </w:p>
              </w:tc>
              <w:tc>
                <w:tcPr>
                  <w:tcW w:w="1010" w:type="dxa"/>
                  <w:noWrap w:val="0"/>
                  <w:vAlign w:val="center"/>
                </w:tcPr>
                <w:p>
                  <w:pPr>
                    <w:widowControl/>
                    <w:jc w:val="center"/>
                    <w:textAlignment w:val="center"/>
                    <w:rPr>
                      <w:rFonts w:hint="default"/>
                      <w:sz w:val="22"/>
                      <w:szCs w:val="22"/>
                      <w:lang w:val="en-US" w:eastAsia="zh-CN"/>
                    </w:rPr>
                  </w:pPr>
                  <w:r>
                    <w:rPr>
                      <w:rFonts w:hint="eastAsia"/>
                      <w:sz w:val="22"/>
                      <w:szCs w:val="22"/>
                      <w:lang w:val="en-US" w:eastAsia="zh-CN"/>
                    </w:rPr>
                    <w:t>水处理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continue"/>
                  <w:noWrap w:val="0"/>
                  <w:vAlign w:val="center"/>
                </w:tcPr>
                <w:p>
                  <w:pPr>
                    <w:widowControl/>
                    <w:jc w:val="center"/>
                    <w:textAlignment w:val="center"/>
                    <w:rPr>
                      <w:rFonts w:hint="eastAsia"/>
                      <w:kern w:val="0"/>
                      <w:sz w:val="22"/>
                      <w:szCs w:val="22"/>
                      <w:lang w:bidi="ar"/>
                    </w:rPr>
                  </w:pPr>
                </w:p>
              </w:tc>
              <w:tc>
                <w:tcPr>
                  <w:tcW w:w="1071" w:type="dxa"/>
                  <w:noWrap w:val="0"/>
                  <w:vAlign w:val="center"/>
                </w:tcPr>
                <w:p>
                  <w:pPr>
                    <w:pStyle w:val="61"/>
                    <w:tabs>
                      <w:tab w:val="left" w:pos="4500"/>
                    </w:tabs>
                    <w:spacing w:line="320" w:lineRule="exact"/>
                    <w:rPr>
                      <w:rFonts w:hint="default"/>
                      <w:sz w:val="21"/>
                      <w:szCs w:val="21"/>
                      <w:lang w:val="en-US" w:eastAsia="zh-CN"/>
                    </w:rPr>
                  </w:pPr>
                  <w:r>
                    <w:rPr>
                      <w:rFonts w:hint="eastAsia"/>
                      <w:sz w:val="21"/>
                      <w:szCs w:val="21"/>
                      <w:lang w:val="en-US" w:eastAsia="zh-CN"/>
                    </w:rPr>
                    <w:t>PAM</w:t>
                  </w:r>
                </w:p>
              </w:tc>
              <w:tc>
                <w:tcPr>
                  <w:tcW w:w="860" w:type="dxa"/>
                  <w:noWrap w:val="0"/>
                  <w:vAlign w:val="center"/>
                </w:tcPr>
                <w:p>
                  <w:pPr>
                    <w:pStyle w:val="61"/>
                    <w:tabs>
                      <w:tab w:val="left" w:pos="4500"/>
                    </w:tabs>
                    <w:spacing w:line="320" w:lineRule="exact"/>
                    <w:rPr>
                      <w:rFonts w:hint="default"/>
                      <w:kern w:val="0"/>
                      <w:sz w:val="22"/>
                      <w:szCs w:val="22"/>
                      <w:lang w:val="en-US" w:eastAsia="zh-CN" w:bidi="ar"/>
                    </w:rPr>
                  </w:pPr>
                  <w:r>
                    <w:rPr>
                      <w:rFonts w:hint="eastAsia"/>
                      <w:kern w:val="0"/>
                      <w:sz w:val="22"/>
                      <w:szCs w:val="22"/>
                      <w:lang w:val="en-US" w:eastAsia="zh-CN" w:bidi="ar"/>
                    </w:rPr>
                    <w:t>0.5</w:t>
                  </w:r>
                </w:p>
              </w:tc>
              <w:tc>
                <w:tcPr>
                  <w:tcW w:w="74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袋装</w:t>
                  </w:r>
                </w:p>
              </w:tc>
              <w:tc>
                <w:tcPr>
                  <w:tcW w:w="942"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80kg/袋</w:t>
                  </w:r>
                </w:p>
              </w:tc>
              <w:tc>
                <w:tcPr>
                  <w:tcW w:w="86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固体</w:t>
                  </w:r>
                </w:p>
              </w:tc>
              <w:tc>
                <w:tcPr>
                  <w:tcW w:w="878" w:type="dxa"/>
                  <w:noWrap w:val="0"/>
                  <w:vAlign w:val="center"/>
                </w:tcPr>
                <w:p>
                  <w:pPr>
                    <w:widowControl/>
                    <w:jc w:val="both"/>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0.5t</w:t>
                  </w:r>
                </w:p>
              </w:tc>
              <w:tc>
                <w:tcPr>
                  <w:tcW w:w="1010" w:type="dxa"/>
                  <w:noWrap w:val="0"/>
                  <w:vAlign w:val="center"/>
                </w:tcPr>
                <w:p>
                  <w:pPr>
                    <w:widowControl/>
                    <w:jc w:val="center"/>
                    <w:textAlignment w:val="center"/>
                    <w:rPr>
                      <w:rFonts w:hint="eastAsia"/>
                      <w:sz w:val="22"/>
                      <w:szCs w:val="22"/>
                      <w:lang w:val="en-US" w:eastAsia="zh-CN"/>
                    </w:rPr>
                  </w:pPr>
                  <w:r>
                    <w:rPr>
                      <w:rFonts w:hint="eastAsia"/>
                      <w:sz w:val="22"/>
                      <w:szCs w:val="22"/>
                      <w:lang w:val="en-US" w:eastAsia="zh-CN"/>
                    </w:rPr>
                    <w:t>水处理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continue"/>
                  <w:noWrap w:val="0"/>
                  <w:vAlign w:val="center"/>
                </w:tcPr>
                <w:p>
                  <w:pPr>
                    <w:widowControl/>
                    <w:jc w:val="center"/>
                    <w:textAlignment w:val="center"/>
                    <w:rPr>
                      <w:rFonts w:hint="eastAsia"/>
                      <w:kern w:val="0"/>
                      <w:sz w:val="22"/>
                      <w:szCs w:val="22"/>
                      <w:lang w:bidi="ar"/>
                    </w:rPr>
                  </w:pPr>
                </w:p>
              </w:tc>
              <w:tc>
                <w:tcPr>
                  <w:tcW w:w="1071" w:type="dxa"/>
                  <w:noWrap w:val="0"/>
                  <w:vAlign w:val="center"/>
                </w:tcPr>
                <w:p>
                  <w:pPr>
                    <w:pStyle w:val="61"/>
                    <w:tabs>
                      <w:tab w:val="left" w:pos="4500"/>
                    </w:tabs>
                    <w:spacing w:line="320" w:lineRule="exact"/>
                    <w:rPr>
                      <w:rFonts w:hint="eastAsia"/>
                      <w:sz w:val="21"/>
                      <w:szCs w:val="21"/>
                      <w:lang w:val="en-US" w:eastAsia="zh-CN"/>
                    </w:rPr>
                  </w:pPr>
                  <w:r>
                    <w:rPr>
                      <w:rFonts w:hint="eastAsia"/>
                      <w:sz w:val="21"/>
                      <w:szCs w:val="21"/>
                      <w:lang w:val="en-US" w:eastAsia="zh-CN"/>
                    </w:rPr>
                    <w:t>氢氧化钠</w:t>
                  </w:r>
                </w:p>
              </w:tc>
              <w:tc>
                <w:tcPr>
                  <w:tcW w:w="860" w:type="dxa"/>
                  <w:noWrap w:val="0"/>
                  <w:vAlign w:val="center"/>
                </w:tcPr>
                <w:p>
                  <w:pPr>
                    <w:pStyle w:val="61"/>
                    <w:tabs>
                      <w:tab w:val="left" w:pos="4500"/>
                    </w:tabs>
                    <w:spacing w:line="320" w:lineRule="exact"/>
                    <w:rPr>
                      <w:rFonts w:hint="default"/>
                      <w:kern w:val="0"/>
                      <w:sz w:val="22"/>
                      <w:szCs w:val="22"/>
                      <w:lang w:val="en-US" w:eastAsia="zh-CN" w:bidi="ar"/>
                    </w:rPr>
                  </w:pPr>
                  <w:r>
                    <w:rPr>
                      <w:rFonts w:hint="eastAsia"/>
                      <w:kern w:val="0"/>
                      <w:sz w:val="22"/>
                      <w:szCs w:val="22"/>
                      <w:lang w:val="en-US" w:eastAsia="zh-CN" w:bidi="ar"/>
                    </w:rPr>
                    <w:t>10</w:t>
                  </w:r>
                </w:p>
              </w:tc>
              <w:tc>
                <w:tcPr>
                  <w:tcW w:w="74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袋装</w:t>
                  </w:r>
                </w:p>
              </w:tc>
              <w:tc>
                <w:tcPr>
                  <w:tcW w:w="942"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80kg/袋</w:t>
                  </w:r>
                </w:p>
              </w:tc>
              <w:tc>
                <w:tcPr>
                  <w:tcW w:w="86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固体</w:t>
                  </w:r>
                </w:p>
              </w:tc>
              <w:tc>
                <w:tcPr>
                  <w:tcW w:w="878" w:type="dxa"/>
                  <w:noWrap w:val="0"/>
                  <w:vAlign w:val="center"/>
                </w:tcPr>
                <w:p>
                  <w:pPr>
                    <w:widowControl/>
                    <w:jc w:val="both"/>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2.0t</w:t>
                  </w:r>
                </w:p>
              </w:tc>
              <w:tc>
                <w:tcPr>
                  <w:tcW w:w="1010" w:type="dxa"/>
                  <w:noWrap w:val="0"/>
                  <w:vAlign w:val="center"/>
                </w:tcPr>
                <w:p>
                  <w:pPr>
                    <w:widowControl/>
                    <w:jc w:val="center"/>
                    <w:textAlignment w:val="center"/>
                    <w:rPr>
                      <w:rFonts w:hint="eastAsia"/>
                      <w:sz w:val="22"/>
                      <w:szCs w:val="22"/>
                      <w:lang w:val="en-US" w:eastAsia="zh-CN"/>
                    </w:rPr>
                  </w:pPr>
                  <w:r>
                    <w:rPr>
                      <w:rFonts w:hint="eastAsia"/>
                      <w:sz w:val="22"/>
                      <w:szCs w:val="22"/>
                      <w:lang w:val="en-US" w:eastAsia="zh-CN"/>
                    </w:rPr>
                    <w:t>塑料清洗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continue"/>
                  <w:noWrap w:val="0"/>
                  <w:vAlign w:val="center"/>
                </w:tcPr>
                <w:p>
                  <w:pPr>
                    <w:widowControl/>
                    <w:jc w:val="center"/>
                    <w:textAlignment w:val="center"/>
                    <w:rPr>
                      <w:rFonts w:hint="eastAsia"/>
                      <w:kern w:val="0"/>
                      <w:sz w:val="22"/>
                      <w:szCs w:val="22"/>
                      <w:lang w:bidi="ar"/>
                    </w:rPr>
                  </w:pPr>
                </w:p>
              </w:tc>
              <w:tc>
                <w:tcPr>
                  <w:tcW w:w="1071" w:type="dxa"/>
                  <w:noWrap w:val="0"/>
                  <w:vAlign w:val="center"/>
                </w:tcPr>
                <w:p>
                  <w:pPr>
                    <w:pStyle w:val="61"/>
                    <w:tabs>
                      <w:tab w:val="left" w:pos="4500"/>
                    </w:tabs>
                    <w:spacing w:line="320" w:lineRule="exact"/>
                    <w:rPr>
                      <w:rFonts w:hint="eastAsia"/>
                      <w:sz w:val="21"/>
                      <w:szCs w:val="21"/>
                      <w:lang w:val="en-US" w:eastAsia="zh-CN"/>
                    </w:rPr>
                  </w:pPr>
                  <w:r>
                    <w:rPr>
                      <w:rFonts w:hint="eastAsia"/>
                      <w:sz w:val="21"/>
                      <w:szCs w:val="21"/>
                      <w:lang w:val="en-US" w:eastAsia="zh-CN"/>
                    </w:rPr>
                    <w:t>硫酸（37%）</w:t>
                  </w:r>
                </w:p>
              </w:tc>
              <w:tc>
                <w:tcPr>
                  <w:tcW w:w="860" w:type="dxa"/>
                  <w:noWrap w:val="0"/>
                  <w:vAlign w:val="center"/>
                </w:tcPr>
                <w:p>
                  <w:pPr>
                    <w:pStyle w:val="61"/>
                    <w:tabs>
                      <w:tab w:val="left" w:pos="4500"/>
                    </w:tabs>
                    <w:spacing w:line="320" w:lineRule="exact"/>
                    <w:rPr>
                      <w:rFonts w:hint="default"/>
                      <w:kern w:val="0"/>
                      <w:sz w:val="22"/>
                      <w:szCs w:val="22"/>
                      <w:lang w:val="en-US" w:eastAsia="zh-CN" w:bidi="ar"/>
                    </w:rPr>
                  </w:pPr>
                  <w:r>
                    <w:rPr>
                      <w:rFonts w:hint="eastAsia"/>
                      <w:kern w:val="0"/>
                      <w:sz w:val="22"/>
                      <w:szCs w:val="22"/>
                      <w:lang w:val="en-US" w:eastAsia="zh-CN" w:bidi="ar"/>
                    </w:rPr>
                    <w:t>5.0</w:t>
                  </w:r>
                </w:p>
              </w:tc>
              <w:tc>
                <w:tcPr>
                  <w:tcW w:w="74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桶装</w:t>
                  </w:r>
                </w:p>
              </w:tc>
              <w:tc>
                <w:tcPr>
                  <w:tcW w:w="942"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20L/桶</w:t>
                  </w:r>
                </w:p>
              </w:tc>
              <w:tc>
                <w:tcPr>
                  <w:tcW w:w="86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液态</w:t>
                  </w:r>
                </w:p>
              </w:tc>
              <w:tc>
                <w:tcPr>
                  <w:tcW w:w="878" w:type="dxa"/>
                  <w:noWrap w:val="0"/>
                  <w:vAlign w:val="center"/>
                </w:tcPr>
                <w:p>
                  <w:pPr>
                    <w:widowControl/>
                    <w:jc w:val="both"/>
                    <w:textAlignment w:val="center"/>
                    <w:rPr>
                      <w:rFonts w:hint="eastAsia"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1.0t</w:t>
                  </w:r>
                </w:p>
              </w:tc>
              <w:tc>
                <w:tcPr>
                  <w:tcW w:w="1010" w:type="dxa"/>
                  <w:noWrap w:val="0"/>
                  <w:vAlign w:val="center"/>
                </w:tcPr>
                <w:p>
                  <w:pPr>
                    <w:widowControl/>
                    <w:jc w:val="center"/>
                    <w:textAlignment w:val="center"/>
                    <w:rPr>
                      <w:rFonts w:hint="default"/>
                      <w:sz w:val="22"/>
                      <w:szCs w:val="22"/>
                      <w:lang w:val="en-US" w:eastAsia="zh-CN"/>
                    </w:rPr>
                  </w:pPr>
                  <w:r>
                    <w:rPr>
                      <w:rFonts w:hint="eastAsia"/>
                      <w:sz w:val="22"/>
                      <w:szCs w:val="22"/>
                      <w:lang w:val="en-US" w:eastAsia="zh-CN"/>
                    </w:rPr>
                    <w:t>废水pH调节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continue"/>
                  <w:noWrap w:val="0"/>
                  <w:vAlign w:val="center"/>
                </w:tcPr>
                <w:p>
                  <w:pPr>
                    <w:widowControl/>
                    <w:jc w:val="center"/>
                    <w:textAlignment w:val="center"/>
                    <w:rPr>
                      <w:rFonts w:hint="eastAsia"/>
                      <w:kern w:val="0"/>
                      <w:sz w:val="22"/>
                      <w:szCs w:val="22"/>
                      <w:lang w:bidi="ar"/>
                    </w:rPr>
                  </w:pPr>
                </w:p>
              </w:tc>
              <w:tc>
                <w:tcPr>
                  <w:tcW w:w="1071" w:type="dxa"/>
                  <w:noWrap w:val="0"/>
                  <w:vAlign w:val="center"/>
                </w:tcPr>
                <w:p>
                  <w:pPr>
                    <w:pStyle w:val="61"/>
                    <w:tabs>
                      <w:tab w:val="left" w:pos="4500"/>
                    </w:tabs>
                    <w:spacing w:line="320" w:lineRule="exact"/>
                    <w:rPr>
                      <w:rFonts w:hint="eastAsia"/>
                      <w:sz w:val="21"/>
                      <w:szCs w:val="21"/>
                      <w:lang w:val="en-US" w:eastAsia="zh-CN"/>
                    </w:rPr>
                  </w:pPr>
                  <w:r>
                    <w:rPr>
                      <w:rFonts w:hint="eastAsia"/>
                      <w:sz w:val="21"/>
                      <w:szCs w:val="21"/>
                      <w:lang w:val="en-US" w:eastAsia="zh-CN"/>
                    </w:rPr>
                    <w:t>脱模剂</w:t>
                  </w:r>
                </w:p>
              </w:tc>
              <w:tc>
                <w:tcPr>
                  <w:tcW w:w="860" w:type="dxa"/>
                  <w:noWrap w:val="0"/>
                  <w:vAlign w:val="center"/>
                </w:tcPr>
                <w:p>
                  <w:pPr>
                    <w:pStyle w:val="61"/>
                    <w:tabs>
                      <w:tab w:val="left" w:pos="4500"/>
                    </w:tabs>
                    <w:spacing w:line="320" w:lineRule="exact"/>
                    <w:rPr>
                      <w:rFonts w:hint="default"/>
                      <w:kern w:val="0"/>
                      <w:sz w:val="22"/>
                      <w:szCs w:val="22"/>
                      <w:lang w:val="en-US" w:eastAsia="zh-CN" w:bidi="ar"/>
                    </w:rPr>
                  </w:pPr>
                  <w:r>
                    <w:rPr>
                      <w:rFonts w:hint="eastAsia"/>
                      <w:kern w:val="0"/>
                      <w:sz w:val="22"/>
                      <w:szCs w:val="22"/>
                      <w:lang w:val="en-US" w:eastAsia="zh-CN" w:bidi="ar"/>
                    </w:rPr>
                    <w:t>0.5</w:t>
                  </w:r>
                </w:p>
              </w:tc>
              <w:tc>
                <w:tcPr>
                  <w:tcW w:w="74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瓶装</w:t>
                  </w:r>
                </w:p>
              </w:tc>
              <w:tc>
                <w:tcPr>
                  <w:tcW w:w="942" w:type="dxa"/>
                  <w:noWrap w:val="0"/>
                  <w:vAlign w:val="center"/>
                </w:tcPr>
                <w:p>
                  <w:pPr>
                    <w:widowControl/>
                    <w:jc w:val="center"/>
                    <w:textAlignment w:val="center"/>
                    <w:rPr>
                      <w:rFonts w:hint="default"/>
                      <w:kern w:val="0"/>
                      <w:sz w:val="22"/>
                      <w:szCs w:val="22"/>
                      <w:lang w:val="en-US" w:eastAsia="zh-CN" w:bidi="ar"/>
                    </w:rPr>
                  </w:pPr>
                  <w:r>
                    <w:rPr>
                      <w:rFonts w:hint="eastAsia"/>
                      <w:kern w:val="0"/>
                      <w:sz w:val="22"/>
                      <w:szCs w:val="22"/>
                      <w:lang w:val="en-US" w:eastAsia="zh-CN" w:bidi="ar"/>
                    </w:rPr>
                    <w:t>1L/瓶</w:t>
                  </w:r>
                </w:p>
              </w:tc>
              <w:tc>
                <w:tcPr>
                  <w:tcW w:w="864"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液体</w:t>
                  </w:r>
                </w:p>
              </w:tc>
              <w:tc>
                <w:tcPr>
                  <w:tcW w:w="878" w:type="dxa"/>
                  <w:noWrap w:val="0"/>
                  <w:vAlign w:val="center"/>
                </w:tcPr>
                <w:p>
                  <w:pPr>
                    <w:widowControl/>
                    <w:jc w:val="both"/>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eastAsia"/>
                      <w:kern w:val="0"/>
                      <w:sz w:val="22"/>
                      <w:szCs w:val="22"/>
                      <w:lang w:val="en-US" w:eastAsia="zh-CN" w:bidi="ar"/>
                    </w:rPr>
                  </w:pPr>
                  <w:r>
                    <w:rPr>
                      <w:rFonts w:hint="eastAsia"/>
                      <w:kern w:val="0"/>
                      <w:sz w:val="22"/>
                      <w:szCs w:val="22"/>
                      <w:lang w:val="en-US" w:eastAsia="zh-CN" w:bidi="ar"/>
                    </w:rPr>
                    <w:t>0.1t</w:t>
                  </w:r>
                </w:p>
              </w:tc>
              <w:tc>
                <w:tcPr>
                  <w:tcW w:w="1010" w:type="dxa"/>
                  <w:noWrap w:val="0"/>
                  <w:vAlign w:val="center"/>
                </w:tcPr>
                <w:p>
                  <w:pPr>
                    <w:widowControl/>
                    <w:jc w:val="center"/>
                    <w:textAlignment w:val="center"/>
                    <w:rPr>
                      <w:rFonts w:hint="eastAsia"/>
                      <w:sz w:val="22"/>
                      <w:szCs w:val="22"/>
                      <w:lang w:val="en-US" w:eastAsia="zh-CN"/>
                    </w:rPr>
                  </w:pPr>
                  <w:r>
                    <w:rPr>
                      <w:rFonts w:hint="eastAsia"/>
                      <w:sz w:val="22"/>
                      <w:szCs w:val="22"/>
                      <w:lang w:val="en-US" w:eastAsia="zh-CN"/>
                    </w:rPr>
                    <w:t>脱模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42" w:type="dxa"/>
                  <w:vMerge w:val="continue"/>
                  <w:noWrap w:val="0"/>
                  <w:vAlign w:val="center"/>
                </w:tcPr>
                <w:p>
                  <w:pPr>
                    <w:widowControl/>
                    <w:jc w:val="center"/>
                    <w:textAlignment w:val="center"/>
                    <w:rPr>
                      <w:kern w:val="0"/>
                      <w:sz w:val="22"/>
                      <w:szCs w:val="22"/>
                      <w:lang w:bidi="ar"/>
                    </w:rPr>
                  </w:pPr>
                </w:p>
              </w:tc>
              <w:tc>
                <w:tcPr>
                  <w:tcW w:w="1071" w:type="dxa"/>
                  <w:noWrap w:val="0"/>
                  <w:vAlign w:val="center"/>
                </w:tcPr>
                <w:p>
                  <w:pPr>
                    <w:pStyle w:val="61"/>
                    <w:tabs>
                      <w:tab w:val="left" w:pos="4500"/>
                    </w:tabs>
                    <w:spacing w:line="320" w:lineRule="exact"/>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润滑油</w:t>
                  </w:r>
                </w:p>
              </w:tc>
              <w:tc>
                <w:tcPr>
                  <w:tcW w:w="860" w:type="dxa"/>
                  <w:noWrap w:val="0"/>
                  <w:vAlign w:val="center"/>
                </w:tcPr>
                <w:p>
                  <w:pPr>
                    <w:pStyle w:val="61"/>
                    <w:tabs>
                      <w:tab w:val="left" w:pos="4500"/>
                    </w:tabs>
                    <w:spacing w:line="320" w:lineRule="exact"/>
                    <w:rPr>
                      <w:rFonts w:hint="eastAsia" w:ascii="Times New Roman" w:hAnsi="Times New Roman" w:eastAsia="宋体" w:cs="Times New Roman"/>
                      <w:kern w:val="0"/>
                      <w:sz w:val="22"/>
                      <w:szCs w:val="22"/>
                      <w:lang w:val="en-US" w:eastAsia="zh-CN" w:bidi="ar"/>
                    </w:rPr>
                  </w:pPr>
                  <w:r>
                    <w:rPr>
                      <w:rFonts w:hint="eastAsia"/>
                      <w:kern w:val="0"/>
                      <w:sz w:val="22"/>
                      <w:szCs w:val="22"/>
                      <w:lang w:val="en-US" w:eastAsia="zh-CN" w:bidi="ar"/>
                    </w:rPr>
                    <w:t>0.1</w:t>
                  </w:r>
                </w:p>
              </w:tc>
              <w:tc>
                <w:tcPr>
                  <w:tcW w:w="744" w:type="dxa"/>
                  <w:noWrap w:val="0"/>
                  <w:vAlign w:val="center"/>
                </w:tcPr>
                <w:p>
                  <w:pPr>
                    <w:widowControl/>
                    <w:jc w:val="center"/>
                    <w:textAlignment w:val="center"/>
                    <w:rPr>
                      <w:rFonts w:hint="eastAsia" w:ascii="Times New Roman" w:hAnsi="Times New Roman" w:eastAsia="宋体" w:cs="Times New Roman"/>
                      <w:kern w:val="0"/>
                      <w:sz w:val="22"/>
                      <w:szCs w:val="22"/>
                      <w:lang w:val="en-US" w:eastAsia="zh-CN" w:bidi="ar"/>
                    </w:rPr>
                  </w:pPr>
                  <w:r>
                    <w:rPr>
                      <w:rFonts w:hint="eastAsia"/>
                      <w:kern w:val="0"/>
                      <w:sz w:val="22"/>
                      <w:szCs w:val="22"/>
                      <w:lang w:val="en-US" w:eastAsia="zh-CN" w:bidi="ar"/>
                    </w:rPr>
                    <w:t>桶装</w:t>
                  </w:r>
                </w:p>
              </w:tc>
              <w:tc>
                <w:tcPr>
                  <w:tcW w:w="942" w:type="dxa"/>
                  <w:noWrap w:val="0"/>
                  <w:vAlign w:val="center"/>
                </w:tcPr>
                <w:p>
                  <w:pPr>
                    <w:widowControl/>
                    <w:jc w:val="center"/>
                    <w:textAlignment w:val="center"/>
                    <w:rPr>
                      <w:rFonts w:hint="eastAsia" w:ascii="Times New Roman" w:hAnsi="Times New Roman" w:eastAsia="宋体" w:cs="Times New Roman"/>
                      <w:kern w:val="0"/>
                      <w:sz w:val="22"/>
                      <w:szCs w:val="22"/>
                      <w:lang w:val="en-US" w:eastAsia="zh-CN" w:bidi="ar"/>
                    </w:rPr>
                  </w:pPr>
                  <w:r>
                    <w:rPr>
                      <w:rFonts w:hint="eastAsia"/>
                      <w:kern w:val="0"/>
                      <w:sz w:val="22"/>
                      <w:szCs w:val="22"/>
                      <w:lang w:val="en-US" w:eastAsia="zh-CN" w:bidi="ar"/>
                    </w:rPr>
                    <w:t>170L/桶</w:t>
                  </w:r>
                </w:p>
              </w:tc>
              <w:tc>
                <w:tcPr>
                  <w:tcW w:w="864" w:type="dxa"/>
                  <w:noWrap w:val="0"/>
                  <w:vAlign w:val="center"/>
                </w:tcPr>
                <w:p>
                  <w:pPr>
                    <w:widowControl/>
                    <w:jc w:val="center"/>
                    <w:textAlignment w:val="center"/>
                    <w:rPr>
                      <w:rFonts w:hint="eastAsia" w:ascii="Times New Roman" w:hAnsi="Times New Roman" w:eastAsia="宋体" w:cs="Times New Roman"/>
                      <w:kern w:val="0"/>
                      <w:sz w:val="22"/>
                      <w:szCs w:val="22"/>
                      <w:lang w:val="en-US" w:eastAsia="zh-CN" w:bidi="ar"/>
                    </w:rPr>
                  </w:pPr>
                  <w:r>
                    <w:rPr>
                      <w:rFonts w:hint="eastAsia"/>
                      <w:kern w:val="0"/>
                      <w:sz w:val="22"/>
                      <w:szCs w:val="22"/>
                      <w:lang w:val="en-US" w:eastAsia="zh-CN" w:bidi="ar"/>
                    </w:rPr>
                    <w:t>液态</w:t>
                  </w:r>
                </w:p>
              </w:tc>
              <w:tc>
                <w:tcPr>
                  <w:tcW w:w="878" w:type="dxa"/>
                  <w:noWrap w:val="0"/>
                  <w:vAlign w:val="center"/>
                </w:tcPr>
                <w:p>
                  <w:pPr>
                    <w:widowControl/>
                    <w:jc w:val="both"/>
                    <w:textAlignment w:val="center"/>
                    <w:rPr>
                      <w:rFonts w:hint="default" w:ascii="Times New Roman" w:hAnsi="Times New Roman" w:eastAsia="宋体" w:cs="Times New Roman"/>
                      <w:kern w:val="0"/>
                      <w:sz w:val="22"/>
                      <w:szCs w:val="22"/>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仓库</w:t>
                  </w:r>
                </w:p>
              </w:tc>
              <w:tc>
                <w:tcPr>
                  <w:tcW w:w="825" w:type="dxa"/>
                  <w:noWrap w:val="0"/>
                  <w:vAlign w:val="center"/>
                </w:tcPr>
                <w:p>
                  <w:pPr>
                    <w:widowControl/>
                    <w:jc w:val="center"/>
                    <w:textAlignment w:val="center"/>
                    <w:rPr>
                      <w:rFonts w:hint="eastAsia" w:ascii="Times New Roman" w:hAnsi="Times New Roman" w:eastAsia="宋体" w:cs="Times New Roman"/>
                      <w:kern w:val="0"/>
                      <w:sz w:val="22"/>
                      <w:szCs w:val="22"/>
                      <w:lang w:val="en-US" w:eastAsia="zh-CN" w:bidi="ar"/>
                    </w:rPr>
                  </w:pPr>
                  <w:r>
                    <w:rPr>
                      <w:rFonts w:hint="eastAsia"/>
                      <w:kern w:val="0"/>
                      <w:sz w:val="22"/>
                      <w:szCs w:val="22"/>
                      <w:lang w:val="en-US" w:eastAsia="zh-CN" w:bidi="ar"/>
                    </w:rPr>
                    <w:t>170L</w:t>
                  </w:r>
                </w:p>
              </w:tc>
              <w:tc>
                <w:tcPr>
                  <w:tcW w:w="1010" w:type="dxa"/>
                  <w:noWrap w:val="0"/>
                  <w:vAlign w:val="center"/>
                </w:tcPr>
                <w:p>
                  <w:pPr>
                    <w:widowControl/>
                    <w:jc w:val="center"/>
                    <w:textAlignment w:val="center"/>
                    <w:rPr>
                      <w:rFonts w:hint="eastAsia" w:ascii="Times New Roman" w:hAnsi="Times New Roman" w:eastAsia="宋体" w:cs="Times New Roman"/>
                      <w:kern w:val="2"/>
                      <w:sz w:val="22"/>
                      <w:szCs w:val="22"/>
                      <w:lang w:val="en-US" w:eastAsia="zh-CN" w:bidi="ar-SA"/>
                    </w:rPr>
                  </w:pPr>
                  <w:r>
                    <w:rPr>
                      <w:rFonts w:hint="eastAsia"/>
                      <w:sz w:val="22"/>
                      <w:szCs w:val="22"/>
                      <w:lang w:val="en-US" w:eastAsia="zh-CN"/>
                    </w:rPr>
                    <w:t>设备润滑</w:t>
                  </w:r>
                </w:p>
              </w:tc>
            </w:tr>
          </w:tbl>
          <w:p>
            <w:pPr>
              <w:pStyle w:val="66"/>
              <w:spacing w:line="360" w:lineRule="auto"/>
              <w:ind w:firstLine="482"/>
              <w:rPr>
                <w:rFonts w:hint="default" w:ascii="Times New Roman" w:hAnsi="Times New Roman" w:eastAsia="华文仿宋" w:cs="Times New Roman"/>
                <w:b w:val="0"/>
                <w:bCs w:val="0"/>
                <w:color w:val="auto"/>
                <w:sz w:val="21"/>
                <w:szCs w:val="21"/>
                <w:highlight w:val="none"/>
                <w:lang w:val="en-US" w:eastAsia="zh-CN"/>
              </w:rPr>
            </w:pPr>
            <w:r>
              <w:rPr>
                <w:rFonts w:hint="default" w:ascii="Times New Roman" w:hAnsi="Times New Roman" w:eastAsia="华文仿宋" w:cs="Times New Roman"/>
                <w:b w:val="0"/>
                <w:bCs w:val="0"/>
                <w:color w:val="auto"/>
                <w:sz w:val="21"/>
                <w:szCs w:val="21"/>
                <w:highlight w:val="none"/>
                <w:lang w:val="en-US" w:eastAsia="zh-CN"/>
              </w:rPr>
              <w:t>备注：因项目塑料框主要用于食品行业，因此建设单位承诺（附件7）塑料框生产所有原料均为新料，不使用废塑料回收线生产的塑料颗粒。</w:t>
            </w:r>
          </w:p>
          <w:p>
            <w:pPr>
              <w:pStyle w:val="66"/>
              <w:ind w:firstLine="482"/>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 xml:space="preserve"> 主要原辅材料性质：</w:t>
            </w:r>
          </w:p>
          <w:p>
            <w:pPr>
              <w:pStyle w:val="66"/>
              <w:ind w:firstLine="482"/>
              <w:rPr>
                <w:rFonts w:hint="default" w:ascii="Times New Roman" w:hAnsi="Times New Roman" w:cs="Times New Roman"/>
                <w:color w:val="auto"/>
                <w:szCs w:val="24"/>
                <w:highlight w:val="none"/>
              </w:rPr>
            </w:pPr>
            <w:r>
              <w:rPr>
                <w:rFonts w:hint="default" w:ascii="Times New Roman" w:hAnsi="Times New Roman" w:cs="Times New Roman"/>
                <w:b/>
                <w:bCs/>
                <w:color w:val="auto"/>
                <w:szCs w:val="24"/>
                <w:highlight w:val="none"/>
              </w:rPr>
              <w:t>PP塑料：</w:t>
            </w:r>
            <w:r>
              <w:rPr>
                <w:rFonts w:hint="default" w:ascii="Times New Roman" w:hAnsi="Times New Roman" w:cs="Times New Roman"/>
                <w:color w:val="auto"/>
                <w:szCs w:val="24"/>
                <w:highlight w:val="none"/>
              </w:rPr>
              <w:t>即聚丙烯塑料，是丙烯通过加聚反应而成的聚合物。系白色蜡状材料，外观透明而轻。化学式为(C</w:t>
            </w:r>
            <w:r>
              <w:rPr>
                <w:rFonts w:hint="default" w:ascii="Times New Roman" w:hAnsi="Times New Roman" w:cs="Times New Roman"/>
                <w:color w:val="auto"/>
                <w:szCs w:val="24"/>
                <w:highlight w:val="none"/>
                <w:vertAlign w:val="subscript"/>
              </w:rPr>
              <w:t>3</w:t>
            </w:r>
            <w:r>
              <w:rPr>
                <w:rFonts w:hint="default" w:ascii="Times New Roman" w:hAnsi="Times New Roman" w:cs="Times New Roman"/>
                <w:color w:val="auto"/>
                <w:szCs w:val="24"/>
                <w:highlight w:val="none"/>
              </w:rPr>
              <w:t>H</w:t>
            </w:r>
            <w:r>
              <w:rPr>
                <w:rFonts w:hint="default" w:ascii="Times New Roman" w:hAnsi="Times New Roman" w:cs="Times New Roman"/>
                <w:color w:val="auto"/>
                <w:szCs w:val="24"/>
                <w:highlight w:val="none"/>
                <w:vertAlign w:val="subscript"/>
              </w:rPr>
              <w:t>6</w:t>
            </w:r>
            <w:r>
              <w:rPr>
                <w:rFonts w:hint="default" w:ascii="Times New Roman" w:hAnsi="Times New Roman" w:cs="Times New Roman"/>
                <w:color w:val="auto"/>
                <w:szCs w:val="24"/>
                <w:highlight w:val="none"/>
              </w:rPr>
              <w:t>)n，密度为0.89～0.91g/cm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，易燃，熔点189℃，在155℃左右软化，使用温度范围为-30～140℃ 。在80℃以下能耐酸、碱、盐液及多种有机溶剂的腐蚀，能在高温和氧化作用下分解。聚丙烯广泛应用于服装、毛毯等纤维制品、医疗器械、汽车、自行车、零件、输送管道、化工容器等生产，也用于食品、药品包装。</w:t>
            </w:r>
            <w:r>
              <w:rPr>
                <w:rFonts w:hint="eastAsia" w:ascii="Times New Roman" w:hAnsi="Times New Roman" w:cs="Times New Roman"/>
                <w:color w:val="auto"/>
                <w:szCs w:val="24"/>
                <w:highlight w:val="none"/>
                <w:lang w:val="en-US" w:eastAsia="zh-CN"/>
              </w:rPr>
              <w:t>分解温度350℃。</w:t>
            </w:r>
          </w:p>
          <w:p>
            <w:pPr>
              <w:pStyle w:val="66"/>
              <w:ind w:firstLine="482"/>
              <w:rPr>
                <w:rFonts w:hint="default" w:ascii="Times New Roman" w:hAnsi="Times New Roman" w:cs="Times New Roman"/>
                <w:color w:val="auto"/>
                <w:szCs w:val="24"/>
                <w:highlight w:val="none"/>
              </w:rPr>
            </w:pPr>
            <w:r>
              <w:rPr>
                <w:rFonts w:hint="default" w:ascii="Times New Roman" w:hAnsi="Times New Roman" w:cs="Times New Roman"/>
                <w:b/>
                <w:bCs/>
                <w:color w:val="auto"/>
                <w:szCs w:val="24"/>
                <w:highlight w:val="none"/>
              </w:rPr>
              <w:t>PE塑料：</w:t>
            </w:r>
            <w:r>
              <w:rPr>
                <w:rFonts w:hint="default" w:ascii="Times New Roman" w:hAnsi="Times New Roman" w:cs="Times New Roman"/>
                <w:color w:val="auto"/>
                <w:szCs w:val="24"/>
                <w:highlight w:val="none"/>
              </w:rPr>
              <w:t>聚乙烯简称PE，是</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"https://baike.baidu.com/item/%E4%B9%99%E7%83%AF/312903"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乙烯</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经聚合制得的一种</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"https://baike.baidu.com/item/%E7%83%AD%E5%A1%91%E6%80%A7%E6%A0%91%E8%84%82/2750555"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热塑性树脂</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。在工业上，也包括</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"https://baike.baidu.com/item/%E4%B9%99%E7%83%AF/312903"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乙烯</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与少量</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"https://baike.baidu.com/item/%CE%B1-%E7%83%AF%E7%83%83"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α-烯烃</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的</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"https://baike.baidu.com/item/%E5%85%B1%E8%81%9A%E7%89%A9/10823876"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共聚物</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。聚乙烯无臭，无毒，手感似蜡，具有优良的耐低温性能（最低使用温度可达-100~-70°C），</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"https://baike.baidu.com/item/%E5%8C%96%E5%AD%A6%E7%A8%B3%E5%AE%9A%E6%80%A7/1850096"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化学稳定性</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好，能耐大多数酸碱的侵蚀（不耐具有氧化性质的酸）。常温下不溶于一般</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"https://baike.baidu.com/item/%E6%BA%B6%E5%89%82/1134519"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溶剂</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"https://baike.baidu.com/item/%E5%90%B8%E6%B0%B4%E6%80%A7/10930650"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吸水性</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小，</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"https://baike.baidu.com/item/%E7%94%B5%E7%BB%9D%E7%BC%98%E6%80%A7/12605900" \t "https://baike.baidu.com/item/%E8%81%9A%E4%B9%99%E7%83%AF/_blank"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szCs w:val="24"/>
                <w:highlight w:val="none"/>
              </w:rPr>
              <w:t>电绝缘性</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优良。主要用作农膜、工业用包装膜、药品与食品包装薄膜、机械零件、日用品、建筑材料、电线、电缆绝缘、涂层和合成纸等。</w:t>
            </w:r>
            <w:r>
              <w:rPr>
                <w:rFonts w:hint="eastAsia" w:ascii="Times New Roman" w:hAnsi="Times New Roman" w:cs="Times New Roman"/>
                <w:color w:val="auto"/>
                <w:szCs w:val="24"/>
                <w:highlight w:val="none"/>
                <w:lang w:val="en-US" w:eastAsia="zh-CN"/>
              </w:rPr>
              <w:t>分解温度320℃。</w:t>
            </w:r>
          </w:p>
          <w:p>
            <w:pPr>
              <w:pStyle w:val="66"/>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建设单位承诺，</w:t>
            </w:r>
            <w:r>
              <w:rPr>
                <w:rFonts w:hint="eastAsia" w:ascii="Times New Roman" w:hAnsi="Times New Roman" w:cs="Times New Roman"/>
                <w:b w:val="0"/>
                <w:bCs w:val="0"/>
                <w:color w:val="auto"/>
                <w:lang w:val="en-US" w:eastAsia="zh-CN"/>
              </w:rPr>
              <w:t>废塑料回收造粒生产线</w:t>
            </w:r>
            <w:r>
              <w:rPr>
                <w:rFonts w:hint="default" w:ascii="Times New Roman" w:hAnsi="Times New Roman" w:eastAsia="宋体" w:cs="Times New Roman"/>
                <w:b w:val="0"/>
                <w:bCs w:val="0"/>
                <w:color w:val="auto"/>
                <w:lang w:val="en-US" w:eastAsia="zh-CN"/>
              </w:rPr>
              <w:t>所收集的原料不包含以下物质：</w:t>
            </w:r>
          </w:p>
          <w:p>
            <w:pPr>
              <w:pStyle w:val="60"/>
              <w:bidi w:val="0"/>
              <w:rPr>
                <w:rFonts w:hint="eastAsia" w:ascii="Times New Roman" w:hAnsi="Times New Roman" w:cs="Times New Roman"/>
                <w:color w:val="auto"/>
                <w:lang w:val="zh-CN"/>
              </w:rPr>
            </w:pPr>
            <w:r>
              <w:rPr>
                <w:rFonts w:hint="default" w:ascii="Times New Roman" w:hAnsi="Times New Roman" w:cs="Times New Roman"/>
                <w:color w:val="auto"/>
                <w:lang w:val="zh-CN"/>
              </w:rPr>
              <w:t>表</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4废塑料</w:t>
            </w:r>
            <w:r>
              <w:rPr>
                <w:rFonts w:hint="eastAsia" w:ascii="Times New Roman" w:hAnsi="Times New Roman" w:cs="Times New Roman"/>
                <w:color w:val="auto"/>
                <w:lang w:val="zh-CN"/>
              </w:rPr>
              <w:t>原料来源负面清单</w:t>
            </w:r>
          </w:p>
          <w:tbl>
            <w:tblPr>
              <w:tblStyle w:val="24"/>
              <w:tblW w:w="81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4408"/>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9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Cs w:val="24"/>
                      <w:lang w:eastAsia="zh-CN"/>
                    </w:rPr>
                  </w:pPr>
                  <w:r>
                    <w:rPr>
                      <w:rFonts w:hint="eastAsia" w:ascii="Times New Roman" w:hAnsi="Times New Roman" w:cs="Times New Roman"/>
                      <w:b/>
                      <w:bCs/>
                      <w:color w:val="auto"/>
                      <w:szCs w:val="24"/>
                      <w:lang w:eastAsia="zh-CN"/>
                    </w:rPr>
                    <w:t>序号</w:t>
                  </w:r>
                </w:p>
              </w:tc>
              <w:tc>
                <w:tcPr>
                  <w:tcW w:w="4408"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color w:val="auto"/>
                      <w:szCs w:val="24"/>
                      <w:lang w:eastAsia="zh-CN"/>
                    </w:rPr>
                  </w:pPr>
                  <w:r>
                    <w:rPr>
                      <w:rFonts w:hint="eastAsia" w:ascii="Times New Roman" w:hAnsi="Times New Roman" w:cs="Times New Roman"/>
                      <w:b/>
                      <w:bCs/>
                      <w:color w:val="auto"/>
                      <w:szCs w:val="24"/>
                      <w:lang w:eastAsia="zh-CN"/>
                    </w:rPr>
                    <w:t>性质</w:t>
                  </w:r>
                </w:p>
              </w:tc>
              <w:tc>
                <w:tcPr>
                  <w:tcW w:w="2377"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1</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eastAsia="zh-CN"/>
                    </w:rPr>
                  </w:pPr>
                  <w:r>
                    <w:rPr>
                      <w:rFonts w:hint="default" w:ascii="Times New Roman" w:hAnsi="Times New Roman" w:eastAsia="宋体" w:cs="Times New Roman"/>
                      <w:b w:val="0"/>
                      <w:bCs w:val="0"/>
                      <w:color w:val="auto"/>
                      <w:szCs w:val="24"/>
                      <w:lang w:eastAsia="zh-CN"/>
                    </w:rPr>
                    <w:t>受到危险化学品、农药等污染的废弃塑料</w:t>
                  </w:r>
                  <w:r>
                    <w:rPr>
                      <w:rFonts w:hint="eastAsia" w:ascii="Times New Roman" w:hAnsi="Times New Roman" w:eastAsia="宋体" w:cs="Times New Roman"/>
                      <w:b w:val="0"/>
                      <w:bCs w:val="0"/>
                      <w:color w:val="auto"/>
                      <w:szCs w:val="24"/>
                      <w:lang w:eastAsia="zh-CN"/>
                    </w:rPr>
                    <w:t>包装物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2</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Cs w:val="24"/>
                      <w:lang w:eastAsia="zh-CN"/>
                    </w:rPr>
                  </w:pPr>
                  <w:r>
                    <w:rPr>
                      <w:rFonts w:hint="default" w:ascii="Times New Roman" w:hAnsi="Times New Roman" w:eastAsia="宋体" w:cs="Times New Roman"/>
                      <w:color w:val="auto"/>
                      <w:sz w:val="21"/>
                      <w:szCs w:val="24"/>
                    </w:rPr>
                    <w:t>废弃一次性医疗用塑料制品</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Cs w:val="21"/>
                    </w:rPr>
                  </w:pPr>
                  <w:r>
                    <w:rPr>
                      <w:rFonts w:hint="eastAsia"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color w:val="auto"/>
                      <w:szCs w:val="24"/>
                      <w:lang w:val="en-US" w:eastAsia="zh-CN"/>
                    </w:rPr>
                  </w:pPr>
                  <w:r>
                    <w:rPr>
                      <w:rFonts w:hint="eastAsia" w:ascii="宋体" w:hAnsi="宋体" w:cs="宋体"/>
                      <w:b w:val="0"/>
                      <w:bCs w:val="0"/>
                      <w:color w:val="auto"/>
                      <w:szCs w:val="24"/>
                      <w:lang w:val="en-US" w:eastAsia="zh-CN"/>
                    </w:rPr>
                    <w:t>3</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染油废金属、废塑料</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4</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由生活垃圾中分选出的废塑料、废饮料瓶等具有或可产生恶臭、渗滤液的废弃物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5</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纳入危险废物管理的废弃物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禁止收集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color w:val="auto"/>
                      <w:szCs w:val="24"/>
                      <w:lang w:val="en-US" w:eastAsia="zh-CN"/>
                    </w:rPr>
                  </w:pPr>
                  <w:r>
                    <w:rPr>
                      <w:rFonts w:hint="eastAsia" w:ascii="宋体" w:hAnsi="宋体" w:eastAsia="宋体" w:cs="宋体"/>
                      <w:b w:val="0"/>
                      <w:bCs w:val="0"/>
                      <w:color w:val="auto"/>
                      <w:szCs w:val="24"/>
                      <w:lang w:val="en-US" w:eastAsia="zh-CN"/>
                    </w:rPr>
                    <w:t>6</w:t>
                  </w:r>
                </w:p>
              </w:tc>
              <w:tc>
                <w:tcPr>
                  <w:tcW w:w="44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其他具有或可产生恶臭、渗滤液的废弃物</w:t>
                  </w:r>
                </w:p>
              </w:tc>
              <w:tc>
                <w:tcPr>
                  <w:tcW w:w="23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eastAsia="zh-CN"/>
                    </w:rPr>
                    <w:t>禁止收集</w:t>
                  </w:r>
                </w:p>
              </w:tc>
            </w:tr>
          </w:tbl>
          <w:p>
            <w:pPr>
              <w:pStyle w:val="66"/>
              <w:ind w:firstLine="482"/>
              <w:rPr>
                <w:rFonts w:hint="default" w:ascii="Times New Roman" w:hAnsi="Times New Roman" w:cs="Times New Roman"/>
                <w:b/>
                <w:bCs/>
              </w:rPr>
            </w:pPr>
            <w:r>
              <w:rPr>
                <w:rFonts w:hint="eastAsia"/>
                <w:lang w:val="en-US" w:eastAsia="zh-CN"/>
              </w:rPr>
              <w:t>项目原料需经过人工初步预选，挑出不符合要求的原料后方可上线生产。</w:t>
            </w:r>
          </w:p>
          <w:p>
            <w:pPr>
              <w:pStyle w:val="66"/>
              <w:ind w:firstLine="482"/>
              <w:rPr>
                <w:rFonts w:hint="default" w:ascii="Times New Roman" w:hAnsi="Times New Roman" w:cs="Times New Roman"/>
                <w:b/>
                <w:bCs/>
              </w:rPr>
            </w:pPr>
            <w:r>
              <w:rPr>
                <w:rFonts w:hint="default" w:ascii="Times New Roman" w:hAnsi="Times New Roman" w:cs="Times New Roman"/>
                <w:b/>
                <w:bCs/>
              </w:rPr>
              <w:t>6、产品方案</w:t>
            </w:r>
          </w:p>
          <w:p>
            <w:pPr>
              <w:pStyle w:val="66"/>
              <w:ind w:firstLine="480"/>
              <w:rPr>
                <w:rFonts w:hint="default" w:ascii="Times New Roman" w:hAnsi="Times New Roman" w:cs="Times New Roman"/>
              </w:rPr>
            </w:pPr>
            <w:r>
              <w:rPr>
                <w:rFonts w:hint="default" w:ascii="Times New Roman" w:hAnsi="Times New Roman" w:cs="Times New Roman"/>
              </w:rPr>
              <w:t>本项</w:t>
            </w:r>
            <w:r>
              <w:rPr>
                <w:rFonts w:ascii="Times New Roman" w:hAnsi="Times New Roman" w:cs="Times New Roman"/>
              </w:rPr>
              <w:t>目</w:t>
            </w:r>
            <w:r>
              <w:rPr>
                <w:rFonts w:hint="eastAsia" w:ascii="Times New Roman" w:hAnsi="Times New Roman" w:cs="Times New Roman"/>
                <w:lang w:val="en-US" w:eastAsia="zh-CN"/>
              </w:rPr>
              <w:t>主要从事塑料筐和废塑料回收造粒生产线，项目</w:t>
            </w:r>
            <w:r>
              <w:rPr>
                <w:rFonts w:hint="default" w:ascii="Times New Roman" w:hAnsi="Times New Roman" w:cs="Times New Roman"/>
              </w:rPr>
              <w:t>产量如下表所示：</w:t>
            </w:r>
            <w:r>
              <w:rPr>
                <w:rFonts w:ascii="Times New Roman" w:hAnsi="Times New Roman" w:cs="Times New Roman"/>
              </w:rPr>
              <w:t xml:space="preserve">  </w:t>
            </w:r>
          </w:p>
          <w:p>
            <w:pPr>
              <w:pStyle w:val="60"/>
              <w:rPr>
                <w:rFonts w:hint="default" w:ascii="Times New Roman" w:hAnsi="Times New Roman"/>
              </w:rPr>
            </w:pPr>
            <w:r>
              <w:rPr>
                <w:rFonts w:hint="default" w:ascii="Times New Roman" w:hAnsi="Times New Roman"/>
              </w:rPr>
              <w:t>表2-</w:t>
            </w:r>
            <w:r>
              <w:rPr>
                <w:rFonts w:hint="eastAsia" w:ascii="Times New Roman" w:hAnsi="Times New Roman"/>
                <w:lang w:val="en-US" w:eastAsia="zh-CN"/>
              </w:rPr>
              <w:t>5</w:t>
            </w:r>
            <w:r>
              <w:rPr>
                <w:rFonts w:hint="default" w:ascii="Times New Roman" w:hAnsi="Times New Roman"/>
              </w:rPr>
              <w:t xml:space="preserve"> 本项目产品方案表</w:t>
            </w:r>
          </w:p>
          <w:tbl>
            <w:tblPr>
              <w:tblStyle w:val="24"/>
              <w:tblW w:w="82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434"/>
              <w:gridCol w:w="2085"/>
              <w:gridCol w:w="2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31"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sz w:val="24"/>
                      <w:szCs w:val="24"/>
                    </w:rPr>
                  </w:pPr>
                  <w:r>
                    <w:rPr>
                      <w:rFonts w:ascii="Times New Roman" w:hAnsi="Times New Roman"/>
                      <w:b/>
                      <w:bCs/>
                      <w:sz w:val="24"/>
                      <w:szCs w:val="24"/>
                    </w:rPr>
                    <w:t>序号</w:t>
                  </w:r>
                </w:p>
              </w:tc>
              <w:tc>
                <w:tcPr>
                  <w:tcW w:w="2434"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sz w:val="24"/>
                      <w:szCs w:val="24"/>
                    </w:rPr>
                  </w:pPr>
                  <w:r>
                    <w:rPr>
                      <w:rFonts w:ascii="Times New Roman" w:hAnsi="Times New Roman"/>
                      <w:b/>
                      <w:bCs/>
                      <w:sz w:val="24"/>
                      <w:szCs w:val="24"/>
                    </w:rPr>
                    <w:t>产品名称</w:t>
                  </w:r>
                </w:p>
              </w:tc>
              <w:tc>
                <w:tcPr>
                  <w:tcW w:w="2085"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ascii="Times New Roman" w:hAnsi="Times New Roman"/>
                      <w:b/>
                      <w:bCs/>
                      <w:sz w:val="24"/>
                      <w:szCs w:val="24"/>
                    </w:rPr>
                  </w:pPr>
                  <w:r>
                    <w:rPr>
                      <w:rFonts w:hint="eastAsia" w:ascii="Times New Roman" w:hAnsi="Times New Roman"/>
                      <w:b/>
                      <w:bCs/>
                      <w:sz w:val="24"/>
                      <w:szCs w:val="24"/>
                    </w:rPr>
                    <w:t>年产量</w:t>
                  </w:r>
                </w:p>
              </w:tc>
              <w:tc>
                <w:tcPr>
                  <w:tcW w:w="2848"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ind w:left="0" w:leftChars="0"/>
                    <w:jc w:val="center"/>
                    <w:textAlignment w:val="auto"/>
                    <w:rPr>
                      <w:rFonts w:hint="default" w:ascii="Times New Roman" w:hAnsi="Times New Roman" w:eastAsia="宋体"/>
                      <w:b/>
                      <w:bCs/>
                      <w:color w:val="000000"/>
                      <w:sz w:val="24"/>
                      <w:szCs w:val="24"/>
                      <w:lang w:val="en-US" w:eastAsia="zh-CN"/>
                    </w:rPr>
                  </w:pPr>
                  <w:r>
                    <w:rPr>
                      <w:rFonts w:hint="eastAsia" w:ascii="Times New Roman" w:hAnsi="Times New Roman"/>
                      <w:b/>
                      <w:bCs/>
                      <w:color w:val="000000"/>
                      <w:sz w:val="24"/>
                      <w:szCs w:val="24"/>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31"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w:t>
                  </w:r>
                </w:p>
              </w:tc>
              <w:tc>
                <w:tcPr>
                  <w:tcW w:w="2434"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塑料筐</w:t>
                  </w:r>
                </w:p>
              </w:tc>
              <w:tc>
                <w:tcPr>
                  <w:tcW w:w="2085"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5000t/a</w:t>
                  </w:r>
                </w:p>
              </w:tc>
              <w:tc>
                <w:tcPr>
                  <w:tcW w:w="2848"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单个产品平均重量2.5kg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31"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p>
              </w:tc>
              <w:tc>
                <w:tcPr>
                  <w:tcW w:w="2434"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塑料碎片</w:t>
                  </w:r>
                </w:p>
              </w:tc>
              <w:tc>
                <w:tcPr>
                  <w:tcW w:w="2085"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5000</w:t>
                  </w:r>
                  <w:r>
                    <w:rPr>
                      <w:rFonts w:hint="default" w:ascii="Times New Roman" w:hAnsi="Times New Roman" w:cs="Times New Roman"/>
                      <w:sz w:val="24"/>
                      <w:szCs w:val="24"/>
                      <w:lang w:val="en-US" w:eastAsia="zh-CN"/>
                    </w:rPr>
                    <w:t>t</w:t>
                  </w:r>
                  <w:r>
                    <w:rPr>
                      <w:rFonts w:hint="eastAsia" w:ascii="Times New Roman" w:hAnsi="Times New Roman" w:cs="Times New Roman"/>
                      <w:sz w:val="24"/>
                      <w:szCs w:val="24"/>
                      <w:lang w:val="en-US" w:eastAsia="zh-CN"/>
                    </w:rPr>
                    <w:t>/a</w:t>
                  </w:r>
                </w:p>
              </w:tc>
              <w:tc>
                <w:tcPr>
                  <w:tcW w:w="2848" w:type="dxa"/>
                  <w:noWrap w:val="0"/>
                  <w:vAlign w:val="center"/>
                </w:tcPr>
                <w:p>
                  <w:pPr>
                    <w:pStyle w:val="58"/>
                    <w:keepNext w:val="0"/>
                    <w:keepLines w:val="0"/>
                    <w:pageBreakBefore w:val="0"/>
                    <w:widowControl w:val="0"/>
                    <w:tabs>
                      <w:tab w:val="right" w:leader="dot" w:pos="8306"/>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0.5-1.5cm碎片</w:t>
                  </w:r>
                </w:p>
              </w:tc>
            </w:tr>
          </w:tbl>
          <w:p>
            <w:pPr>
              <w:pStyle w:val="66"/>
              <w:ind w:firstLine="482"/>
              <w:rPr>
                <w:rFonts w:hint="default" w:ascii="Times New Roman" w:hAnsi="Times New Roman" w:cs="Times New Roman"/>
                <w:b/>
                <w:bCs/>
              </w:rPr>
            </w:pPr>
            <w:r>
              <w:rPr>
                <w:rFonts w:hint="default" w:ascii="Times New Roman" w:hAnsi="Times New Roman" w:cs="Times New Roman"/>
                <w:b/>
                <w:bCs/>
              </w:rPr>
              <w:t>7、劳动定员</w:t>
            </w:r>
          </w:p>
          <w:p>
            <w:pPr>
              <w:pStyle w:val="66"/>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w:t>
            </w:r>
            <w:r>
              <w:rPr>
                <w:rFonts w:ascii="Times New Roman" w:hAnsi="Times New Roman" w:cs="Times New Roman"/>
                <w:color w:val="000000" w:themeColor="text1"/>
                <w:highlight w:val="none"/>
                <w14:textFill>
                  <w14:solidFill>
                    <w14:schemeClr w14:val="tx1"/>
                  </w14:solidFill>
                </w14:textFill>
              </w:rPr>
              <w:t>项目</w:t>
            </w:r>
            <w:r>
              <w:rPr>
                <w:rFonts w:hint="default" w:ascii="Times New Roman" w:hAnsi="Times New Roman" w:cs="Times New Roman"/>
                <w:color w:val="000000" w:themeColor="text1"/>
                <w:highlight w:val="none"/>
                <w14:textFill>
                  <w14:solidFill>
                    <w14:schemeClr w14:val="tx1"/>
                  </w14:solidFill>
                </w14:textFill>
              </w:rPr>
              <w:t>劳动定员40人，</w:t>
            </w:r>
            <w:r>
              <w:rPr>
                <w:rFonts w:ascii="Times New Roman" w:hAnsi="Times New Roman" w:cs="Times New Roman"/>
                <w:color w:val="000000" w:themeColor="text1"/>
                <w:highlight w:val="none"/>
                <w14:textFill>
                  <w14:solidFill>
                    <w14:schemeClr w14:val="tx1"/>
                  </w14:solidFill>
                </w14:textFill>
              </w:rPr>
              <w:t>双</w:t>
            </w:r>
            <w:r>
              <w:rPr>
                <w:rFonts w:hint="default" w:ascii="Times New Roman" w:hAnsi="Times New Roman" w:cs="Times New Roman"/>
                <w:color w:val="000000" w:themeColor="text1"/>
                <w:highlight w:val="none"/>
                <w14:textFill>
                  <w14:solidFill>
                    <w14:schemeClr w14:val="tx1"/>
                  </w14:solidFill>
                </w14:textFill>
              </w:rPr>
              <w:t>班制，8小时/班，年生产300天。</w:t>
            </w:r>
          </w:p>
          <w:p>
            <w:pPr>
              <w:pStyle w:val="66"/>
              <w:ind w:firstLine="482"/>
              <w:rPr>
                <w:rFonts w:hint="default" w:ascii="Times New Roman" w:hAnsi="Times New Roman" w:cs="Times New Roman"/>
                <w:b/>
                <w:bCs/>
              </w:rPr>
            </w:pPr>
            <w:r>
              <w:rPr>
                <w:rFonts w:hint="default" w:ascii="Times New Roman" w:hAnsi="Times New Roman" w:cs="Times New Roman"/>
                <w:b/>
                <w:bCs/>
              </w:rPr>
              <w:t>8、公用工程及辅助工程</w:t>
            </w:r>
          </w:p>
          <w:p>
            <w:pPr>
              <w:pStyle w:val="66"/>
              <w:ind w:firstLine="480"/>
              <w:rPr>
                <w:rFonts w:hint="default" w:ascii="Times New Roman" w:hAnsi="Times New Roman" w:cs="Times New Roman"/>
              </w:rPr>
            </w:pPr>
            <w:r>
              <w:rPr>
                <w:rFonts w:hint="default" w:ascii="Times New Roman" w:hAnsi="Times New Roman" w:cs="Times New Roman"/>
              </w:rPr>
              <w:t>（1）给水</w:t>
            </w:r>
          </w:p>
          <w:p>
            <w:pPr>
              <w:pStyle w:val="66"/>
              <w:ind w:firstLine="480"/>
              <w:rPr>
                <w:rFonts w:hint="default" w:ascii="Times New Roman" w:hAnsi="Times New Roman" w:cs="Times New Roman"/>
              </w:rPr>
            </w:pPr>
            <w:r>
              <w:rPr>
                <w:rFonts w:hint="default" w:ascii="Times New Roman" w:hAnsi="Times New Roman" w:cs="Times New Roman"/>
              </w:rPr>
              <w:t>本项目生活用水依托蓬溪县上游工业园现有的市政管网供给。</w:t>
            </w:r>
          </w:p>
          <w:p>
            <w:pPr>
              <w:pStyle w:val="66"/>
              <w:ind w:firstLine="480"/>
              <w:rPr>
                <w:rFonts w:hint="default" w:ascii="Times New Roman" w:hAnsi="Times New Roman" w:cs="Times New Roman"/>
              </w:rPr>
            </w:pPr>
            <w:r>
              <w:rPr>
                <w:rFonts w:hint="default" w:ascii="Times New Roman" w:hAnsi="Times New Roman" w:cs="Times New Roman"/>
              </w:rPr>
              <w:t>（2）排水</w:t>
            </w:r>
          </w:p>
          <w:p>
            <w:pPr>
              <w:pStyle w:val="66"/>
              <w:ind w:firstLine="480"/>
              <w:rPr>
                <w:rFonts w:hint="default" w:ascii="Times New Roman" w:hAnsi="Times New Roman" w:eastAsia="宋体" w:cs="Times New Roman"/>
                <w:lang w:val="en-US" w:eastAsia="zh-CN"/>
              </w:rPr>
            </w:pPr>
            <w:r>
              <w:rPr>
                <w:rFonts w:hint="default" w:ascii="Times New Roman" w:hAnsi="Times New Roman" w:cs="Times New Roman"/>
              </w:rPr>
              <w:t>本项目</w:t>
            </w:r>
            <w:r>
              <w:rPr>
                <w:rFonts w:hint="eastAsia" w:ascii="Times New Roman" w:hAnsi="Times New Roman" w:cs="Times New Roman"/>
                <w:lang w:eastAsia="zh-CN"/>
              </w:rPr>
              <w:t>生活污水</w:t>
            </w:r>
            <w:r>
              <w:rPr>
                <w:rFonts w:hint="eastAsia" w:ascii="Times New Roman" w:hAnsi="Times New Roman" w:cs="Times New Roman"/>
                <w:lang w:val="en-US" w:eastAsia="zh-CN"/>
              </w:rPr>
              <w:t>依托既有化粪池处理后</w:t>
            </w:r>
            <w:r>
              <w:rPr>
                <w:rFonts w:hint="default" w:ascii="Times New Roman" w:hAnsi="Times New Roman" w:cs="Times New Roman"/>
              </w:rPr>
              <w:t>排入污水管网送蓬溪县经开区污水处理厂处理达标后排入芝溪河；雨水排入蓬溪县上游工业园市政雨水管网排放。</w:t>
            </w:r>
            <w:r>
              <w:rPr>
                <w:rFonts w:hint="eastAsia" w:ascii="Times New Roman" w:hAnsi="Times New Roman" w:cs="Times New Roman"/>
                <w:lang w:val="en-US" w:eastAsia="zh-CN"/>
              </w:rPr>
              <w:t>生产废水经厂区污水处理设施处理达标后经厂区总排放口排入市政管网送蓬溪经开区污水处理厂处理。</w:t>
            </w:r>
          </w:p>
          <w:p>
            <w:pPr>
              <w:pStyle w:val="66"/>
              <w:ind w:firstLine="480"/>
              <w:rPr>
                <w:rFonts w:hint="default" w:ascii="Times New Roman" w:hAnsi="Times New Roman" w:cs="Times New Roman"/>
              </w:rPr>
            </w:pPr>
            <w:r>
              <w:rPr>
                <w:rFonts w:hint="default" w:ascii="Times New Roman" w:hAnsi="Times New Roman" w:cs="Times New Roman"/>
              </w:rPr>
              <w:t>（3）供电</w:t>
            </w:r>
          </w:p>
          <w:p>
            <w:pPr>
              <w:pStyle w:val="66"/>
              <w:ind w:firstLine="480"/>
              <w:rPr>
                <w:rFonts w:hint="default" w:ascii="Times New Roman" w:hAnsi="Times New Roman" w:cs="Times New Roman"/>
              </w:rPr>
            </w:pPr>
            <w:r>
              <w:rPr>
                <w:rFonts w:hint="default" w:ascii="Times New Roman" w:hAnsi="Times New Roman" w:cs="Times New Roman"/>
              </w:rPr>
              <w:t>本项目依托蓬溪县上游工业园已建设的市政供电设施供电。</w:t>
            </w:r>
          </w:p>
          <w:p>
            <w:pPr>
              <w:pStyle w:val="66"/>
              <w:ind w:firstLine="482"/>
              <w:rPr>
                <w:rFonts w:hint="default" w:ascii="Times New Roman" w:hAnsi="Times New Roman" w:cs="Times New Roman"/>
                <w:b/>
                <w:bCs/>
              </w:rPr>
            </w:pPr>
            <w:r>
              <w:rPr>
                <w:rFonts w:ascii="Times New Roman" w:hAnsi="Times New Roman" w:cs="Times New Roman"/>
                <w:b/>
                <w:bCs/>
              </w:rPr>
              <w:t>9、</w:t>
            </w:r>
            <w:r>
              <w:rPr>
                <w:rFonts w:hint="default" w:ascii="Times New Roman" w:hAnsi="Times New Roman" w:cs="Times New Roman"/>
                <w:b/>
                <w:bCs/>
              </w:rPr>
              <w:t>厂区平面布置</w:t>
            </w:r>
          </w:p>
          <w:p>
            <w:pPr>
              <w:pStyle w:val="66"/>
              <w:ind w:firstLine="480"/>
              <w:rPr>
                <w:rFonts w:hint="default" w:ascii="Times New Roman" w:hAnsi="Times New Roman" w:cs="Times New Roman"/>
              </w:rPr>
            </w:pPr>
            <w:r>
              <w:rPr>
                <w:rFonts w:hint="default" w:ascii="Times New Roman" w:hAnsi="Times New Roman" w:cs="Times New Roman"/>
              </w:rPr>
              <w:t>本项目</w:t>
            </w:r>
            <w:r>
              <w:rPr>
                <w:rFonts w:hint="eastAsia" w:ascii="Times New Roman" w:hAnsi="Times New Roman" w:cs="Times New Roman"/>
                <w:lang w:eastAsia="zh-CN"/>
              </w:rPr>
              <w:t>整体呈品字形分布，主要分为塑料框生产车间、塑料破碎清洗生产线、塑料造粒生产线和成品仓库。塑料筐生产线位于厂区西侧至南侧，塑料破碎清洗线位于厂区东侧，塑料造粒生产线位于厂区北侧，中间厂房为仓库</w:t>
            </w:r>
            <w:r>
              <w:rPr>
                <w:rFonts w:ascii="Times New Roman" w:hAnsi="Times New Roman" w:cs="Times New Roman"/>
              </w:rPr>
              <w:t>。</w:t>
            </w:r>
            <w:r>
              <w:rPr>
                <w:rFonts w:hint="eastAsia" w:ascii="Times New Roman" w:hAnsi="Times New Roman" w:cs="Times New Roman"/>
                <w:lang w:eastAsia="zh-CN"/>
              </w:rPr>
              <w:t>污水处理设施设置于废水产生量大的塑料破碎清洗车间北侧，塑料造粒生产线废气处理设施，塑料框生产线废气处理设施分别设置于各自厂房外靠厂界一侧。办公区设置于厂区出入口南侧，与生产区域相对独立布置以</w:t>
            </w:r>
            <w:r>
              <w:rPr>
                <w:rFonts w:hint="eastAsia" w:ascii="Times New Roman" w:hAnsi="Times New Roman" w:cs="Times New Roman"/>
                <w:lang w:val="en-US" w:eastAsia="zh-CN"/>
              </w:rPr>
              <w:t>远离生产区域以降低对人员办公的影响。</w:t>
            </w:r>
            <w:r>
              <w:rPr>
                <w:rFonts w:ascii="Times New Roman" w:hAnsi="Times New Roman" w:cs="Times New Roman"/>
              </w:rPr>
              <w:t>项目整体按工艺流程顺序布置，尽可能地降低物料的转运距离。</w:t>
            </w:r>
          </w:p>
          <w:p>
            <w:pPr>
              <w:pStyle w:val="66"/>
              <w:ind w:firstLine="480"/>
              <w:rPr>
                <w:rFonts w:hint="default" w:ascii="Times New Roman" w:hAnsi="Times New Roman" w:cs="Times New Roman"/>
              </w:rPr>
            </w:pPr>
            <w:r>
              <w:rPr>
                <w:rFonts w:hint="default" w:ascii="Times New Roman" w:hAnsi="Times New Roman" w:cs="Times New Roman"/>
              </w:rPr>
              <w:t>整体而言，本项目总平面布置按照物料加工顺序的方式布设，避免了人流和物流的交叉，降低能源消耗、提升生产效率。因此从环保的角度讲本项目总平面布置具有合理性。</w:t>
            </w:r>
          </w:p>
          <w:p>
            <w:pPr>
              <w:pStyle w:val="66"/>
              <w:ind w:firstLine="482"/>
              <w:rPr>
                <w:rFonts w:hint="default" w:ascii="Times New Roman" w:hAnsi="Times New Roman" w:cs="Times New Roman"/>
                <w:b/>
                <w:bCs/>
              </w:rPr>
            </w:pPr>
            <w:r>
              <w:rPr>
                <w:rFonts w:ascii="Times New Roman" w:hAnsi="Times New Roman" w:cs="Times New Roman"/>
                <w:b/>
                <w:bCs/>
              </w:rPr>
              <w:t>10、</w:t>
            </w:r>
            <w:r>
              <w:rPr>
                <w:rFonts w:hint="default" w:ascii="Times New Roman" w:hAnsi="Times New Roman" w:cs="Times New Roman"/>
                <w:b/>
                <w:bCs/>
              </w:rPr>
              <w:t>环保投资</w:t>
            </w:r>
          </w:p>
          <w:p>
            <w:pPr>
              <w:pStyle w:val="66"/>
              <w:ind w:firstLine="480"/>
              <w:rPr>
                <w:rFonts w:hint="default" w:ascii="Times New Roman" w:hAnsi="Times New Roman" w:cs="Times New Roman"/>
              </w:rPr>
            </w:pPr>
            <w:r>
              <w:rPr>
                <w:rFonts w:hint="default" w:ascii="Times New Roman" w:hAnsi="Times New Roman" w:cs="Times New Roman"/>
              </w:rPr>
              <w:t>本项目总投资为</w:t>
            </w:r>
            <w:r>
              <w:rPr>
                <w:rFonts w:hint="eastAsia" w:ascii="Times New Roman" w:hAnsi="Times New Roman" w:cs="Times New Roman"/>
                <w:lang w:val="en-US" w:eastAsia="zh-CN"/>
              </w:rPr>
              <w:t>800</w:t>
            </w:r>
            <w:r>
              <w:rPr>
                <w:rFonts w:hint="default" w:ascii="Times New Roman" w:hAnsi="Times New Roman" w:cs="Times New Roman"/>
              </w:rPr>
              <w:t>万元，其中环保投资约为</w:t>
            </w:r>
            <w:r>
              <w:rPr>
                <w:rFonts w:hint="eastAsia" w:ascii="Times New Roman" w:hAnsi="Times New Roman" w:cs="Times New Roman"/>
                <w:lang w:val="en-US" w:eastAsia="zh-CN"/>
              </w:rPr>
              <w:t>46.5</w:t>
            </w:r>
            <w:r>
              <w:rPr>
                <w:rFonts w:hint="default" w:ascii="Times New Roman" w:hAnsi="Times New Roman" w:cs="Times New Roman"/>
              </w:rPr>
              <w:t>万元，占总投资</w:t>
            </w:r>
            <w:r>
              <w:rPr>
                <w:rFonts w:hint="eastAsia" w:ascii="Times New Roman" w:hAnsi="Times New Roman" w:cs="Times New Roman"/>
                <w:lang w:val="en-US" w:eastAsia="zh-CN"/>
              </w:rPr>
              <w:t>5.81</w:t>
            </w:r>
            <w:r>
              <w:rPr>
                <w:rFonts w:hint="default" w:ascii="Times New Roman" w:hAnsi="Times New Roman" w:cs="Times New Roman"/>
              </w:rPr>
              <w:t>%，环保措施及投资情况如下。</w:t>
            </w:r>
          </w:p>
          <w:p>
            <w:pPr>
              <w:pStyle w:val="60"/>
              <w:rPr>
                <w:rFonts w:hint="default" w:ascii="Times New Roman" w:hAnsi="Times New Roman"/>
              </w:rPr>
            </w:pPr>
            <w:r>
              <w:rPr>
                <w:rFonts w:hint="default" w:ascii="Times New Roman" w:hAnsi="Times New Roman"/>
              </w:rPr>
              <w:t>表2-</w:t>
            </w:r>
            <w:r>
              <w:rPr>
                <w:rFonts w:hint="eastAsia" w:ascii="Times New Roman" w:hAnsi="Times New Roman"/>
                <w:lang w:val="en-US" w:eastAsia="zh-CN"/>
              </w:rPr>
              <w:t>6</w:t>
            </w:r>
            <w:r>
              <w:rPr>
                <w:rFonts w:hint="default" w:ascii="Times New Roman" w:hAnsi="Times New Roman"/>
              </w:rPr>
              <w:t xml:space="preserve"> 主要环保设施及投资估算一览表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5"/>
              <w:gridCol w:w="771"/>
              <w:gridCol w:w="4592"/>
              <w:gridCol w:w="1257"/>
              <w:gridCol w:w="105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15" w:hRule="atLeast"/>
                <w:jc w:val="center"/>
              </w:trPr>
              <w:tc>
                <w:tcPr>
                  <w:tcW w:w="1316" w:type="dxa"/>
                  <w:gridSpan w:val="2"/>
                  <w:noWrap w:val="0"/>
                  <w:vAlign w:val="center"/>
                </w:tcPr>
                <w:p>
                  <w:pPr>
                    <w:widowControl/>
                    <w:jc w:val="center"/>
                    <w:rPr>
                      <w:b/>
                      <w:kern w:val="0"/>
                      <w:szCs w:val="21"/>
                    </w:rPr>
                  </w:pPr>
                  <w:r>
                    <w:rPr>
                      <w:b/>
                      <w:spacing w:val="-1"/>
                      <w:kern w:val="0"/>
                      <w:szCs w:val="21"/>
                    </w:rPr>
                    <w:t>环保</w:t>
                  </w:r>
                </w:p>
                <w:p>
                  <w:pPr>
                    <w:widowControl/>
                    <w:jc w:val="center"/>
                    <w:rPr>
                      <w:b/>
                      <w:kern w:val="0"/>
                      <w:szCs w:val="21"/>
                    </w:rPr>
                  </w:pPr>
                  <w:r>
                    <w:rPr>
                      <w:b/>
                      <w:spacing w:val="-1"/>
                      <w:kern w:val="0"/>
                      <w:szCs w:val="21"/>
                    </w:rPr>
                    <w:t>项目</w:t>
                  </w:r>
                </w:p>
              </w:tc>
              <w:tc>
                <w:tcPr>
                  <w:tcW w:w="4592" w:type="dxa"/>
                  <w:noWrap w:val="0"/>
                  <w:vAlign w:val="center"/>
                </w:tcPr>
                <w:p>
                  <w:pPr>
                    <w:widowControl/>
                    <w:jc w:val="center"/>
                    <w:rPr>
                      <w:b/>
                      <w:kern w:val="0"/>
                      <w:szCs w:val="21"/>
                    </w:rPr>
                  </w:pPr>
                  <w:r>
                    <w:rPr>
                      <w:b/>
                      <w:kern w:val="0"/>
                      <w:szCs w:val="21"/>
                    </w:rPr>
                    <w:t>环保措施</w:t>
                  </w:r>
                </w:p>
              </w:tc>
              <w:tc>
                <w:tcPr>
                  <w:tcW w:w="1257" w:type="dxa"/>
                  <w:noWrap w:val="0"/>
                  <w:vAlign w:val="center"/>
                </w:tcPr>
                <w:p>
                  <w:pPr>
                    <w:widowControl/>
                    <w:jc w:val="center"/>
                    <w:rPr>
                      <w:b/>
                      <w:kern w:val="0"/>
                      <w:szCs w:val="21"/>
                    </w:rPr>
                  </w:pPr>
                  <w:r>
                    <w:rPr>
                      <w:b/>
                      <w:spacing w:val="-1"/>
                      <w:kern w:val="0"/>
                      <w:szCs w:val="21"/>
                    </w:rPr>
                    <w:t>预计金额</w:t>
                  </w:r>
                </w:p>
                <w:p>
                  <w:pPr>
                    <w:widowControl/>
                    <w:jc w:val="center"/>
                    <w:rPr>
                      <w:b/>
                      <w:kern w:val="0"/>
                      <w:szCs w:val="21"/>
                    </w:rPr>
                  </w:pPr>
                  <w:r>
                    <w:rPr>
                      <w:b/>
                      <w:kern w:val="0"/>
                      <w:szCs w:val="21"/>
                    </w:rPr>
                    <w:t>（万元）</w:t>
                  </w:r>
                </w:p>
              </w:tc>
              <w:tc>
                <w:tcPr>
                  <w:tcW w:w="1055" w:type="dxa"/>
                  <w:noWrap w:val="0"/>
                  <w:vAlign w:val="center"/>
                </w:tcPr>
                <w:p>
                  <w:pPr>
                    <w:widowControl/>
                    <w:jc w:val="center"/>
                    <w:rPr>
                      <w:b/>
                      <w:kern w:val="0"/>
                      <w:szCs w:val="21"/>
                    </w:rPr>
                  </w:pPr>
                  <w:r>
                    <w:rPr>
                      <w:b/>
                      <w:spacing w:val="-1"/>
                      <w:kern w:val="0"/>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545" w:type="dxa"/>
                  <w:vMerge w:val="restart"/>
                  <w:noWrap w:val="0"/>
                  <w:vAlign w:val="center"/>
                </w:tcPr>
                <w:p>
                  <w:pPr>
                    <w:widowControl/>
                    <w:spacing w:line="360" w:lineRule="auto"/>
                    <w:jc w:val="center"/>
                    <w:rPr>
                      <w:kern w:val="0"/>
                      <w:szCs w:val="21"/>
                    </w:rPr>
                  </w:pPr>
                  <w:r>
                    <w:rPr>
                      <w:kern w:val="0"/>
                      <w:szCs w:val="21"/>
                    </w:rPr>
                    <w:t>水污染防治</w:t>
                  </w:r>
                </w:p>
              </w:tc>
              <w:tc>
                <w:tcPr>
                  <w:tcW w:w="771" w:type="dxa"/>
                  <w:noWrap w:val="0"/>
                  <w:vAlign w:val="center"/>
                </w:tcPr>
                <w:p>
                  <w:pPr>
                    <w:widowControl/>
                    <w:jc w:val="center"/>
                    <w:rPr>
                      <w:bCs/>
                      <w:spacing w:val="-1"/>
                      <w:kern w:val="0"/>
                      <w:szCs w:val="21"/>
                    </w:rPr>
                  </w:pPr>
                  <w:r>
                    <w:rPr>
                      <w:bCs/>
                      <w:spacing w:val="-1"/>
                      <w:kern w:val="0"/>
                      <w:szCs w:val="21"/>
                    </w:rPr>
                    <w:t>施工期</w:t>
                  </w:r>
                </w:p>
              </w:tc>
              <w:tc>
                <w:tcPr>
                  <w:tcW w:w="4592" w:type="dxa"/>
                  <w:noWrap w:val="0"/>
                  <w:vAlign w:val="center"/>
                </w:tcPr>
                <w:p>
                  <w:pPr>
                    <w:widowControl/>
                    <w:spacing w:line="360" w:lineRule="auto"/>
                    <w:ind w:firstLine="420" w:firstLineChars="200"/>
                    <w:jc w:val="left"/>
                    <w:rPr>
                      <w:b/>
                      <w:kern w:val="0"/>
                      <w:szCs w:val="21"/>
                    </w:rPr>
                  </w:pPr>
                  <w:r>
                    <w:rPr>
                      <w:kern w:val="0"/>
                      <w:szCs w:val="21"/>
                    </w:rPr>
                    <w:t>施工期产生的生活废水</w:t>
                  </w:r>
                  <w:r>
                    <w:rPr>
                      <w:rFonts w:hint="eastAsia"/>
                      <w:kern w:val="0"/>
                      <w:szCs w:val="21"/>
                    </w:rPr>
                    <w:t>经</w:t>
                  </w:r>
                  <w:r>
                    <w:rPr>
                      <w:rFonts w:hint="eastAsia"/>
                      <w:kern w:val="0"/>
                      <w:szCs w:val="21"/>
                      <w:lang w:val="en-US" w:eastAsia="zh-CN"/>
                    </w:rPr>
                    <w:t>既有生活污水</w:t>
                  </w:r>
                  <w:r>
                    <w:rPr>
                      <w:rFonts w:hint="eastAsia"/>
                      <w:kern w:val="0"/>
                      <w:szCs w:val="21"/>
                    </w:rPr>
                    <w:t>收集设施收集处理后排入市政污水管网</w:t>
                  </w:r>
                  <w:r>
                    <w:rPr>
                      <w:kern w:val="0"/>
                      <w:szCs w:val="21"/>
                    </w:rPr>
                    <w:t>送蓬溪经开区污水处理厂处理</w:t>
                  </w:r>
                </w:p>
              </w:tc>
              <w:tc>
                <w:tcPr>
                  <w:tcW w:w="1257" w:type="dxa"/>
                  <w:noWrap w:val="0"/>
                  <w:vAlign w:val="center"/>
                </w:tcPr>
                <w:p>
                  <w:pPr>
                    <w:widowControl/>
                    <w:jc w:val="center"/>
                    <w:rPr>
                      <w:rFonts w:hint="eastAsia" w:eastAsia="宋体"/>
                      <w:b/>
                      <w:kern w:val="0"/>
                      <w:szCs w:val="21"/>
                      <w:lang w:eastAsia="zh-CN"/>
                    </w:rPr>
                  </w:pPr>
                  <w:r>
                    <w:rPr>
                      <w:rFonts w:hint="eastAsia"/>
                      <w:kern w:val="0"/>
                      <w:szCs w:val="21"/>
                      <w:lang w:val="en-US" w:eastAsia="zh-CN"/>
                    </w:rPr>
                    <w:t>/</w:t>
                  </w:r>
                </w:p>
              </w:tc>
              <w:tc>
                <w:tcPr>
                  <w:tcW w:w="1055" w:type="dxa"/>
                  <w:vMerge w:val="restart"/>
                  <w:noWrap w:val="0"/>
                  <w:vAlign w:val="center"/>
                </w:tcPr>
                <w:p>
                  <w:pPr>
                    <w:widowControl/>
                    <w:jc w:val="center"/>
                    <w:rPr>
                      <w:rFonts w:hint="default" w:eastAsia="宋体"/>
                      <w:b w:val="0"/>
                      <w:bCs/>
                      <w:spacing w:val="-1"/>
                      <w:kern w:val="0"/>
                      <w:szCs w:val="21"/>
                      <w:lang w:val="en-US" w:eastAsia="zh-CN"/>
                    </w:rPr>
                  </w:pPr>
                  <w:r>
                    <w:rPr>
                      <w:rFonts w:hint="eastAsia"/>
                      <w:b w:val="0"/>
                      <w:bCs/>
                      <w:spacing w:val="-1"/>
                      <w:kern w:val="0"/>
                      <w:szCs w:val="21"/>
                      <w:lang w:val="en-US" w:eastAsia="zh-CN"/>
                    </w:rPr>
                    <w:t>依托浙川门业既有生活废水处理设施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545" w:type="dxa"/>
                  <w:vMerge w:val="continue"/>
                  <w:noWrap w:val="0"/>
                  <w:vAlign w:val="center"/>
                </w:tcPr>
                <w:p>
                  <w:pPr>
                    <w:widowControl/>
                    <w:spacing w:line="360" w:lineRule="auto"/>
                    <w:jc w:val="left"/>
                    <w:rPr>
                      <w:kern w:val="0"/>
                      <w:szCs w:val="21"/>
                    </w:rPr>
                  </w:pPr>
                </w:p>
              </w:tc>
              <w:tc>
                <w:tcPr>
                  <w:tcW w:w="771" w:type="dxa"/>
                  <w:vMerge w:val="restart"/>
                  <w:noWrap w:val="0"/>
                  <w:vAlign w:val="center"/>
                </w:tcPr>
                <w:p>
                  <w:pPr>
                    <w:widowControl/>
                    <w:spacing w:line="360" w:lineRule="auto"/>
                    <w:jc w:val="left"/>
                    <w:rPr>
                      <w:bCs/>
                      <w:kern w:val="0"/>
                      <w:szCs w:val="21"/>
                    </w:rPr>
                  </w:pPr>
                  <w:r>
                    <w:rPr>
                      <w:bCs/>
                      <w:spacing w:val="-1"/>
                      <w:kern w:val="0"/>
                      <w:szCs w:val="21"/>
                    </w:rPr>
                    <w:t>运营期</w:t>
                  </w:r>
                </w:p>
              </w:tc>
              <w:tc>
                <w:tcPr>
                  <w:tcW w:w="4592" w:type="dxa"/>
                  <w:noWrap w:val="0"/>
                  <w:vAlign w:val="center"/>
                </w:tcPr>
                <w:p>
                  <w:pPr>
                    <w:widowControl/>
                    <w:spacing w:line="360" w:lineRule="auto"/>
                    <w:ind w:firstLine="210" w:firstLineChars="100"/>
                    <w:rPr>
                      <w:kern w:val="0"/>
                      <w:szCs w:val="21"/>
                    </w:rPr>
                  </w:pPr>
                  <w:r>
                    <w:rPr>
                      <w:rFonts w:hint="eastAsia"/>
                      <w:kern w:val="0"/>
                      <w:szCs w:val="21"/>
                      <w:lang w:val="en-US" w:eastAsia="zh-CN"/>
                    </w:rPr>
                    <w:t>运营期</w:t>
                  </w:r>
                  <w:r>
                    <w:rPr>
                      <w:kern w:val="0"/>
                      <w:szCs w:val="21"/>
                    </w:rPr>
                    <w:t>产生的生活废水</w:t>
                  </w:r>
                  <w:r>
                    <w:rPr>
                      <w:rFonts w:hint="eastAsia"/>
                      <w:kern w:val="0"/>
                      <w:szCs w:val="21"/>
                    </w:rPr>
                    <w:t>经</w:t>
                  </w:r>
                  <w:r>
                    <w:rPr>
                      <w:rFonts w:hint="eastAsia"/>
                      <w:kern w:val="0"/>
                      <w:szCs w:val="21"/>
                      <w:lang w:val="en-US" w:eastAsia="zh-CN"/>
                    </w:rPr>
                    <w:t>既有生活污水</w:t>
                  </w:r>
                  <w:r>
                    <w:rPr>
                      <w:rFonts w:hint="eastAsia"/>
                      <w:kern w:val="0"/>
                      <w:szCs w:val="21"/>
                    </w:rPr>
                    <w:t>收集设施收集处理后排入市政污水管网</w:t>
                  </w:r>
                  <w:r>
                    <w:rPr>
                      <w:kern w:val="0"/>
                      <w:szCs w:val="21"/>
                    </w:rPr>
                    <w:t>送蓬溪经开区污水处理厂处理</w:t>
                  </w:r>
                </w:p>
              </w:tc>
              <w:tc>
                <w:tcPr>
                  <w:tcW w:w="1257" w:type="dxa"/>
                  <w:noWrap w:val="0"/>
                  <w:vAlign w:val="center"/>
                </w:tcPr>
                <w:p>
                  <w:pPr>
                    <w:widowControl/>
                    <w:jc w:val="center"/>
                    <w:rPr>
                      <w:rFonts w:hint="eastAsia" w:eastAsia="宋体"/>
                      <w:kern w:val="0"/>
                      <w:szCs w:val="21"/>
                      <w:lang w:eastAsia="zh-CN"/>
                    </w:rPr>
                  </w:pPr>
                  <w:r>
                    <w:rPr>
                      <w:rFonts w:hint="eastAsia"/>
                      <w:kern w:val="0"/>
                      <w:szCs w:val="21"/>
                      <w:lang w:val="en-US" w:eastAsia="zh-CN"/>
                    </w:rPr>
                    <w:t>/</w:t>
                  </w:r>
                </w:p>
              </w:tc>
              <w:tc>
                <w:tcPr>
                  <w:tcW w:w="1055" w:type="dxa"/>
                  <w:vMerge w:val="continue"/>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45" w:type="dxa"/>
                  <w:vMerge w:val="continue"/>
                  <w:noWrap w:val="0"/>
                  <w:vAlign w:val="center"/>
                </w:tcPr>
                <w:p>
                  <w:pPr>
                    <w:widowControl/>
                    <w:spacing w:line="360" w:lineRule="auto"/>
                    <w:jc w:val="left"/>
                    <w:rPr>
                      <w:kern w:val="0"/>
                      <w:szCs w:val="21"/>
                    </w:rPr>
                  </w:pPr>
                </w:p>
              </w:tc>
              <w:tc>
                <w:tcPr>
                  <w:tcW w:w="771" w:type="dxa"/>
                  <w:vMerge w:val="continue"/>
                  <w:noWrap w:val="0"/>
                  <w:vAlign w:val="center"/>
                </w:tcPr>
                <w:p>
                  <w:pPr>
                    <w:widowControl/>
                    <w:spacing w:line="360" w:lineRule="auto"/>
                    <w:jc w:val="left"/>
                    <w:rPr>
                      <w:bCs/>
                      <w:spacing w:val="-1"/>
                      <w:kern w:val="0"/>
                      <w:szCs w:val="21"/>
                    </w:rPr>
                  </w:pPr>
                </w:p>
              </w:tc>
              <w:tc>
                <w:tcPr>
                  <w:tcW w:w="4592" w:type="dxa"/>
                  <w:noWrap w:val="0"/>
                  <w:vAlign w:val="center"/>
                </w:tcPr>
                <w:p>
                  <w:pPr>
                    <w:widowControl/>
                    <w:spacing w:line="360" w:lineRule="auto"/>
                    <w:ind w:firstLine="210" w:firstLineChars="100"/>
                    <w:rPr>
                      <w:rFonts w:hint="eastAsia" w:cs="Times New Roman"/>
                      <w:lang w:val="en-US" w:eastAsia="zh-CN"/>
                    </w:rPr>
                  </w:pPr>
                  <w:r>
                    <w:rPr>
                      <w:rFonts w:hint="eastAsia" w:cs="Times New Roman"/>
                      <w:lang w:val="en-US" w:eastAsia="zh-CN"/>
                    </w:rPr>
                    <w:t>①塑料框生产车间和塑料造粒生产线各</w:t>
                  </w:r>
                  <w:r>
                    <w:rPr>
                      <w:rFonts w:hint="eastAsia" w:ascii="Times New Roman" w:hAnsi="Times New Roman" w:eastAsia="宋体" w:cs="Times New Roman"/>
                      <w:lang w:val="en-US" w:eastAsia="zh-CN"/>
                    </w:rPr>
                    <w:t>设置循环冷却水池</w:t>
                  </w:r>
                  <w:r>
                    <w:rPr>
                      <w:rFonts w:hint="eastAsia" w:cs="Times New Roman"/>
                      <w:lang w:val="en-US" w:eastAsia="zh-CN"/>
                    </w:rPr>
                    <w:t>1</w:t>
                  </w:r>
                  <w:r>
                    <w:rPr>
                      <w:rFonts w:hint="eastAsia" w:ascii="Times New Roman" w:hAnsi="Times New Roman" w:eastAsia="宋体" w:cs="Times New Roman"/>
                      <w:lang w:val="en-US" w:eastAsia="zh-CN"/>
                    </w:rPr>
                    <w:t>处，容积</w:t>
                  </w:r>
                  <w:r>
                    <w:rPr>
                      <w:rFonts w:hint="default" w:ascii="Times New Roman" w:hAnsi="Times New Roman" w:eastAsia="宋体" w:cs="Times New Roman"/>
                      <w:lang w:val="en-US" w:eastAsia="zh-CN"/>
                    </w:rPr>
                    <w:t>约20m³，</w:t>
                  </w:r>
                  <w:r>
                    <w:rPr>
                      <w:rFonts w:hint="eastAsia" w:cs="Times New Roman"/>
                      <w:lang w:val="en-US" w:eastAsia="zh-CN"/>
                    </w:rPr>
                    <w:t>循环</w:t>
                  </w:r>
                  <w:r>
                    <w:rPr>
                      <w:rFonts w:hint="eastAsia" w:ascii="Times New Roman" w:hAnsi="Times New Roman" w:eastAsia="宋体" w:cs="Times New Roman"/>
                      <w:lang w:val="en-US" w:eastAsia="zh-CN"/>
                    </w:rPr>
                    <w:t>冷却水循环使用6个月后更新排放1次。更新排放的废水排入</w:t>
                  </w:r>
                  <w:r>
                    <w:rPr>
                      <w:rFonts w:hint="eastAsia" w:cs="Times New Roman"/>
                      <w:lang w:val="en-US" w:eastAsia="zh-CN"/>
                    </w:rPr>
                    <w:t>生产废水处理设施处理达标后经厂区总排口排入市政污水管网送蓬溪县经开区污水处理厂处理。</w:t>
                  </w:r>
                </w:p>
                <w:p>
                  <w:pPr>
                    <w:widowControl/>
                    <w:spacing w:line="360" w:lineRule="auto"/>
                    <w:ind w:firstLine="210" w:firstLineChars="100"/>
                    <w:rPr>
                      <w:rFonts w:hint="default"/>
                      <w:lang w:val="en-US" w:eastAsia="zh-CN"/>
                    </w:rPr>
                  </w:pPr>
                  <w:r>
                    <w:rPr>
                      <w:rFonts w:hint="eastAsia" w:cs="Times New Roman"/>
                      <w:lang w:val="en-US" w:eastAsia="zh-CN"/>
                    </w:rPr>
                    <w:t>②塑料清洗破碎生产线北侧设置厂区综合废水处理设施一处，设计处理能力为20m³/d，处理工艺为：</w:t>
                  </w:r>
                  <w:r>
                    <w:rPr>
                      <w:rFonts w:hint="default" w:ascii="Times New Roman" w:hAnsi="Times New Roman" w:cs="Times New Roman"/>
                      <w:color w:val="auto"/>
                      <w:sz w:val="21"/>
                      <w:szCs w:val="21"/>
                      <w:lang w:val="en-US" w:eastAsia="zh-CN"/>
                    </w:rPr>
                    <w:t>处理工艺为：pH调节+三级沉淀池+滤网+洗渣机(滚筒式</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+压滤机+一级气浮+二级气浮+调节池+A/O生化处理+二次池淀。</w:t>
                  </w:r>
                </w:p>
              </w:tc>
              <w:tc>
                <w:tcPr>
                  <w:tcW w:w="1257" w:type="dxa"/>
                  <w:noWrap w:val="0"/>
                  <w:vAlign w:val="center"/>
                </w:tcPr>
                <w:p>
                  <w:pPr>
                    <w:widowControl/>
                    <w:jc w:val="center"/>
                    <w:rPr>
                      <w:rFonts w:hint="default"/>
                      <w:kern w:val="0"/>
                      <w:szCs w:val="21"/>
                      <w:lang w:val="en-US" w:eastAsia="zh-CN"/>
                    </w:rPr>
                  </w:pPr>
                  <w:r>
                    <w:rPr>
                      <w:rFonts w:hint="eastAsia"/>
                      <w:kern w:val="0"/>
                      <w:szCs w:val="21"/>
                      <w:lang w:val="en-US" w:eastAsia="zh-CN"/>
                    </w:rPr>
                    <w:t>25.0</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pPr>
                    <w:widowControl/>
                    <w:jc w:val="center"/>
                    <w:rPr>
                      <w:kern w:val="0"/>
                      <w:szCs w:val="21"/>
                    </w:rPr>
                  </w:pPr>
                  <w:r>
                    <w:rPr>
                      <w:spacing w:val="-1"/>
                      <w:kern w:val="0"/>
                      <w:szCs w:val="21"/>
                    </w:rPr>
                    <w:t>噪声</w:t>
                  </w:r>
                </w:p>
                <w:p>
                  <w:pPr>
                    <w:widowControl/>
                    <w:jc w:val="center"/>
                    <w:rPr>
                      <w:kern w:val="0"/>
                      <w:szCs w:val="21"/>
                    </w:rPr>
                  </w:pPr>
                  <w:r>
                    <w:rPr>
                      <w:spacing w:val="-1"/>
                      <w:kern w:val="0"/>
                      <w:szCs w:val="21"/>
                    </w:rPr>
                    <w:t>防治</w:t>
                  </w:r>
                </w:p>
              </w:tc>
              <w:tc>
                <w:tcPr>
                  <w:tcW w:w="771" w:type="dxa"/>
                  <w:noWrap w:val="0"/>
                  <w:vAlign w:val="center"/>
                </w:tcPr>
                <w:p>
                  <w:pPr>
                    <w:widowControl/>
                    <w:jc w:val="center"/>
                    <w:rPr>
                      <w:spacing w:val="-1"/>
                      <w:kern w:val="0"/>
                      <w:szCs w:val="21"/>
                    </w:rPr>
                  </w:pPr>
                  <w:r>
                    <w:rPr>
                      <w:spacing w:val="-1"/>
                      <w:kern w:val="0"/>
                      <w:szCs w:val="21"/>
                    </w:rPr>
                    <w:t>施工期</w:t>
                  </w:r>
                </w:p>
              </w:tc>
              <w:tc>
                <w:tcPr>
                  <w:tcW w:w="4592" w:type="dxa"/>
                  <w:noWrap w:val="0"/>
                  <w:vAlign w:val="center"/>
                </w:tcPr>
                <w:p>
                  <w:pPr>
                    <w:widowControl/>
                    <w:spacing w:line="360" w:lineRule="auto"/>
                    <w:ind w:firstLine="210" w:firstLineChars="100"/>
                    <w:jc w:val="left"/>
                    <w:rPr>
                      <w:kern w:val="0"/>
                      <w:szCs w:val="21"/>
                    </w:rPr>
                  </w:pPr>
                  <w:r>
                    <w:rPr>
                      <w:kern w:val="0"/>
                      <w:szCs w:val="21"/>
                    </w:rPr>
                    <w:t>合理安排工作时间，文明施工，高噪声施工应避开夜间及午休时间。</w:t>
                  </w:r>
                </w:p>
              </w:tc>
              <w:tc>
                <w:tcPr>
                  <w:tcW w:w="1257" w:type="dxa"/>
                  <w:vMerge w:val="restart"/>
                  <w:noWrap w:val="0"/>
                  <w:vAlign w:val="center"/>
                </w:tcPr>
                <w:p>
                  <w:pPr>
                    <w:widowControl/>
                    <w:jc w:val="center"/>
                    <w:rPr>
                      <w:kern w:val="0"/>
                      <w:szCs w:val="21"/>
                    </w:rPr>
                  </w:pPr>
                  <w:r>
                    <w:rPr>
                      <w:kern w:val="0"/>
                      <w:szCs w:val="21"/>
                    </w:rPr>
                    <w:t>/</w:t>
                  </w:r>
                </w:p>
              </w:tc>
              <w:tc>
                <w:tcPr>
                  <w:tcW w:w="1055" w:type="dxa"/>
                  <w:vMerge w:val="restart"/>
                  <w:noWrap w:val="0"/>
                  <w:vAlign w:val="center"/>
                </w:tcPr>
                <w:p>
                  <w:pPr>
                    <w:widowControl/>
                    <w:jc w:val="center"/>
                    <w:rPr>
                      <w:kern w:val="0"/>
                      <w:szCs w:val="21"/>
                    </w:rPr>
                  </w:pPr>
                  <w:r>
                    <w:rPr>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1" w:hRule="atLeast"/>
                <w:jc w:val="center"/>
              </w:trPr>
              <w:tc>
                <w:tcPr>
                  <w:tcW w:w="545" w:type="dxa"/>
                  <w:vMerge w:val="continue"/>
                  <w:noWrap w:val="0"/>
                  <w:vAlign w:val="center"/>
                </w:tcPr>
                <w:p>
                  <w:pPr>
                    <w:widowControl/>
                    <w:jc w:val="center"/>
                  </w:pPr>
                </w:p>
              </w:tc>
              <w:tc>
                <w:tcPr>
                  <w:tcW w:w="771" w:type="dxa"/>
                  <w:noWrap w:val="0"/>
                  <w:vAlign w:val="center"/>
                </w:tcPr>
                <w:p>
                  <w:pPr>
                    <w:widowControl/>
                    <w:jc w:val="center"/>
                    <w:rPr>
                      <w:spacing w:val="-1"/>
                      <w:kern w:val="0"/>
                      <w:szCs w:val="21"/>
                    </w:rPr>
                  </w:pPr>
                  <w:r>
                    <w:rPr>
                      <w:spacing w:val="-1"/>
                      <w:kern w:val="0"/>
                      <w:szCs w:val="21"/>
                    </w:rPr>
                    <w:t>运营期</w:t>
                  </w:r>
                </w:p>
              </w:tc>
              <w:tc>
                <w:tcPr>
                  <w:tcW w:w="4592" w:type="dxa"/>
                  <w:noWrap w:val="0"/>
                  <w:vAlign w:val="center"/>
                </w:tcPr>
                <w:p>
                  <w:pPr>
                    <w:widowControl/>
                    <w:spacing w:line="360" w:lineRule="auto"/>
                    <w:ind w:firstLine="210" w:firstLineChars="100"/>
                    <w:jc w:val="left"/>
                    <w:rPr>
                      <w:kern w:val="0"/>
                      <w:szCs w:val="21"/>
                    </w:rPr>
                  </w:pPr>
                  <w:r>
                    <w:rPr>
                      <w:kern w:val="0"/>
                      <w:szCs w:val="21"/>
                    </w:rPr>
                    <w:t>选用低噪声设备、加强设备维护。</w:t>
                  </w:r>
                </w:p>
              </w:tc>
              <w:tc>
                <w:tcPr>
                  <w:tcW w:w="1257" w:type="dxa"/>
                  <w:vMerge w:val="continue"/>
                  <w:noWrap w:val="0"/>
                  <w:vAlign w:val="center"/>
                </w:tcPr>
                <w:p>
                  <w:pPr>
                    <w:widowControl/>
                    <w:jc w:val="center"/>
                    <w:rPr>
                      <w:spacing w:val="-1"/>
                      <w:kern w:val="0"/>
                      <w:szCs w:val="21"/>
                    </w:rPr>
                  </w:pPr>
                </w:p>
              </w:tc>
              <w:tc>
                <w:tcPr>
                  <w:tcW w:w="1055" w:type="dxa"/>
                  <w:vMerge w:val="continue"/>
                  <w:noWrap w:val="0"/>
                  <w:vAlign w:val="center"/>
                </w:tcPr>
                <w:p>
                  <w:pPr>
                    <w:widowControl/>
                    <w:jc w:val="center"/>
                    <w:rPr>
                      <w:spacing w:val="-1"/>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pPr>
                    <w:widowControl/>
                    <w:jc w:val="center"/>
                    <w:rPr>
                      <w:kern w:val="0"/>
                      <w:szCs w:val="21"/>
                    </w:rPr>
                  </w:pPr>
                  <w:r>
                    <w:rPr>
                      <w:spacing w:val="-1"/>
                      <w:kern w:val="0"/>
                      <w:szCs w:val="21"/>
                    </w:rPr>
                    <w:t>固废处置</w:t>
                  </w:r>
                </w:p>
              </w:tc>
              <w:tc>
                <w:tcPr>
                  <w:tcW w:w="771" w:type="dxa"/>
                  <w:noWrap w:val="0"/>
                  <w:vAlign w:val="center"/>
                </w:tcPr>
                <w:p>
                  <w:pPr>
                    <w:widowControl/>
                    <w:jc w:val="center"/>
                    <w:rPr>
                      <w:spacing w:val="-1"/>
                      <w:kern w:val="0"/>
                      <w:szCs w:val="21"/>
                    </w:rPr>
                  </w:pPr>
                  <w:r>
                    <w:rPr>
                      <w:spacing w:val="-1"/>
                      <w:kern w:val="0"/>
                      <w:szCs w:val="21"/>
                    </w:rPr>
                    <w:t>施工期</w:t>
                  </w:r>
                </w:p>
              </w:tc>
              <w:tc>
                <w:tcPr>
                  <w:tcW w:w="4592" w:type="dxa"/>
                  <w:noWrap w:val="0"/>
                  <w:vAlign w:val="center"/>
                </w:tcPr>
                <w:p>
                  <w:pPr>
                    <w:widowControl/>
                    <w:spacing w:line="360" w:lineRule="auto"/>
                    <w:ind w:firstLine="210" w:firstLineChars="100"/>
                    <w:jc w:val="left"/>
                    <w:rPr>
                      <w:kern w:val="0"/>
                      <w:szCs w:val="21"/>
                    </w:rPr>
                  </w:pPr>
                  <w:r>
                    <w:rPr>
                      <w:kern w:val="0"/>
                      <w:szCs w:val="21"/>
                    </w:rPr>
                    <w:t>生活垃圾委托市政环卫部门统一处置。</w:t>
                  </w:r>
                </w:p>
              </w:tc>
              <w:tc>
                <w:tcPr>
                  <w:tcW w:w="1257" w:type="dxa"/>
                  <w:noWrap w:val="0"/>
                  <w:vAlign w:val="center"/>
                </w:tcPr>
                <w:p>
                  <w:pPr>
                    <w:widowControl/>
                    <w:jc w:val="center"/>
                    <w:rPr>
                      <w:rFonts w:hint="eastAsia"/>
                      <w:spacing w:val="-1"/>
                      <w:kern w:val="0"/>
                      <w:szCs w:val="21"/>
                    </w:rPr>
                  </w:pPr>
                  <w:r>
                    <w:rPr>
                      <w:rFonts w:hint="eastAsia"/>
                      <w:spacing w:val="-1"/>
                      <w:kern w:val="0"/>
                      <w:szCs w:val="21"/>
                    </w:rPr>
                    <w:t>/</w:t>
                  </w:r>
                </w:p>
              </w:tc>
              <w:tc>
                <w:tcPr>
                  <w:tcW w:w="1055" w:type="dxa"/>
                  <w:noWrap w:val="0"/>
                  <w:vAlign w:val="center"/>
                </w:tcPr>
                <w:p>
                  <w:pPr>
                    <w:widowControl/>
                    <w:jc w:val="center"/>
                    <w:rPr>
                      <w:rFonts w:hint="eastAsia"/>
                      <w:spacing w:val="-1"/>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kern w:val="0"/>
                      <w:szCs w:val="21"/>
                    </w:rPr>
                  </w:pPr>
                </w:p>
              </w:tc>
              <w:tc>
                <w:tcPr>
                  <w:tcW w:w="771" w:type="dxa"/>
                  <w:vMerge w:val="restart"/>
                  <w:noWrap w:val="0"/>
                  <w:vAlign w:val="center"/>
                </w:tcPr>
                <w:p>
                  <w:pPr>
                    <w:widowControl/>
                    <w:jc w:val="center"/>
                    <w:rPr>
                      <w:spacing w:val="-1"/>
                      <w:kern w:val="0"/>
                      <w:szCs w:val="21"/>
                    </w:rPr>
                  </w:pPr>
                  <w:r>
                    <w:rPr>
                      <w:spacing w:val="-1"/>
                      <w:kern w:val="0"/>
                      <w:szCs w:val="21"/>
                    </w:rPr>
                    <w:t>运营期</w:t>
                  </w:r>
                </w:p>
              </w:tc>
              <w:tc>
                <w:tcPr>
                  <w:tcW w:w="4592" w:type="dxa"/>
                  <w:noWrap w:val="0"/>
                  <w:vAlign w:val="center"/>
                </w:tcPr>
                <w:p>
                  <w:pPr>
                    <w:widowControl/>
                    <w:spacing w:line="360" w:lineRule="auto"/>
                    <w:ind w:firstLine="210" w:firstLineChars="100"/>
                    <w:jc w:val="left"/>
                    <w:rPr>
                      <w:kern w:val="0"/>
                      <w:szCs w:val="21"/>
                    </w:rPr>
                  </w:pPr>
                  <w:r>
                    <w:rPr>
                      <w:kern w:val="0"/>
                      <w:szCs w:val="21"/>
                    </w:rPr>
                    <w:t>规范化建设危险废物暂存间约</w:t>
                  </w:r>
                  <w:r>
                    <w:rPr>
                      <w:rFonts w:hint="eastAsia"/>
                      <w:kern w:val="0"/>
                      <w:szCs w:val="21"/>
                      <w:lang w:val="en-US" w:eastAsia="zh-CN"/>
                    </w:rPr>
                    <w:t>10</w:t>
                  </w:r>
                  <w:r>
                    <w:rPr>
                      <w:kern w:val="0"/>
                      <w:szCs w:val="21"/>
                    </w:rPr>
                    <w:t>平方米。危险废物分类收集后定期委托</w:t>
                  </w:r>
                  <w:r>
                    <w:rPr>
                      <w:rFonts w:hint="eastAsia"/>
                      <w:kern w:val="0"/>
                      <w:szCs w:val="21"/>
                      <w:lang w:val="en-US" w:eastAsia="zh-CN"/>
                    </w:rPr>
                    <w:t>有</w:t>
                  </w:r>
                  <w:r>
                    <w:rPr>
                      <w:kern w:val="0"/>
                      <w:szCs w:val="21"/>
                    </w:rPr>
                    <w:t>资质</w:t>
                  </w:r>
                  <w:r>
                    <w:rPr>
                      <w:rFonts w:hint="eastAsia"/>
                      <w:kern w:val="0"/>
                      <w:szCs w:val="21"/>
                      <w:lang w:val="en-US" w:eastAsia="zh-CN"/>
                    </w:rPr>
                    <w:t>的</w:t>
                  </w:r>
                  <w:r>
                    <w:rPr>
                      <w:kern w:val="0"/>
                      <w:szCs w:val="21"/>
                    </w:rPr>
                    <w:t>单位处置。</w:t>
                  </w:r>
                </w:p>
              </w:tc>
              <w:tc>
                <w:tcPr>
                  <w:tcW w:w="1257" w:type="dxa"/>
                  <w:noWrap w:val="0"/>
                  <w:vAlign w:val="center"/>
                </w:tcPr>
                <w:p>
                  <w:pPr>
                    <w:widowControl/>
                    <w:jc w:val="center"/>
                    <w:rPr>
                      <w:rFonts w:hint="default" w:eastAsia="宋体"/>
                      <w:kern w:val="0"/>
                      <w:szCs w:val="21"/>
                      <w:lang w:val="en-US" w:eastAsia="zh-CN"/>
                    </w:rPr>
                  </w:pPr>
                  <w:r>
                    <w:rPr>
                      <w:rFonts w:hint="eastAsia"/>
                      <w:kern w:val="0"/>
                      <w:szCs w:val="21"/>
                      <w:lang w:val="en-US" w:eastAsia="zh-CN"/>
                    </w:rPr>
                    <w:t>0.5</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kern w:val="0"/>
                      <w:szCs w:val="21"/>
                    </w:rPr>
                  </w:pPr>
                </w:p>
              </w:tc>
              <w:tc>
                <w:tcPr>
                  <w:tcW w:w="771" w:type="dxa"/>
                  <w:vMerge w:val="continue"/>
                  <w:noWrap w:val="0"/>
                  <w:vAlign w:val="center"/>
                </w:tcPr>
                <w:p>
                  <w:pPr>
                    <w:widowControl/>
                    <w:jc w:val="center"/>
                    <w:rPr>
                      <w:spacing w:val="-1"/>
                      <w:kern w:val="0"/>
                      <w:szCs w:val="21"/>
                    </w:rPr>
                  </w:pPr>
                </w:p>
              </w:tc>
              <w:tc>
                <w:tcPr>
                  <w:tcW w:w="4592" w:type="dxa"/>
                  <w:noWrap w:val="0"/>
                  <w:vAlign w:val="center"/>
                </w:tcPr>
                <w:p>
                  <w:pPr>
                    <w:widowControl/>
                    <w:spacing w:line="360" w:lineRule="auto"/>
                    <w:ind w:firstLine="210" w:firstLineChars="100"/>
                    <w:jc w:val="left"/>
                    <w:rPr>
                      <w:kern w:val="0"/>
                      <w:szCs w:val="21"/>
                    </w:rPr>
                  </w:pPr>
                  <w:r>
                    <w:rPr>
                      <w:rFonts w:hint="eastAsia"/>
                      <w:kern w:val="0"/>
                      <w:szCs w:val="21"/>
                      <w:lang w:val="en-US" w:eastAsia="zh-CN"/>
                    </w:rPr>
                    <w:t>设置</w:t>
                  </w:r>
                  <w:r>
                    <w:rPr>
                      <w:kern w:val="0"/>
                      <w:szCs w:val="21"/>
                    </w:rPr>
                    <w:t>一般固废</w:t>
                  </w:r>
                  <w:r>
                    <w:rPr>
                      <w:rFonts w:hint="eastAsia"/>
                      <w:kern w:val="0"/>
                      <w:szCs w:val="21"/>
                      <w:lang w:val="en-US" w:eastAsia="zh-CN"/>
                    </w:rPr>
                    <w:t>暂存点</w:t>
                  </w:r>
                  <w:r>
                    <w:rPr>
                      <w:kern w:val="0"/>
                      <w:szCs w:val="21"/>
                    </w:rPr>
                    <w:t>一处</w:t>
                  </w:r>
                  <w:r>
                    <w:rPr>
                      <w:rFonts w:hint="eastAsia"/>
                      <w:kern w:val="0"/>
                      <w:szCs w:val="21"/>
                      <w:lang w:eastAsia="zh-CN"/>
                    </w:rPr>
                    <w:t>，</w:t>
                  </w:r>
                  <w:r>
                    <w:rPr>
                      <w:rFonts w:hint="eastAsia"/>
                      <w:kern w:val="0"/>
                      <w:szCs w:val="21"/>
                      <w:lang w:val="en-US" w:eastAsia="zh-CN"/>
                    </w:rPr>
                    <w:t>面积约50平方米，用于收集暂存污水处理站浮渣污泥等</w:t>
                  </w:r>
                  <w:r>
                    <w:rPr>
                      <w:kern w:val="0"/>
                      <w:szCs w:val="21"/>
                    </w:rPr>
                    <w:t>。</w:t>
                  </w:r>
                </w:p>
              </w:tc>
              <w:tc>
                <w:tcPr>
                  <w:tcW w:w="1257" w:type="dxa"/>
                  <w:noWrap w:val="0"/>
                  <w:vAlign w:val="center"/>
                </w:tcPr>
                <w:p>
                  <w:pPr>
                    <w:widowControl/>
                    <w:jc w:val="center"/>
                    <w:rPr>
                      <w:rFonts w:hint="default" w:eastAsia="宋体"/>
                      <w:kern w:val="0"/>
                      <w:szCs w:val="21"/>
                      <w:lang w:val="en-US" w:eastAsia="zh-CN"/>
                    </w:rPr>
                  </w:pPr>
                  <w:r>
                    <w:rPr>
                      <w:rFonts w:hint="eastAsia"/>
                      <w:kern w:val="0"/>
                      <w:szCs w:val="21"/>
                      <w:lang w:val="en-US" w:eastAsia="zh-CN"/>
                    </w:rPr>
                    <w:t>1.5</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545" w:type="dxa"/>
                  <w:vMerge w:val="continue"/>
                  <w:noWrap w:val="0"/>
                  <w:vAlign w:val="center"/>
                </w:tcPr>
                <w:p>
                  <w:pPr>
                    <w:adjustRightInd w:val="0"/>
                    <w:snapToGrid w:val="0"/>
                    <w:jc w:val="center"/>
                    <w:rPr>
                      <w:szCs w:val="21"/>
                    </w:rPr>
                  </w:pPr>
                </w:p>
              </w:tc>
              <w:tc>
                <w:tcPr>
                  <w:tcW w:w="771" w:type="dxa"/>
                  <w:vMerge w:val="continue"/>
                  <w:noWrap w:val="0"/>
                  <w:vAlign w:val="center"/>
                </w:tcPr>
                <w:p>
                  <w:pPr>
                    <w:adjustRightInd w:val="0"/>
                    <w:snapToGrid w:val="0"/>
                    <w:jc w:val="center"/>
                    <w:rPr>
                      <w:szCs w:val="21"/>
                    </w:rPr>
                  </w:pPr>
                </w:p>
              </w:tc>
              <w:tc>
                <w:tcPr>
                  <w:tcW w:w="4592" w:type="dxa"/>
                  <w:noWrap w:val="0"/>
                  <w:vAlign w:val="center"/>
                </w:tcPr>
                <w:p>
                  <w:pPr>
                    <w:widowControl/>
                    <w:spacing w:line="360" w:lineRule="auto"/>
                    <w:ind w:firstLine="210" w:firstLineChars="100"/>
                    <w:jc w:val="left"/>
                    <w:rPr>
                      <w:kern w:val="0"/>
                      <w:szCs w:val="21"/>
                    </w:rPr>
                  </w:pPr>
                  <w:r>
                    <w:rPr>
                      <w:kern w:val="0"/>
                      <w:szCs w:val="21"/>
                    </w:rPr>
                    <w:t>委托市政环卫部门对生活垃圾收运及处理</w:t>
                  </w:r>
                </w:p>
              </w:tc>
              <w:tc>
                <w:tcPr>
                  <w:tcW w:w="1257" w:type="dxa"/>
                  <w:noWrap w:val="0"/>
                  <w:vAlign w:val="center"/>
                </w:tcPr>
                <w:p>
                  <w:pPr>
                    <w:widowControl/>
                    <w:jc w:val="center"/>
                    <w:rPr>
                      <w:rFonts w:hint="eastAsia" w:eastAsia="宋体"/>
                      <w:kern w:val="0"/>
                      <w:szCs w:val="21"/>
                      <w:lang w:eastAsia="zh-CN"/>
                    </w:rPr>
                  </w:pPr>
                  <w:r>
                    <w:rPr>
                      <w:kern w:val="0"/>
                      <w:szCs w:val="21"/>
                    </w:rPr>
                    <w:t>0.</w:t>
                  </w:r>
                  <w:r>
                    <w:rPr>
                      <w:rFonts w:hint="eastAsia"/>
                      <w:kern w:val="0"/>
                      <w:szCs w:val="21"/>
                      <w:lang w:val="en-US" w:eastAsia="zh-CN"/>
                    </w:rPr>
                    <w:t>5</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9" w:hRule="atLeast"/>
                <w:jc w:val="center"/>
              </w:trPr>
              <w:tc>
                <w:tcPr>
                  <w:tcW w:w="545" w:type="dxa"/>
                  <w:vMerge w:val="restart"/>
                  <w:noWrap w:val="0"/>
                  <w:vAlign w:val="center"/>
                </w:tcPr>
                <w:p>
                  <w:pPr>
                    <w:widowControl/>
                    <w:jc w:val="center"/>
                    <w:rPr>
                      <w:kern w:val="0"/>
                      <w:szCs w:val="21"/>
                    </w:rPr>
                  </w:pPr>
                  <w:r>
                    <w:rPr>
                      <w:spacing w:val="-1"/>
                      <w:kern w:val="0"/>
                      <w:szCs w:val="21"/>
                    </w:rPr>
                    <w:t>大气污染防治措施</w:t>
                  </w:r>
                </w:p>
              </w:tc>
              <w:tc>
                <w:tcPr>
                  <w:tcW w:w="771" w:type="dxa"/>
                  <w:noWrap w:val="0"/>
                  <w:vAlign w:val="center"/>
                </w:tcPr>
                <w:p>
                  <w:pPr>
                    <w:adjustRightInd w:val="0"/>
                    <w:snapToGrid w:val="0"/>
                    <w:jc w:val="center"/>
                    <w:rPr>
                      <w:szCs w:val="21"/>
                    </w:rPr>
                  </w:pPr>
                  <w:r>
                    <w:rPr>
                      <w:szCs w:val="21"/>
                    </w:rPr>
                    <w:t>施工期</w:t>
                  </w:r>
                </w:p>
              </w:tc>
              <w:tc>
                <w:tcPr>
                  <w:tcW w:w="4592" w:type="dxa"/>
                  <w:noWrap w:val="0"/>
                  <w:vAlign w:val="center"/>
                </w:tcPr>
                <w:p>
                  <w:pPr>
                    <w:widowControl/>
                    <w:spacing w:line="360" w:lineRule="auto"/>
                    <w:ind w:firstLine="210" w:firstLineChars="100"/>
                    <w:jc w:val="left"/>
                    <w:rPr>
                      <w:rFonts w:hint="default" w:eastAsia="宋体"/>
                      <w:kern w:val="0"/>
                      <w:szCs w:val="21"/>
                      <w:lang w:val="en-US" w:eastAsia="zh-CN"/>
                    </w:rPr>
                  </w:pPr>
                  <w:r>
                    <w:rPr>
                      <w:rFonts w:hint="eastAsia"/>
                      <w:kern w:val="0"/>
                      <w:szCs w:val="21"/>
                      <w:lang w:val="en-US" w:eastAsia="zh-CN"/>
                    </w:rPr>
                    <w:t>加强厂区内保洁，避免运输扬尘。</w:t>
                  </w:r>
                </w:p>
              </w:tc>
              <w:tc>
                <w:tcPr>
                  <w:tcW w:w="1257" w:type="dxa"/>
                  <w:noWrap w:val="0"/>
                  <w:vAlign w:val="center"/>
                </w:tcPr>
                <w:p>
                  <w:pPr>
                    <w:widowControl/>
                    <w:jc w:val="center"/>
                    <w:rPr>
                      <w:rFonts w:hint="eastAsia" w:eastAsia="宋体"/>
                      <w:kern w:val="0"/>
                      <w:szCs w:val="21"/>
                      <w:lang w:eastAsia="zh-CN"/>
                    </w:rPr>
                  </w:pPr>
                  <w:r>
                    <w:rPr>
                      <w:rFonts w:hint="eastAsia"/>
                      <w:kern w:val="0"/>
                      <w:szCs w:val="21"/>
                      <w:lang w:val="en-US" w:eastAsia="zh-CN"/>
                    </w:rPr>
                    <w:t>/</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pPr>
                    <w:widowControl/>
                    <w:jc w:val="center"/>
                    <w:rPr>
                      <w:kern w:val="0"/>
                      <w:szCs w:val="21"/>
                    </w:rPr>
                  </w:pPr>
                </w:p>
              </w:tc>
              <w:tc>
                <w:tcPr>
                  <w:tcW w:w="771" w:type="dxa"/>
                  <w:noWrap w:val="0"/>
                  <w:vAlign w:val="center"/>
                </w:tcPr>
                <w:p>
                  <w:pPr>
                    <w:widowControl/>
                    <w:jc w:val="center"/>
                    <w:rPr>
                      <w:spacing w:val="-1"/>
                      <w:kern w:val="0"/>
                      <w:szCs w:val="21"/>
                    </w:rPr>
                  </w:pPr>
                  <w:r>
                    <w:rPr>
                      <w:spacing w:val="-1"/>
                      <w:kern w:val="0"/>
                      <w:szCs w:val="21"/>
                    </w:rPr>
                    <w:t>运营期</w:t>
                  </w:r>
                </w:p>
              </w:tc>
              <w:tc>
                <w:tcPr>
                  <w:tcW w:w="4592" w:type="dxa"/>
                  <w:noWrap w:val="0"/>
                  <w:vAlign w:val="center"/>
                </w:tcPr>
                <w:p>
                  <w:pPr>
                    <w:widowControl/>
                    <w:spacing w:line="360" w:lineRule="auto"/>
                    <w:ind w:firstLine="210" w:firstLineChars="100"/>
                    <w:jc w:val="both"/>
                    <w:rPr>
                      <w:rFonts w:hint="eastAsia" w:cs="Times New Roman"/>
                      <w:lang w:val="en-US" w:eastAsia="zh-CN"/>
                    </w:rPr>
                  </w:pPr>
                  <w:r>
                    <w:rPr>
                      <w:rFonts w:hint="eastAsia" w:cs="Times New Roman"/>
                      <w:lang w:val="en-US" w:eastAsia="zh-CN"/>
                    </w:rPr>
                    <w:t>塑料框生产线：①混料废气</w:t>
                  </w:r>
                  <w:r>
                    <w:rPr>
                      <w:rFonts w:hint="eastAsia" w:ascii="Times New Roman" w:hAnsi="Times New Roman" w:eastAsia="宋体" w:cs="Times New Roman"/>
                      <w:lang w:val="en-US" w:eastAsia="zh-CN"/>
                    </w:rPr>
                    <w:t>：</w:t>
                  </w:r>
                  <w:r>
                    <w:rPr>
                      <w:rFonts w:hint="eastAsia"/>
                      <w:lang w:val="en-US" w:eastAsia="zh-CN"/>
                    </w:rPr>
                    <w:t>设置布袋除尘器一套，对上料过程中产生的粉尘收集处理后经15m高的排气筒（DA001）排放</w:t>
                  </w:r>
                  <w:r>
                    <w:t>。</w:t>
                  </w:r>
                  <w:r>
                    <w:rPr>
                      <w:rFonts w:hint="eastAsia"/>
                      <w:lang w:eastAsia="zh-CN"/>
                    </w:rPr>
                    <w:t>②</w:t>
                  </w:r>
                  <w:r>
                    <w:rPr>
                      <w:rFonts w:hint="eastAsia"/>
                      <w:lang w:val="en-US" w:eastAsia="zh-CN"/>
                    </w:rPr>
                    <w:t>挤出废气：</w:t>
                  </w:r>
                  <w:r>
                    <w:rPr>
                      <w:rFonts w:hint="eastAsia"/>
                    </w:rPr>
                    <w:t>设置</w:t>
                  </w:r>
                  <w:r>
                    <w:rPr>
                      <w:rFonts w:hint="eastAsia"/>
                      <w:lang w:eastAsia="zh-CN"/>
                    </w:rPr>
                    <w:t>过滤棉</w:t>
                  </w:r>
                  <w:r>
                    <w:rPr>
                      <w:rFonts w:hint="eastAsia"/>
                      <w:lang w:val="en-US" w:eastAsia="zh-CN"/>
                    </w:rPr>
                    <w:t>+二级活性炭吸附系统1</w:t>
                  </w:r>
                  <w:r>
                    <w:rPr>
                      <w:rFonts w:hint="eastAsia"/>
                      <w:color w:val="auto"/>
                    </w:rPr>
                    <w:t>套，对</w:t>
                  </w:r>
                  <w:r>
                    <w:rPr>
                      <w:rFonts w:hint="eastAsia"/>
                      <w:color w:val="auto"/>
                      <w:lang w:val="en-US" w:eastAsia="zh-CN"/>
                    </w:rPr>
                    <w:t>挤出过程中产生的有机废气</w:t>
                  </w:r>
                  <w:r>
                    <w:rPr>
                      <w:rFonts w:hint="eastAsia"/>
                      <w:color w:val="auto"/>
                    </w:rPr>
                    <w:t>收集处理后</w:t>
                  </w:r>
                  <w:r>
                    <w:rPr>
                      <w:rFonts w:hint="eastAsia" w:cs="Times New Roman"/>
                      <w:lang w:val="en-US" w:eastAsia="zh-CN"/>
                    </w:rPr>
                    <w:t>离地15m高的排气筒（DA002）排放。</w:t>
                  </w:r>
                </w:p>
                <w:p>
                  <w:pPr>
                    <w:widowControl/>
                    <w:spacing w:line="360" w:lineRule="auto"/>
                    <w:ind w:firstLine="210" w:firstLineChars="100"/>
                    <w:jc w:val="both"/>
                    <w:rPr>
                      <w:rFonts w:hint="eastAsia" w:eastAsia="宋体"/>
                      <w:lang w:eastAsia="zh-CN"/>
                    </w:rPr>
                  </w:pPr>
                  <w:r>
                    <w:rPr>
                      <w:rFonts w:hint="eastAsia" w:cs="Times New Roman"/>
                      <w:lang w:val="en-US" w:eastAsia="zh-CN"/>
                    </w:rPr>
                    <w:t>塑料造粒生产线：设置二级活性炭吸附系统1套，对挤出过程中产生的有机废气收集处理后离地15m高的排气筒（DA003）排放。</w:t>
                  </w:r>
                </w:p>
              </w:tc>
              <w:tc>
                <w:tcPr>
                  <w:tcW w:w="1257" w:type="dxa"/>
                  <w:noWrap w:val="0"/>
                  <w:vAlign w:val="center"/>
                </w:tcPr>
                <w:p>
                  <w:pPr>
                    <w:widowControl/>
                    <w:jc w:val="center"/>
                    <w:rPr>
                      <w:rFonts w:hint="default" w:eastAsia="宋体"/>
                      <w:szCs w:val="21"/>
                      <w:lang w:val="en-US" w:eastAsia="zh-CN"/>
                    </w:rPr>
                  </w:pPr>
                  <w:r>
                    <w:rPr>
                      <w:rFonts w:hint="eastAsia"/>
                      <w:kern w:val="0"/>
                      <w:szCs w:val="21"/>
                      <w:lang w:val="en-US" w:eastAsia="zh-CN"/>
                    </w:rPr>
                    <w:t>16</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3" w:hRule="atLeast"/>
                <w:jc w:val="center"/>
              </w:trPr>
              <w:tc>
                <w:tcPr>
                  <w:tcW w:w="1316" w:type="dxa"/>
                  <w:gridSpan w:val="2"/>
                  <w:noWrap w:val="0"/>
                  <w:vAlign w:val="center"/>
                </w:tcPr>
                <w:p>
                  <w:pPr>
                    <w:widowControl/>
                    <w:jc w:val="center"/>
                    <w:rPr>
                      <w:spacing w:val="-1"/>
                      <w:kern w:val="0"/>
                      <w:szCs w:val="21"/>
                    </w:rPr>
                  </w:pPr>
                  <w:r>
                    <w:rPr>
                      <w:spacing w:val="-1"/>
                      <w:kern w:val="0"/>
                      <w:szCs w:val="21"/>
                    </w:rPr>
                    <w:t>环境风险</w:t>
                  </w:r>
                </w:p>
              </w:tc>
              <w:tc>
                <w:tcPr>
                  <w:tcW w:w="4592" w:type="dxa"/>
                  <w:noWrap w:val="0"/>
                  <w:vAlign w:val="center"/>
                </w:tcPr>
                <w:p>
                  <w:pPr>
                    <w:widowControl/>
                    <w:spacing w:line="360" w:lineRule="auto"/>
                    <w:ind w:firstLine="210" w:firstLineChars="100"/>
                    <w:jc w:val="left"/>
                    <w:rPr>
                      <w:color w:val="000000"/>
                      <w:kern w:val="0"/>
                      <w:szCs w:val="21"/>
                    </w:rPr>
                  </w:pPr>
                  <w:r>
                    <w:rPr>
                      <w:color w:val="000000"/>
                      <w:kern w:val="0"/>
                      <w:szCs w:val="21"/>
                    </w:rPr>
                    <w:t xml:space="preserve"> 按照重点防渗要求，规范建设危险废物暂存设施一处，做好“三防”措施，防止危废泄漏或火灾引发次生环境风险。车间内分散设置符合消防规范的灭火设施</w:t>
                  </w:r>
                  <w:r>
                    <w:rPr>
                      <w:rFonts w:hint="eastAsia"/>
                      <w:color w:val="000000"/>
                      <w:kern w:val="0"/>
                      <w:szCs w:val="21"/>
                      <w:lang w:eastAsia="zh-CN"/>
                    </w:rPr>
                    <w:t>，</w:t>
                  </w:r>
                  <w:r>
                    <w:rPr>
                      <w:rFonts w:hint="eastAsia"/>
                      <w:color w:val="000000"/>
                      <w:kern w:val="0"/>
                      <w:szCs w:val="21"/>
                      <w:lang w:val="en-US" w:eastAsia="zh-CN"/>
                    </w:rPr>
                    <w:t>制定有效的突发环境事件应急预案</w:t>
                  </w:r>
                  <w:r>
                    <w:rPr>
                      <w:color w:val="000000"/>
                      <w:kern w:val="0"/>
                      <w:szCs w:val="21"/>
                    </w:rPr>
                    <w:t>。</w:t>
                  </w:r>
                </w:p>
              </w:tc>
              <w:tc>
                <w:tcPr>
                  <w:tcW w:w="1257" w:type="dxa"/>
                  <w:noWrap w:val="0"/>
                  <w:vAlign w:val="center"/>
                </w:tcPr>
                <w:p>
                  <w:pPr>
                    <w:widowControl/>
                    <w:jc w:val="center"/>
                    <w:rPr>
                      <w:rFonts w:hint="default" w:eastAsia="宋体"/>
                      <w:kern w:val="0"/>
                      <w:szCs w:val="21"/>
                      <w:lang w:val="en-US" w:eastAsia="zh-CN"/>
                    </w:rPr>
                  </w:pPr>
                  <w:r>
                    <w:rPr>
                      <w:rFonts w:hint="eastAsia"/>
                      <w:kern w:val="0"/>
                      <w:szCs w:val="21"/>
                      <w:lang w:val="en-US" w:eastAsia="zh-CN"/>
                    </w:rPr>
                    <w:t>1.0</w:t>
                  </w:r>
                </w:p>
              </w:tc>
              <w:tc>
                <w:tcPr>
                  <w:tcW w:w="1055" w:type="dxa"/>
                  <w:noWrap w:val="0"/>
                  <w:vAlign w:val="center"/>
                </w:tcPr>
                <w:p>
                  <w:pPr>
                    <w:widowControl/>
                    <w:jc w:val="center"/>
                    <w:rPr>
                      <w:kern w:val="0"/>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1316" w:type="dxa"/>
                  <w:gridSpan w:val="2"/>
                  <w:noWrap w:val="0"/>
                  <w:vAlign w:val="center"/>
                </w:tcPr>
                <w:p>
                  <w:pPr>
                    <w:widowControl/>
                    <w:jc w:val="center"/>
                    <w:rPr>
                      <w:spacing w:val="-1"/>
                      <w:kern w:val="0"/>
                      <w:szCs w:val="21"/>
                    </w:rPr>
                  </w:pPr>
                  <w:r>
                    <w:rPr>
                      <w:spacing w:val="-1"/>
                      <w:kern w:val="0"/>
                      <w:szCs w:val="21"/>
                    </w:rPr>
                    <w:t>地下水土壤</w:t>
                  </w:r>
                  <w:r>
                    <w:rPr>
                      <w:rFonts w:hint="eastAsia"/>
                      <w:spacing w:val="-1"/>
                      <w:kern w:val="0"/>
                      <w:szCs w:val="21"/>
                    </w:rPr>
                    <w:t>防</w:t>
                  </w:r>
                  <w:r>
                    <w:rPr>
                      <w:spacing w:val="-1"/>
                      <w:kern w:val="0"/>
                      <w:szCs w:val="21"/>
                    </w:rPr>
                    <w:t>治措施</w:t>
                  </w:r>
                </w:p>
              </w:tc>
              <w:tc>
                <w:tcPr>
                  <w:tcW w:w="4592" w:type="dxa"/>
                  <w:noWrap w:val="0"/>
                  <w:vAlign w:val="center"/>
                </w:tcPr>
                <w:p>
                  <w:pPr>
                    <w:widowControl/>
                    <w:spacing w:line="360" w:lineRule="auto"/>
                    <w:ind w:firstLine="210" w:firstLineChars="100"/>
                    <w:jc w:val="both"/>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eastAsia="zh-CN"/>
                    </w:rPr>
                    <w:t>危废暂存间</w:t>
                  </w:r>
                  <w:r>
                    <w:rPr>
                      <w:rFonts w:hint="eastAsia" w:cs="Times New Roman"/>
                      <w:color w:val="000000"/>
                      <w:kern w:val="0"/>
                      <w:szCs w:val="21"/>
                      <w:lang w:eastAsia="zh-CN"/>
                    </w:rPr>
                    <w:t>、污水处理设施</w:t>
                  </w:r>
                  <w:r>
                    <w:rPr>
                      <w:rFonts w:hint="default" w:ascii="Times New Roman" w:hAnsi="Times New Roman" w:eastAsia="宋体" w:cs="Times New Roman"/>
                      <w:color w:val="000000"/>
                      <w:kern w:val="0"/>
                      <w:szCs w:val="21"/>
                      <w:lang w:eastAsia="zh-CN"/>
                    </w:rPr>
                    <w:t>划分为重点防渗区，防渗要</w:t>
                  </w:r>
                  <w:r>
                    <w:rPr>
                      <w:rFonts w:hint="default" w:ascii="Times New Roman" w:hAnsi="Times New Roman" w:cs="Times New Roman" w:eastAsiaTheme="minorEastAsia"/>
                      <w:color w:val="000000"/>
                      <w:kern w:val="0"/>
                      <w:szCs w:val="21"/>
                      <w:lang w:eastAsia="zh-CN"/>
                    </w:rPr>
                    <w:t>求：采用2 毫米以上的高密度聚乙烯或其他人工防渗材料组成，渗透系数应小于 1.0×10</w:t>
                  </w:r>
                  <w:r>
                    <w:rPr>
                      <w:rFonts w:hint="default" w:ascii="Times New Roman" w:hAnsi="Times New Roman" w:cs="Times New Roman" w:eastAsiaTheme="minorEastAsia"/>
                      <w:color w:val="000000"/>
                      <w:kern w:val="0"/>
                      <w:szCs w:val="21"/>
                      <w:vertAlign w:val="superscript"/>
                      <w:lang w:eastAsia="zh-CN"/>
                    </w:rPr>
                    <w:t>-10</w:t>
                  </w:r>
                  <w:r>
                    <w:rPr>
                      <w:rFonts w:hint="default" w:ascii="Times New Roman" w:hAnsi="Times New Roman" w:cs="Times New Roman" w:eastAsiaTheme="minorEastAsia"/>
                      <w:color w:val="000000"/>
                      <w:kern w:val="0"/>
                      <w:szCs w:val="21"/>
                      <w:lang w:eastAsia="zh-CN"/>
                    </w:rPr>
                    <w:t>cm/s，或参照GB18598执行。</w:t>
                  </w:r>
                </w:p>
                <w:p>
                  <w:pPr>
                    <w:widowControl/>
                    <w:spacing w:line="360" w:lineRule="auto"/>
                    <w:ind w:firstLine="210" w:firstLineChars="100"/>
                    <w:jc w:val="left"/>
                    <w:rPr>
                      <w:rFonts w:hint="default" w:ascii="Times New Roman" w:hAnsi="Times New Roman" w:eastAsia="宋体" w:cs="Times New Roman"/>
                      <w:color w:val="000000"/>
                      <w:kern w:val="0"/>
                      <w:szCs w:val="21"/>
                      <w:lang w:eastAsia="zh-CN"/>
                    </w:rPr>
                  </w:pPr>
                  <w:r>
                    <w:rPr>
                      <w:rFonts w:hint="default" w:ascii="Times New Roman" w:hAnsi="Times New Roman" w:eastAsia="宋体" w:cs="Times New Roman"/>
                      <w:color w:val="000000"/>
                      <w:kern w:val="0"/>
                      <w:szCs w:val="21"/>
                      <w:lang w:eastAsia="zh-CN"/>
                    </w:rPr>
                    <w:t>②除重点防渗区域以外的生产区域划分为一般防渗区，一般防渗区采用等效黏土防渗层Mb≥1.5m，K≤1×10</w:t>
                  </w:r>
                  <w:r>
                    <w:rPr>
                      <w:rFonts w:hint="default" w:ascii="Times New Roman" w:hAnsi="Times New Roman" w:eastAsia="宋体" w:cs="Times New Roman"/>
                      <w:color w:val="000000"/>
                      <w:kern w:val="0"/>
                      <w:szCs w:val="21"/>
                      <w:vertAlign w:val="superscript"/>
                      <w:lang w:eastAsia="zh-CN"/>
                    </w:rPr>
                    <w:t>-7</w:t>
                  </w:r>
                  <w:r>
                    <w:rPr>
                      <w:rFonts w:hint="default" w:ascii="Times New Roman" w:hAnsi="Times New Roman" w:eastAsia="宋体" w:cs="Times New Roman"/>
                      <w:color w:val="000000"/>
                      <w:kern w:val="0"/>
                      <w:szCs w:val="21"/>
                      <w:lang w:eastAsia="zh-CN"/>
                    </w:rPr>
                    <w:t>cm/s；或参照GB16889执行</w:t>
                  </w:r>
                </w:p>
                <w:p>
                  <w:pPr>
                    <w:widowControl/>
                    <w:spacing w:line="360" w:lineRule="auto"/>
                    <w:ind w:firstLine="210" w:firstLineChars="100"/>
                    <w:jc w:val="left"/>
                    <w:rPr>
                      <w:rFonts w:hint="eastAsia" w:eastAsia="宋体"/>
                      <w:color w:val="000000"/>
                      <w:kern w:val="0"/>
                      <w:szCs w:val="21"/>
                      <w:lang w:eastAsia="zh-CN"/>
                    </w:rPr>
                  </w:pPr>
                  <w:r>
                    <w:rPr>
                      <w:rFonts w:hint="default" w:ascii="Times New Roman" w:hAnsi="Times New Roman" w:eastAsia="宋体" w:cs="Times New Roman"/>
                      <w:color w:val="000000"/>
                      <w:kern w:val="0"/>
                      <w:szCs w:val="21"/>
                      <w:lang w:eastAsia="zh-CN"/>
                    </w:rPr>
                    <w:t>③除重点防渗、一般防渗以外的区域为简单防渗，简单防渗区采取一般地面硬化即可。</w:t>
                  </w:r>
                </w:p>
              </w:tc>
              <w:tc>
                <w:tcPr>
                  <w:tcW w:w="1257" w:type="dxa"/>
                  <w:noWrap w:val="0"/>
                  <w:vAlign w:val="center"/>
                </w:tcPr>
                <w:p>
                  <w:pPr>
                    <w:widowControl/>
                    <w:jc w:val="center"/>
                    <w:rPr>
                      <w:rFonts w:hint="default"/>
                      <w:kern w:val="0"/>
                      <w:szCs w:val="21"/>
                      <w:lang w:val="en-US"/>
                    </w:rPr>
                  </w:pPr>
                  <w:r>
                    <w:rPr>
                      <w:rFonts w:hint="eastAsia"/>
                      <w:kern w:val="0"/>
                      <w:szCs w:val="21"/>
                      <w:lang w:val="en-US" w:eastAsia="zh-CN"/>
                    </w:rPr>
                    <w:t>2.0</w:t>
                  </w:r>
                </w:p>
              </w:tc>
              <w:tc>
                <w:tcPr>
                  <w:tcW w:w="1055" w:type="dxa"/>
                  <w:noWrap w:val="0"/>
                  <w:vAlign w:val="center"/>
                </w:tcPr>
                <w:p>
                  <w:pPr>
                    <w:widowControl/>
                    <w:jc w:val="center"/>
                    <w:rPr>
                      <w:kern w:val="0"/>
                      <w:szCs w:val="21"/>
                    </w:rPr>
                  </w:pPr>
                  <w:r>
                    <w:rPr>
                      <w:rStyle w:val="29"/>
                      <w:szCs w:val="21"/>
                    </w:rPr>
                    <w:t>生产区域防渗纳入主体投资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5908" w:type="dxa"/>
                  <w:gridSpan w:val="3"/>
                  <w:noWrap w:val="0"/>
                  <w:vAlign w:val="center"/>
                </w:tcPr>
                <w:p>
                  <w:pPr>
                    <w:adjustRightInd w:val="0"/>
                    <w:snapToGrid w:val="0"/>
                    <w:jc w:val="center"/>
                    <w:rPr>
                      <w:szCs w:val="21"/>
                    </w:rPr>
                  </w:pPr>
                  <w:r>
                    <w:rPr>
                      <w:spacing w:val="-1"/>
                      <w:szCs w:val="21"/>
                    </w:rPr>
                    <w:t>合计</w:t>
                  </w:r>
                </w:p>
              </w:tc>
              <w:tc>
                <w:tcPr>
                  <w:tcW w:w="1257" w:type="dxa"/>
                  <w:noWrap w:val="0"/>
                  <w:vAlign w:val="center"/>
                </w:tcPr>
                <w:p>
                  <w:pPr>
                    <w:widowControl/>
                    <w:jc w:val="center"/>
                    <w:rPr>
                      <w:rFonts w:hint="default" w:eastAsia="宋体"/>
                      <w:kern w:val="0"/>
                      <w:szCs w:val="21"/>
                      <w:lang w:val="en-US" w:eastAsia="zh-CN"/>
                    </w:rPr>
                  </w:pPr>
                  <w:r>
                    <w:rPr>
                      <w:rFonts w:hint="eastAsia"/>
                      <w:kern w:val="0"/>
                      <w:szCs w:val="21"/>
                      <w:lang w:val="en-US" w:eastAsia="zh-CN"/>
                    </w:rPr>
                    <w:t>46.5</w:t>
                  </w:r>
                </w:p>
              </w:tc>
              <w:tc>
                <w:tcPr>
                  <w:tcW w:w="1055" w:type="dxa"/>
                  <w:noWrap w:val="0"/>
                  <w:vAlign w:val="center"/>
                </w:tcPr>
                <w:p>
                  <w:pPr>
                    <w:adjustRightInd w:val="0"/>
                    <w:snapToGrid w:val="0"/>
                    <w:jc w:val="center"/>
                    <w:rPr>
                      <w:szCs w:val="21"/>
                    </w:rPr>
                  </w:pPr>
                </w:p>
              </w:tc>
            </w:tr>
          </w:tbl>
          <w:p>
            <w:pPr>
              <w:adjustRightInd w:val="0"/>
              <w:snapToGrid w:val="0"/>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375" w:type="dxa"/>
            <w:noWrap w:val="0"/>
            <w:vAlign w:val="center"/>
          </w:tcPr>
          <w:p>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609" w:type="dxa"/>
            <w:noWrap w:val="0"/>
            <w:vAlign w:val="top"/>
          </w:tcPr>
          <w:p>
            <w:pPr>
              <w:pStyle w:val="66"/>
              <w:ind w:firstLine="482"/>
              <w:rPr>
                <w:rFonts w:hint="default" w:ascii="Times New Roman" w:hAnsi="Times New Roman" w:cs="Times New Roman"/>
                <w:b/>
                <w:bCs/>
              </w:rPr>
            </w:pPr>
            <w:r>
              <w:rPr>
                <w:rFonts w:hint="default" w:ascii="Times New Roman" w:hAnsi="Times New Roman" w:cs="Times New Roman"/>
                <w:b/>
                <w:bCs/>
              </w:rPr>
              <w:t>1、施工期工艺流程简述：</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本项目租赁</w:t>
            </w:r>
            <w:r>
              <w:rPr>
                <w:rFonts w:hint="eastAsia" w:ascii="Times New Roman" w:hAnsi="Times New Roman" w:cs="Times New Roman"/>
                <w:color w:val="auto"/>
                <w:highlight w:val="none"/>
                <w:lang w:eastAsia="zh-CN"/>
              </w:rPr>
              <w:t>遂宁耀荣塑料科技有限公司</w:t>
            </w:r>
            <w:r>
              <w:rPr>
                <w:rFonts w:hint="eastAsia" w:ascii="Times New Roman" w:hAnsi="Times New Roman" w:cs="Times New Roman"/>
                <w:color w:val="auto"/>
                <w:highlight w:val="none"/>
                <w:lang w:val="en-US" w:eastAsia="zh-CN"/>
              </w:rPr>
              <w:t>生产厂房5000平方米，同时新建厂房2300平方米建设生产线</w:t>
            </w:r>
            <w:r>
              <w:rPr>
                <w:rFonts w:hint="default" w:ascii="Times New Roman" w:hAnsi="Times New Roman" w:cs="Times New Roman"/>
                <w:color w:val="auto"/>
                <w:highlight w:val="none"/>
              </w:rPr>
              <w:t>。</w:t>
            </w:r>
          </w:p>
          <w:p>
            <w:pPr>
              <w:pStyle w:val="66"/>
              <w:ind w:firstLine="480"/>
              <w:rPr>
                <w:rFonts w:hint="default" w:ascii="Times New Roman" w:hAnsi="Times New Roman" w:cs="Times New Roman"/>
                <w:b/>
                <w:color w:val="auto"/>
              </w:rPr>
            </w:pPr>
            <w:r>
              <w:rPr>
                <w:rFonts w:hint="default" w:ascii="Times New Roman" w:hAnsi="Times New Roman" w:cs="Times New Roman"/>
                <w:color w:val="auto"/>
              </w:rPr>
              <w:t>施工期主要涉及基础工程、主体工程、设备安装及工程验收等工序，建设过程中将产生噪声、扬尘、废气、固体废物、施工废水和生活污水，其排放量随工期和施工强度不同而有所变化。施工流程图及产污情况如图</w:t>
            </w:r>
            <w:r>
              <w:rPr>
                <w:rFonts w:hint="default" w:ascii="Times New Roman" w:hAnsi="Times New Roman" w:cs="Times New Roman"/>
                <w:color w:val="auto"/>
                <w:lang w:val="en-US" w:eastAsia="zh-CN"/>
              </w:rPr>
              <w:t>2-1</w:t>
            </w:r>
            <w:r>
              <w:rPr>
                <w:rFonts w:hint="default" w:ascii="Times New Roman" w:hAnsi="Times New Roman" w:cs="Times New Roman"/>
                <w:color w:val="auto"/>
              </w:rPr>
              <w:t>所示。</w:t>
            </w:r>
          </w:p>
          <w:p>
            <w:pPr>
              <w:pStyle w:val="14"/>
              <w:rPr>
                <w:rFonts w:hint="default" w:ascii="Times New Roman" w:hAnsi="Times New Roman" w:cs="Times New Roman"/>
                <w:b/>
                <w:color w:val="auto"/>
              </w:rPr>
            </w:pPr>
            <w:r>
              <w:rPr>
                <w:rFonts w:hint="default" w:ascii="Times New Roman" w:hAnsi="Times New Roman" w:cs="Times New Roman"/>
                <w:b/>
                <w:color w:val="auto"/>
              </w:rPr>
              <mc:AlternateContent>
                <mc:Choice Requires="wpg">
                  <w:drawing>
                    <wp:anchor distT="0" distB="0" distL="114300" distR="114300" simplePos="0" relativeHeight="251663360" behindDoc="0" locked="0" layoutInCell="1" allowOverlap="1">
                      <wp:simplePos x="0" y="0"/>
                      <wp:positionH relativeFrom="column">
                        <wp:posOffset>467995</wp:posOffset>
                      </wp:positionH>
                      <wp:positionV relativeFrom="paragraph">
                        <wp:posOffset>78740</wp:posOffset>
                      </wp:positionV>
                      <wp:extent cx="4491355" cy="2142490"/>
                      <wp:effectExtent l="4445" t="4445" r="19050" b="5715"/>
                      <wp:wrapTopAndBottom/>
                      <wp:docPr id="13" name="组合 2"/>
                      <wp:cNvGraphicFramePr/>
                      <a:graphic xmlns:a="http://schemas.openxmlformats.org/drawingml/2006/main">
                        <a:graphicData uri="http://schemas.microsoft.com/office/word/2010/wordprocessingGroup">
                          <wpg:wgp>
                            <wpg:cNvGrpSpPr/>
                            <wpg:grpSpPr>
                              <a:xfrm>
                                <a:off x="1119505" y="4970780"/>
                                <a:ext cx="4491355" cy="2142490"/>
                                <a:chOff x="1882" y="4711"/>
                                <a:chExt cx="8491" cy="4109"/>
                              </a:xfrm>
                              <a:effectLst/>
                            </wpg:grpSpPr>
                            <wpg:grpSp>
                              <wpg:cNvPr id="14" name="组合 104"/>
                              <wpg:cNvGrpSpPr/>
                              <wpg:grpSpPr>
                                <a:xfrm>
                                  <a:off x="1882" y="4711"/>
                                  <a:ext cx="8491" cy="4109"/>
                                  <a:chOff x="1882" y="4711"/>
                                  <a:chExt cx="8491" cy="4109"/>
                                </a:xfrm>
                                <a:effectLst/>
                              </wpg:grpSpPr>
                              <wpg:grpSp>
                                <wpg:cNvPr id="15" name="组合 107"/>
                                <wpg:cNvGrpSpPr/>
                                <wpg:grpSpPr>
                                  <a:xfrm>
                                    <a:off x="1882" y="4711"/>
                                    <a:ext cx="8491" cy="4109"/>
                                    <a:chOff x="1882" y="4111"/>
                                    <a:chExt cx="8491" cy="4109"/>
                                  </a:xfrm>
                                  <a:effectLst/>
                                </wpg:grpSpPr>
                                <wps:wsp>
                                  <wps:cNvPr id="16" name="自选图形 129"/>
                                  <wps:cNvCnPr>
                                    <a:cxnSpLocks noChangeShapeType="1"/>
                                  </wps:cNvCnPr>
                                  <wps:spPr bwMode="auto">
                                    <a:xfrm>
                                      <a:off x="2482" y="5985"/>
                                      <a:ext cx="5525" cy="0"/>
                                    </a:xfrm>
                                    <a:prstGeom prst="straightConnector1">
                                      <a:avLst/>
                                    </a:prstGeom>
                                    <a:noFill/>
                                    <a:ln w="9525">
                                      <a:solidFill>
                                        <a:srgbClr val="000000"/>
                                      </a:solidFill>
                                      <a:round/>
                                    </a:ln>
                                    <a:effectLst/>
                                  </wps:spPr>
                                  <wps:bodyPr/>
                                </wps:wsp>
                                <wpg:grpSp>
                                  <wpg:cNvPr id="17" name="组合 130"/>
                                  <wpg:cNvGrpSpPr/>
                                  <wpg:grpSpPr>
                                    <a:xfrm>
                                      <a:off x="1882" y="4111"/>
                                      <a:ext cx="8491" cy="4109"/>
                                      <a:chOff x="1882" y="4111"/>
                                      <a:chExt cx="8491" cy="4109"/>
                                    </a:xfrm>
                                    <a:effectLst/>
                                  </wpg:grpSpPr>
                                  <wps:wsp>
                                    <wps:cNvPr id="18" name="自选图形 131"/>
                                    <wps:cNvCnPr>
                                      <a:cxnSpLocks noChangeShapeType="1"/>
                                      <a:stCxn id="31" idx="3"/>
                                      <a:endCxn id="32" idx="1"/>
                                    </wps:cNvCnPr>
                                    <wps:spPr bwMode="auto">
                                      <a:xfrm>
                                        <a:off x="3094" y="6891"/>
                                        <a:ext cx="642" cy="0"/>
                                      </a:xfrm>
                                      <a:prstGeom prst="straightConnector1">
                                        <a:avLst/>
                                      </a:prstGeom>
                                      <a:noFill/>
                                      <a:ln w="9525">
                                        <a:solidFill>
                                          <a:srgbClr val="000000"/>
                                        </a:solidFill>
                                        <a:round/>
                                        <a:tailEnd type="triangle" w="med" len="med"/>
                                      </a:ln>
                                      <a:effectLst/>
                                    </wps:spPr>
                                    <wps:bodyPr/>
                                  </wps:wsp>
                                  <wps:wsp>
                                    <wps:cNvPr id="19" name="自选图形 132"/>
                                    <wps:cNvCnPr>
                                      <a:cxnSpLocks noChangeShapeType="1"/>
                                      <a:stCxn id="32" idx="3"/>
                                      <a:endCxn id="33" idx="1"/>
                                    </wps:cNvCnPr>
                                    <wps:spPr bwMode="auto">
                                      <a:xfrm>
                                        <a:off x="4949" y="6891"/>
                                        <a:ext cx="600" cy="0"/>
                                      </a:xfrm>
                                      <a:prstGeom prst="straightConnector1">
                                        <a:avLst/>
                                      </a:prstGeom>
                                      <a:noFill/>
                                      <a:ln w="9525">
                                        <a:solidFill>
                                          <a:srgbClr val="000000"/>
                                        </a:solidFill>
                                        <a:round/>
                                        <a:tailEnd type="triangle" w="med" len="med"/>
                                      </a:ln>
                                      <a:effectLst/>
                                    </wps:spPr>
                                    <wps:bodyPr/>
                                  </wps:wsp>
                                  <wps:wsp>
                                    <wps:cNvPr id="20" name="自选图形 133"/>
                                    <wps:cNvCnPr>
                                      <a:cxnSpLocks noChangeShapeType="1"/>
                                      <a:stCxn id="20" idx="3"/>
                                      <a:endCxn id="21" idx="1"/>
                                    </wps:cNvCnPr>
                                    <wps:spPr bwMode="auto">
                                      <a:xfrm>
                                        <a:off x="8605" y="6883"/>
                                        <a:ext cx="556" cy="0"/>
                                      </a:xfrm>
                                      <a:prstGeom prst="straightConnector1">
                                        <a:avLst/>
                                      </a:prstGeom>
                                      <a:noFill/>
                                      <a:ln w="9525">
                                        <a:solidFill>
                                          <a:srgbClr val="000000"/>
                                        </a:solidFill>
                                        <a:round/>
                                        <a:tailEnd type="triangle" w="med" len="med"/>
                                      </a:ln>
                                      <a:effectLst/>
                                    </wps:spPr>
                                    <wps:bodyPr/>
                                  </wps:wsp>
                                  <wps:wsp>
                                    <wps:cNvPr id="21" name="自选图形 134"/>
                                    <wps:cNvCnPr>
                                      <a:cxnSpLocks noChangeShapeType="1"/>
                                      <a:stCxn id="33" idx="3"/>
                                      <a:endCxn id="20" idx="1"/>
                                    </wps:cNvCnPr>
                                    <wps:spPr bwMode="auto">
                                      <a:xfrm flipV="1">
                                        <a:off x="6762" y="6882"/>
                                        <a:ext cx="630" cy="9"/>
                                      </a:xfrm>
                                      <a:prstGeom prst="straightConnector1">
                                        <a:avLst/>
                                      </a:prstGeom>
                                      <a:noFill/>
                                      <a:ln w="9525">
                                        <a:solidFill>
                                          <a:srgbClr val="000000"/>
                                        </a:solidFill>
                                        <a:round/>
                                        <a:tailEnd type="triangle" w="med" len="med"/>
                                      </a:ln>
                                      <a:effectLst/>
                                    </wps:spPr>
                                    <wps:bodyPr/>
                                  </wps:wsp>
                                  <wps:wsp>
                                    <wps:cNvPr id="22" name="自选图形 135"/>
                                    <wps:cNvCnPr>
                                      <a:cxnSpLocks noChangeShapeType="1"/>
                                    </wps:cNvCnPr>
                                    <wps:spPr bwMode="auto">
                                      <a:xfrm flipV="1">
                                        <a:off x="4328" y="5985"/>
                                        <a:ext cx="0" cy="681"/>
                                      </a:xfrm>
                                      <a:prstGeom prst="straightConnector1">
                                        <a:avLst/>
                                      </a:prstGeom>
                                      <a:noFill/>
                                      <a:ln w="9525">
                                        <a:solidFill>
                                          <a:srgbClr val="000000"/>
                                        </a:solidFill>
                                        <a:round/>
                                      </a:ln>
                                      <a:effectLst/>
                                    </wps:spPr>
                                    <wps:bodyPr/>
                                  </wps:wsp>
                                  <wps:wsp>
                                    <wps:cNvPr id="23" name="自选图形 136"/>
                                    <wps:cNvCnPr>
                                      <a:cxnSpLocks noChangeShapeType="1"/>
                                    </wps:cNvCnPr>
                                    <wps:spPr bwMode="auto">
                                      <a:xfrm flipV="1">
                                        <a:off x="6216" y="5985"/>
                                        <a:ext cx="1" cy="681"/>
                                      </a:xfrm>
                                      <a:prstGeom prst="straightConnector1">
                                        <a:avLst/>
                                      </a:prstGeom>
                                      <a:noFill/>
                                      <a:ln w="9525">
                                        <a:solidFill>
                                          <a:srgbClr val="000000"/>
                                        </a:solidFill>
                                        <a:round/>
                                      </a:ln>
                                      <a:effectLst/>
                                    </wps:spPr>
                                    <wps:bodyPr/>
                                  </wps:wsp>
                                  <wps:wsp>
                                    <wps:cNvPr id="24" name="自选图形 137"/>
                                    <wps:cNvCnPr>
                                      <a:cxnSpLocks noChangeShapeType="1"/>
                                      <a:stCxn id="20" idx="0"/>
                                    </wps:cNvCnPr>
                                    <wps:spPr bwMode="auto">
                                      <a:xfrm flipH="1" flipV="1">
                                        <a:off x="7984" y="5991"/>
                                        <a:ext cx="14" cy="665"/>
                                      </a:xfrm>
                                      <a:prstGeom prst="straightConnector1">
                                        <a:avLst/>
                                      </a:prstGeom>
                                      <a:noFill/>
                                      <a:ln w="9525">
                                        <a:solidFill>
                                          <a:srgbClr val="000000"/>
                                        </a:solidFill>
                                        <a:round/>
                                      </a:ln>
                                      <a:effectLst/>
                                    </wps:spPr>
                                    <wps:bodyPr/>
                                  </wps:wsp>
                                  <wps:wsp>
                                    <wps:cNvPr id="25" name="自选图形 138"/>
                                    <wps:cNvCnPr>
                                      <a:cxnSpLocks noChangeShapeType="1"/>
                                      <a:endCxn id="24" idx="2"/>
                                    </wps:cNvCnPr>
                                    <wps:spPr bwMode="auto">
                                      <a:xfrm flipV="1">
                                        <a:off x="7831" y="5403"/>
                                        <a:ext cx="14" cy="570"/>
                                      </a:xfrm>
                                      <a:prstGeom prst="straightConnector1">
                                        <a:avLst/>
                                      </a:prstGeom>
                                      <a:noFill/>
                                      <a:ln w="9525">
                                        <a:solidFill>
                                          <a:srgbClr val="000000"/>
                                        </a:solidFill>
                                        <a:prstDash val="dash"/>
                                        <a:round/>
                                        <a:tailEnd type="triangle" w="med" len="med"/>
                                      </a:ln>
                                      <a:effectLst/>
                                    </wps:spPr>
                                    <wps:bodyPr/>
                                  </wps:wsp>
                                  <wps:wsp>
                                    <wps:cNvPr id="26" name="自选图形 139"/>
                                    <wps:cNvCnPr>
                                      <a:cxnSpLocks noChangeShapeType="1"/>
                                      <a:stCxn id="24" idx="0"/>
                                      <a:endCxn id="28" idx="2"/>
                                    </wps:cNvCnPr>
                                    <wps:spPr bwMode="auto">
                                      <a:xfrm flipH="1" flipV="1">
                                        <a:off x="7831" y="4562"/>
                                        <a:ext cx="14" cy="391"/>
                                      </a:xfrm>
                                      <a:prstGeom prst="straightConnector1">
                                        <a:avLst/>
                                      </a:prstGeom>
                                      <a:noFill/>
                                      <a:ln w="9525">
                                        <a:solidFill>
                                          <a:srgbClr val="000000"/>
                                        </a:solidFill>
                                        <a:round/>
                                        <a:tailEnd type="triangle" w="med" len="med"/>
                                      </a:ln>
                                      <a:effectLst/>
                                    </wps:spPr>
                                    <wps:bodyPr/>
                                  </wps:wsp>
                                  <wps:wsp>
                                    <wps:cNvPr id="27" name="自选图形 140"/>
                                    <wps:cNvCnPr>
                                      <a:cxnSpLocks noChangeShapeType="1"/>
                                      <a:stCxn id="31" idx="2"/>
                                      <a:endCxn id="38" idx="0"/>
                                    </wps:cNvCnPr>
                                    <wps:spPr bwMode="auto">
                                      <a:xfrm>
                                        <a:off x="2488" y="7117"/>
                                        <a:ext cx="1" cy="626"/>
                                      </a:xfrm>
                                      <a:prstGeom prst="straightConnector1">
                                        <a:avLst/>
                                      </a:prstGeom>
                                      <a:noFill/>
                                      <a:ln w="9525">
                                        <a:solidFill>
                                          <a:srgbClr val="000000"/>
                                        </a:solidFill>
                                        <a:prstDash val="dash"/>
                                        <a:round/>
                                        <a:tailEnd type="triangle" w="med" len="med"/>
                                      </a:ln>
                                      <a:effectLst/>
                                    </wps:spPr>
                                    <wps:bodyPr/>
                                  </wps:wsp>
                                  <wps:wsp>
                                    <wps:cNvPr id="28" name="自选图形 141"/>
                                    <wps:cNvCnPr>
                                      <a:cxnSpLocks noChangeShapeType="1"/>
                                    </wps:cNvCnPr>
                                    <wps:spPr bwMode="auto">
                                      <a:xfrm>
                                        <a:off x="4184" y="7440"/>
                                        <a:ext cx="1990" cy="10"/>
                                      </a:xfrm>
                                      <a:prstGeom prst="straightConnector1">
                                        <a:avLst/>
                                      </a:prstGeom>
                                      <a:noFill/>
                                      <a:ln w="9525">
                                        <a:solidFill>
                                          <a:srgbClr val="000000"/>
                                        </a:solidFill>
                                        <a:round/>
                                        <a:tailEnd type="triangle" w="med" len="med"/>
                                      </a:ln>
                                      <a:effectLst/>
                                    </wps:spPr>
                                    <wps:bodyPr/>
                                  </wps:wsp>
                                  <wps:wsp>
                                    <wps:cNvPr id="29" name="自选图形 142"/>
                                    <wps:cNvCnPr>
                                      <a:cxnSpLocks noChangeShapeType="1"/>
                                      <a:stCxn id="33" idx="2"/>
                                      <a:endCxn id="30" idx="0"/>
                                    </wps:cNvCnPr>
                                    <wps:spPr bwMode="auto">
                                      <a:xfrm flipH="1">
                                        <a:off x="6145" y="7117"/>
                                        <a:ext cx="11" cy="653"/>
                                      </a:xfrm>
                                      <a:prstGeom prst="straightConnector1">
                                        <a:avLst/>
                                      </a:prstGeom>
                                      <a:noFill/>
                                      <a:ln w="9525">
                                        <a:solidFill>
                                          <a:srgbClr val="000000"/>
                                        </a:solidFill>
                                        <a:round/>
                                        <a:tailEnd type="triangle" w="med" len="med"/>
                                      </a:ln>
                                      <a:effectLst/>
                                    </wps:spPr>
                                    <wps:bodyPr/>
                                  </wps:wsp>
                                  <wps:wsp>
                                    <wps:cNvPr id="30" name="自选图形 143"/>
                                    <wps:cNvCnPr>
                                      <a:cxnSpLocks noChangeShapeType="1"/>
                                    </wps:cNvCnPr>
                                    <wps:spPr bwMode="auto">
                                      <a:xfrm flipV="1">
                                        <a:off x="4184" y="7026"/>
                                        <a:ext cx="1" cy="414"/>
                                      </a:xfrm>
                                      <a:prstGeom prst="straightConnector1">
                                        <a:avLst/>
                                      </a:prstGeom>
                                      <a:noFill/>
                                      <a:ln w="9525">
                                        <a:solidFill>
                                          <a:srgbClr val="000000"/>
                                        </a:solidFill>
                                        <a:round/>
                                      </a:ln>
                                      <a:effectLst/>
                                    </wps:spPr>
                                    <wps:bodyPr/>
                                  </wps:wsp>
                                  <wps:wsp>
                                    <wps:cNvPr id="31" name="文本框 144"/>
                                    <wps:cNvSpPr txBox="1">
                                      <a:spLocks noChangeArrowheads="1"/>
                                    </wps:cNvSpPr>
                                    <wps:spPr bwMode="auto">
                                      <a:xfrm>
                                        <a:off x="7392" y="6656"/>
                                        <a:ext cx="1212" cy="452"/>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设备调试</w:t>
                                          </w:r>
                                        </w:p>
                                      </w:txbxContent>
                                    </wps:txbx>
                                    <wps:bodyPr rot="0" vert="horz" wrap="square" lIns="0" tIns="0" rIns="0" bIns="0" anchor="t" anchorCtr="0" upright="1">
                                      <a:noAutofit/>
                                    </wps:bodyPr>
                                  </wps:wsp>
                                  <wps:wsp>
                                    <wps:cNvPr id="32" name="文本框 145"/>
                                    <wps:cNvSpPr txBox="1">
                                      <a:spLocks noChangeArrowheads="1"/>
                                    </wps:cNvSpPr>
                                    <wps:spPr bwMode="auto">
                                      <a:xfrm>
                                        <a:off x="9161" y="6656"/>
                                        <a:ext cx="1212" cy="452"/>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工程验收</w:t>
                                          </w:r>
                                        </w:p>
                                      </w:txbxContent>
                                    </wps:txbx>
                                    <wps:bodyPr rot="0" vert="horz" wrap="square" lIns="0" tIns="0" rIns="0" bIns="0" anchor="t" anchorCtr="0" upright="1">
                                      <a:noAutofit/>
                                    </wps:bodyPr>
                                  </wps:wsp>
                                  <wps:wsp>
                                    <wps:cNvPr id="33" name="自选图形 146"/>
                                    <wps:cNvCnPr>
                                      <a:cxnSpLocks noChangeShapeType="1"/>
                                      <a:endCxn id="23" idx="2"/>
                                    </wps:cNvCnPr>
                                    <wps:spPr bwMode="auto">
                                      <a:xfrm flipV="1">
                                        <a:off x="5449" y="5391"/>
                                        <a:ext cx="7" cy="586"/>
                                      </a:xfrm>
                                      <a:prstGeom prst="straightConnector1">
                                        <a:avLst/>
                                      </a:prstGeom>
                                      <a:noFill/>
                                      <a:ln w="9525">
                                        <a:solidFill>
                                          <a:srgbClr val="000000"/>
                                        </a:solidFill>
                                        <a:prstDash val="dash"/>
                                        <a:round/>
                                        <a:tailEnd type="triangle" w="med" len="med"/>
                                      </a:ln>
                                      <a:effectLst/>
                                    </wps:spPr>
                                    <wps:bodyPr/>
                                  </wps:wsp>
                                  <wps:wsp>
                                    <wps:cNvPr id="34" name="文本框 147"/>
                                    <wps:cNvSpPr txBox="1">
                                      <a:spLocks noChangeArrowheads="1"/>
                                    </wps:cNvSpPr>
                                    <wps:spPr bwMode="auto">
                                      <a:xfrm>
                                        <a:off x="5003" y="4939"/>
                                        <a:ext cx="904" cy="452"/>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废气</w:t>
                                          </w:r>
                                        </w:p>
                                      </w:txbxContent>
                                    </wps:txbx>
                                    <wps:bodyPr rot="0" vert="horz" wrap="square" lIns="0" tIns="0" rIns="0" bIns="0" anchor="t" anchorCtr="0" upright="1">
                                      <a:noAutofit/>
                                    </wps:bodyPr>
                                  </wps:wsp>
                                  <wps:wsp>
                                    <wps:cNvPr id="35" name="文本框 148"/>
                                    <wps:cNvSpPr txBox="1">
                                      <a:spLocks noChangeArrowheads="1"/>
                                    </wps:cNvSpPr>
                                    <wps:spPr bwMode="auto">
                                      <a:xfrm>
                                        <a:off x="7199" y="4953"/>
                                        <a:ext cx="1292" cy="451"/>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rFonts w:hint="eastAsia" w:ascii="Calibri" w:hAnsi="Calibri"/>
                                              <w:szCs w:val="22"/>
                                            </w:rPr>
                                          </w:pPr>
                                          <w:r>
                                            <w:rPr>
                                              <w:rStyle w:val="42"/>
                                              <w:rFonts w:hint="eastAsia" w:ascii="Calibri" w:hAnsi="Calibri"/>
                                              <w:szCs w:val="22"/>
                                            </w:rPr>
                                            <w:t>施工废水</w:t>
                                          </w:r>
                                        </w:p>
                                      </w:txbxContent>
                                    </wps:txbx>
                                    <wps:bodyPr rot="0" vert="horz" wrap="square" lIns="0" tIns="0" rIns="0" bIns="0" anchor="t" anchorCtr="0" upright="1">
                                      <a:noAutofit/>
                                    </wps:bodyPr>
                                  </wps:wsp>
                                  <wps:wsp>
                                    <wps:cNvPr id="36" name="文本框 149"/>
                                    <wps:cNvSpPr txBox="1">
                                      <a:spLocks noChangeArrowheads="1"/>
                                    </wps:cNvSpPr>
                                    <wps:spPr bwMode="auto">
                                      <a:xfrm>
                                        <a:off x="6198" y="4939"/>
                                        <a:ext cx="725" cy="452"/>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回用</w:t>
                                          </w:r>
                                        </w:p>
                                      </w:txbxContent>
                                    </wps:txbx>
                                    <wps:bodyPr rot="0" vert="horz" wrap="square" lIns="0" tIns="0" rIns="0" bIns="0" anchor="t" anchorCtr="0" upright="1">
                                      <a:noAutofit/>
                                    </wps:bodyPr>
                                  </wps:wsp>
                                  <wps:wsp>
                                    <wps:cNvPr id="37" name="文本框 152"/>
                                    <wps:cNvSpPr txBox="1">
                                      <a:spLocks noChangeArrowheads="1"/>
                                    </wps:cNvSpPr>
                                    <wps:spPr bwMode="auto">
                                      <a:xfrm>
                                        <a:off x="7468" y="4111"/>
                                        <a:ext cx="725" cy="451"/>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沉淀</w:t>
                                          </w:r>
                                        </w:p>
                                      </w:txbxContent>
                                    </wps:txbx>
                                    <wps:bodyPr rot="0" vert="horz" wrap="square" lIns="0" tIns="0" rIns="0" bIns="0" anchor="t" anchorCtr="0" upright="1">
                                      <a:noAutofit/>
                                    </wps:bodyPr>
                                  </wps:wsp>
                                  <wps:wsp>
                                    <wps:cNvPr id="38" name="自选图形 153"/>
                                    <wps:cNvCnPr>
                                      <a:cxnSpLocks noChangeShapeType="1"/>
                                      <a:stCxn id="25" idx="2"/>
                                    </wps:cNvCnPr>
                                    <wps:spPr bwMode="auto">
                                      <a:xfrm>
                                        <a:off x="6560" y="5391"/>
                                        <a:ext cx="14" cy="571"/>
                                      </a:xfrm>
                                      <a:prstGeom prst="straightConnector1">
                                        <a:avLst/>
                                      </a:prstGeom>
                                      <a:noFill/>
                                      <a:ln w="9525">
                                        <a:solidFill>
                                          <a:srgbClr val="000000"/>
                                        </a:solidFill>
                                        <a:round/>
                                        <a:tailEnd type="triangle" w="med" len="med"/>
                                      </a:ln>
                                      <a:effectLst/>
                                    </wps:spPr>
                                    <wps:bodyPr/>
                                  </wps:wsp>
                                  <wps:wsp>
                                    <wps:cNvPr id="39" name="文本框 154"/>
                                    <wps:cNvSpPr txBox="1">
                                      <a:spLocks noChangeArrowheads="1"/>
                                    </wps:cNvSpPr>
                                    <wps:spPr bwMode="auto">
                                      <a:xfrm>
                                        <a:off x="5692" y="7769"/>
                                        <a:ext cx="904" cy="451"/>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固废</w:t>
                                          </w:r>
                                        </w:p>
                                      </w:txbxContent>
                                    </wps:txbx>
                                    <wps:bodyPr rot="0" vert="horz" wrap="square" lIns="0" tIns="0" rIns="0" bIns="0" anchor="t" anchorCtr="0" upright="1">
                                      <a:noAutofit/>
                                    </wps:bodyPr>
                                  </wps:wsp>
                                  <wps:wsp>
                                    <wps:cNvPr id="40" name="文本框 155"/>
                                    <wps:cNvSpPr txBox="1">
                                      <a:spLocks noChangeArrowheads="1"/>
                                    </wps:cNvSpPr>
                                    <wps:spPr bwMode="auto">
                                      <a:xfrm>
                                        <a:off x="1882" y="6666"/>
                                        <a:ext cx="1212" cy="450"/>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rPr>
                                          </w:pPr>
                                          <w:r>
                                            <w:rPr>
                                              <w:rStyle w:val="42"/>
                                              <w:rFonts w:hint="eastAsia"/>
                                            </w:rPr>
                                            <w:t>基础</w:t>
                                          </w:r>
                                          <w:r>
                                            <w:rPr>
                                              <w:rFonts w:hint="eastAsia"/>
                                            </w:rPr>
                                            <w:t>工</w:t>
                                          </w:r>
                                          <w:r>
                                            <w:rPr>
                                              <w:rStyle w:val="42"/>
                                              <w:rFonts w:hint="eastAsia"/>
                                            </w:rPr>
                                            <w:t>程</w:t>
                                          </w:r>
                                        </w:p>
                                      </w:txbxContent>
                                    </wps:txbx>
                                    <wps:bodyPr rot="0" vert="horz" wrap="square" lIns="0" tIns="0" rIns="0" bIns="0" anchor="t" anchorCtr="0" upright="1">
                                      <a:noAutofit/>
                                    </wps:bodyPr>
                                  </wps:wsp>
                                  <wps:wsp>
                                    <wps:cNvPr id="41" name="文本框 156"/>
                                    <wps:cNvSpPr txBox="1">
                                      <a:spLocks noChangeArrowheads="1"/>
                                    </wps:cNvSpPr>
                                    <wps:spPr bwMode="auto">
                                      <a:xfrm>
                                        <a:off x="3737" y="6666"/>
                                        <a:ext cx="1212" cy="450"/>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rPr>
                                          </w:pPr>
                                          <w:r>
                                            <w:rPr>
                                              <w:rStyle w:val="42"/>
                                              <w:rFonts w:hint="eastAsia"/>
                                            </w:rPr>
                                            <w:t>主体工程</w:t>
                                          </w:r>
                                        </w:p>
                                      </w:txbxContent>
                                    </wps:txbx>
                                    <wps:bodyPr rot="0" vert="horz" wrap="square" lIns="0" tIns="0" rIns="0" bIns="0" anchor="t" anchorCtr="0" upright="1">
                                      <a:noAutofit/>
                                    </wps:bodyPr>
                                  </wps:wsp>
                                  <wps:wsp>
                                    <wps:cNvPr id="42" name="文本框 157"/>
                                    <wps:cNvSpPr txBox="1">
                                      <a:spLocks noChangeArrowheads="1"/>
                                    </wps:cNvSpPr>
                                    <wps:spPr bwMode="auto">
                                      <a:xfrm>
                                        <a:off x="5550" y="6666"/>
                                        <a:ext cx="1212" cy="450"/>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rPr>
                                          </w:pPr>
                                          <w:r>
                                            <w:rPr>
                                              <w:rStyle w:val="42"/>
                                              <w:rFonts w:hint="eastAsia"/>
                                            </w:rPr>
                                            <w:t>设备安装</w:t>
                                          </w:r>
                                        </w:p>
                                      </w:txbxContent>
                                    </wps:txbx>
                                    <wps:bodyPr rot="0" vert="horz" wrap="square" lIns="0" tIns="0" rIns="0" bIns="0" anchor="t" anchorCtr="0" upright="1">
                                      <a:noAutofit/>
                                    </wps:bodyPr>
                                  </wps:wsp>
                                  <wps:wsp>
                                    <wps:cNvPr id="43" name="自选图形 158"/>
                                    <wps:cNvCnPr>
                                      <a:cxnSpLocks noChangeShapeType="1"/>
                                    </wps:cNvCnPr>
                                    <wps:spPr bwMode="auto">
                                      <a:xfrm flipV="1">
                                        <a:off x="2482" y="6075"/>
                                        <a:ext cx="0" cy="591"/>
                                      </a:xfrm>
                                      <a:prstGeom prst="straightConnector1">
                                        <a:avLst/>
                                      </a:prstGeom>
                                      <a:noFill/>
                                      <a:ln w="9525">
                                        <a:solidFill>
                                          <a:srgbClr val="000000"/>
                                        </a:solidFill>
                                        <a:round/>
                                      </a:ln>
                                      <a:effectLst/>
                                    </wps:spPr>
                                    <wps:bodyPr/>
                                  </wps:wsp>
                                  <wps:wsp>
                                    <wps:cNvPr id="44" name="自选图形 159"/>
                                    <wps:cNvCnPr>
                                      <a:cxnSpLocks noChangeShapeType="1"/>
                                      <a:endCxn id="37" idx="2"/>
                                    </wps:cNvCnPr>
                                    <wps:spPr bwMode="auto">
                                      <a:xfrm flipV="1">
                                        <a:off x="2782" y="5356"/>
                                        <a:ext cx="11" cy="647"/>
                                      </a:xfrm>
                                      <a:prstGeom prst="straightConnector1">
                                        <a:avLst/>
                                      </a:prstGeom>
                                      <a:noFill/>
                                      <a:ln w="9525">
                                        <a:solidFill>
                                          <a:srgbClr val="000000"/>
                                        </a:solidFill>
                                        <a:prstDash val="dash"/>
                                        <a:round/>
                                        <a:tailEnd type="triangle" w="med" len="med"/>
                                      </a:ln>
                                      <a:effectLst/>
                                    </wps:spPr>
                                    <wps:bodyPr/>
                                  </wps:wsp>
                                  <wps:wsp>
                                    <wps:cNvPr id="45" name="自选图形 160"/>
                                    <wps:cNvCnPr>
                                      <a:cxnSpLocks noChangeShapeType="1"/>
                                      <a:endCxn id="39" idx="2"/>
                                    </wps:cNvCnPr>
                                    <wps:spPr bwMode="auto">
                                      <a:xfrm flipV="1">
                                        <a:off x="4097" y="5386"/>
                                        <a:ext cx="11" cy="616"/>
                                      </a:xfrm>
                                      <a:prstGeom prst="straightConnector1">
                                        <a:avLst/>
                                      </a:prstGeom>
                                      <a:noFill/>
                                      <a:ln w="9525">
                                        <a:solidFill>
                                          <a:srgbClr val="000000"/>
                                        </a:solidFill>
                                        <a:prstDash val="dash"/>
                                        <a:round/>
                                        <a:tailEnd type="triangle" w="med" len="med"/>
                                      </a:ln>
                                      <a:effectLst/>
                                    </wps:spPr>
                                    <wps:bodyPr/>
                                  </wps:wsp>
                                  <wps:wsp>
                                    <wps:cNvPr id="46" name="文本框 161"/>
                                    <wps:cNvSpPr txBox="1">
                                      <a:spLocks noChangeArrowheads="1"/>
                                    </wps:cNvSpPr>
                                    <wps:spPr bwMode="auto">
                                      <a:xfrm>
                                        <a:off x="2341" y="4909"/>
                                        <a:ext cx="904" cy="447"/>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噪声</w:t>
                                          </w:r>
                                        </w:p>
                                      </w:txbxContent>
                                    </wps:txbx>
                                    <wps:bodyPr rot="0" vert="horz" wrap="square" lIns="0" tIns="0" rIns="0" bIns="0" anchor="t" anchorCtr="0" upright="1">
                                      <a:noAutofit/>
                                    </wps:bodyPr>
                                  </wps:wsp>
                                  <wps:wsp>
                                    <wps:cNvPr id="47" name="文本框 162"/>
                                    <wps:cNvSpPr txBox="1">
                                      <a:spLocks noChangeArrowheads="1"/>
                                    </wps:cNvSpPr>
                                    <wps:spPr bwMode="auto">
                                      <a:xfrm>
                                        <a:off x="2037" y="7743"/>
                                        <a:ext cx="904" cy="452"/>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szCs w:val="22"/>
                                            </w:rPr>
                                          </w:pPr>
                                          <w:r>
                                            <w:rPr>
                                              <w:rStyle w:val="42"/>
                                              <w:rFonts w:hint="eastAsia"/>
                                              <w:szCs w:val="22"/>
                                            </w:rPr>
                                            <w:t>挖方</w:t>
                                          </w:r>
                                        </w:p>
                                      </w:txbxContent>
                                    </wps:txbx>
                                    <wps:bodyPr rot="0" vert="horz" wrap="square" lIns="0" tIns="0" rIns="0" bIns="0" anchor="t" anchorCtr="0" upright="1">
                                      <a:noAutofit/>
                                    </wps:bodyPr>
                                  </wps:wsp>
                                </wpg:grpSp>
                              </wpg:grpSp>
                              <wps:wsp>
                                <wps:cNvPr id="48" name="文本框 173"/>
                                <wps:cNvSpPr txBox="1">
                                  <a:spLocks noChangeArrowheads="1"/>
                                </wps:cNvSpPr>
                                <wps:spPr bwMode="auto">
                                  <a:xfrm>
                                    <a:off x="3578" y="5534"/>
                                    <a:ext cx="1060" cy="452"/>
                                  </a:xfrm>
                                  <a:prstGeom prst="rect">
                                    <a:avLst/>
                                  </a:prstGeom>
                                  <a:solidFill>
                                    <a:srgbClr val="FFFFFF"/>
                                  </a:solidFill>
                                  <a:ln w="9525">
                                    <a:solidFill>
                                      <a:srgbClr val="000000"/>
                                    </a:solidFill>
                                    <a:miter lim="800000"/>
                                  </a:ln>
                                  <a:effectLst/>
                                </wps:spPr>
                                <wps:txbx>
                                  <w:txbxContent>
                                    <w:p>
                                      <w:pPr>
                                        <w:pStyle w:val="12"/>
                                        <w:spacing w:before="48" w:beforeLines="20"/>
                                        <w:jc w:val="center"/>
                                        <w:rPr>
                                          <w:rStyle w:val="42"/>
                                          <w:rFonts w:hint="eastAsia" w:ascii="Calibri" w:hAnsi="Calibri"/>
                                          <w:szCs w:val="22"/>
                                        </w:rPr>
                                      </w:pPr>
                                      <w:r>
                                        <w:rPr>
                                          <w:rStyle w:val="42"/>
                                          <w:rFonts w:hint="eastAsia" w:ascii="Calibri" w:hAnsi="Calibri"/>
                                          <w:szCs w:val="22"/>
                                        </w:rPr>
                                        <w:t>生活废水</w:t>
                                      </w:r>
                                    </w:p>
                                  </w:txbxContent>
                                </wps:txbx>
                                <wps:bodyPr rot="0" vert="horz" wrap="square" lIns="0" tIns="0" rIns="0" bIns="0" anchor="t" anchorCtr="0" upright="1">
                                  <a:noAutofit/>
                                </wps:bodyPr>
                              </wps:wsp>
                            </wpg:grpSp>
                            <wps:wsp>
                              <wps:cNvPr id="49" name="自选图形 174"/>
                              <wps:cNvCnPr>
                                <a:cxnSpLocks noChangeShapeType="1"/>
                              </wps:cNvCnPr>
                              <wps:spPr bwMode="auto">
                                <a:xfrm flipV="1">
                                  <a:off x="2482" y="6585"/>
                                  <a:ext cx="0" cy="681"/>
                                </a:xfrm>
                                <a:prstGeom prst="straightConnector1">
                                  <a:avLst/>
                                </a:prstGeom>
                                <a:noFill/>
                                <a:ln w="9525">
                                  <a:solidFill>
                                    <a:srgbClr val="000000"/>
                                  </a:solidFill>
                                  <a:round/>
                                </a:ln>
                                <a:effectLst/>
                              </wps:spPr>
                              <wps:bodyPr/>
                            </wps:wsp>
                          </wpg:wgp>
                        </a:graphicData>
                      </a:graphic>
                    </wp:anchor>
                  </w:drawing>
                </mc:Choice>
                <mc:Fallback>
                  <w:pict>
                    <v:group id="组合 2" o:spid="_x0000_s1026" o:spt="203" style="position:absolute;left:0pt;margin-left:36.85pt;margin-top:6.2pt;height:168.7pt;width:353.65pt;mso-wrap-distance-bottom:0pt;mso-wrap-distance-top:0pt;z-index:251663360;mso-width-relative:page;mso-height-relative:page;" coordorigin="1882,4711" coordsize="8491,4109" o:gfxdata="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">
                      <o:lock v:ext="edit" aspectratio="f"/>
                      <v:group id="组合 104" o:spid="_x0000_s1026" o:spt="203" style="position:absolute;left:1882;top:4711;height:4109;width:8491;" coordorigin="1882,4711" coordsize="8491,4109" o:gfxdata="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01lxa9AAAA2wAAAA8AAAAAAAAAAQAg&#10;AAAAOAAAAGRycy9kb3ducmV2LnhtbFBLAQIUABQAAAAIAIdO4kAzLwWeOwAAADkAAAAVAAAAAAAA&#10;AAEAIAAAACIBAABkcnMvZ3JvdXBzaGFwZXhtbC54bWxQSwUGAAAAAAYABgBgAQAA3wMAAAAA&#10;">
                        <o:lock v:ext="edit" aspectratio="f"/>
                        <v:group id="组合 107" o:spid="_x0000_s1026" o:spt="203" style="position:absolute;left:1882;top:4711;height:4109;width:8491;" coordorigin="1882,4111" coordsize="8491,4109" o:gfxdata="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4nkyjbwAAADbAAAADwAAAAAAAAABACAA&#10;AAA4AAAAZHJzL2Rvd25yZXYueG1sUEsBAhQAFAAAAAgAh07iQDMvBZ47AAAAOQAAABUAAAAAAAAA&#10;AQAgAAAAIQEAAGRycy9ncm91cHNoYXBleG1sLnhtbFBLBQYAAAAABgAGAGABAADeAwAAAAA=&#10;">
                          <o:lock v:ext="edit" aspectratio="f"/>
                          <v:shape id="自选图形 129" o:spid="_x0000_s1026" o:spt="32" type="#_x0000_t32" style="position:absolute;left:2482;top:5985;height:0;width:5525;" filled="f" stroked="t" coordsize="21600,21600" o:gfxdata="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O3rj7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group id="组合 130" o:spid="_x0000_s1026" o:spt="203" style="position:absolute;left:1882;top:4111;height:4109;width:8491;" coordorigin="1882,4111" coordsize="8491,4109" o:gfxdata="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3nCWG9AAAA2wAAAA8AAAAAAAAAAQAg&#10;AAAAOAAAAGRycy9kb3ducmV2LnhtbFBLAQIUABQAAAAIAIdO4kAzLwWeOwAAADkAAAAVAAAAAAAA&#10;AAEAIAAAACIBAABkcnMvZ3JvdXBzaGFwZXhtbC54bWxQSwUGAAAAAAYABgBgAQAA3wMAAAAA&#10;">
                            <o:lock v:ext="edit" aspectratio="f"/>
                            <v:shape id="自选图形 131" o:spid="_x0000_s1026" o:spt="32" type="#_x0000_t32" style="position:absolute;left:3094;top:6891;height:0;width:642;" filled="f" stroked="t" coordsize="21600,21600" o:gfxdata="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H65fy+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自选图形 132" o:spid="_x0000_s1026" o:spt="32" type="#_x0000_t32" style="position:absolute;left:4949;top:6891;height:0;width:600;" filled="f" stroked="t" coordsize="21600,21600" o:gfxdata="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62QGe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自选图形 133" o:spid="_x0000_s1026" o:spt="32" type="#_x0000_t32" style="position:absolute;left:8605;top:6883;height:0;width:556;" filled="f" stroked="t" coordsize="21600,21600" o:gfxdata="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&#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HgI0e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自选图形 134" o:spid="_x0000_s1026" o:spt="32" type="#_x0000_t32" style="position:absolute;left:6762;top:6882;flip:y;height:9;width:630;" filled="f" stroked="t" coordsize="21600,21600" o:gfxdata="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t3Tcr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自选图形 135" o:spid="_x0000_s1026" o:spt="32" type="#_x0000_t32" style="position:absolute;left:4328;top:5985;flip:y;height:681;width:0;" filled="f" stroked="t" coordsize="21600,21600" o:gfxdata="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ZiBuL0AAADbAAAADwAAAAAAAAABACAAAAA4AAAAZHJzL2Rvd25yZXYu&#10;eG1sUEsBAhQAFAAAAAgAh07iQDMvBZ47AAAAOQAAABAAAAAAAAAAAQAgAAAAIgEAAGRycy9zaGFw&#10;ZXhtbC54bWxQSwUGAAAAAAYABgBbAQAAzAMAAAAA&#10;">
                              <v:fill on="f" focussize="0,0"/>
                              <v:stroke color="#000000" joinstyle="round"/>
                              <v:imagedata o:title=""/>
                              <o:lock v:ext="edit" aspectratio="f"/>
                            </v:shape>
                            <v:shape id="自选图形 136" o:spid="_x0000_s1026" o:spt="32" type="#_x0000_t32" style="position:absolute;left:6216;top:5985;flip:y;height:681;width:1;" filled="f" stroked="t" coordsize="21600,21600" o:gfxdata="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7UJCO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自选图形 137" o:spid="_x0000_s1026" o:spt="32" type="#_x0000_t32" style="position:absolute;left:7984;top:5991;flip:x y;height:665;width:14;" filled="f" stroked="t" coordsize="21600,21600" o:gfxdata="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RmBSr0AAADbAAAADwAAAAAAAAABACAAAAA4AAAAZHJzL2Rvd25yZXYu&#10;eG1sUEsBAhQAFAAAAAgAh07iQDMvBZ47AAAAOQAAABAAAAAAAAAAAQAgAAAAIgEAAGRycy9zaGFw&#10;ZXhtbC54bWxQSwUGAAAAAAYABgBbAQAAzAMAAAAA&#10;">
                              <v:fill on="f" focussize="0,0"/>
                              <v:stroke color="#000000" joinstyle="round"/>
                              <v:imagedata o:title=""/>
                              <o:lock v:ext="edit" aspectratio="f"/>
                            </v:shape>
                            <v:shape id="自选图形 138" o:spid="_x0000_s1026" o:spt="32" type="#_x0000_t32" style="position:absolute;left:7831;top:5403;flip:y;height:570;width:14;" filled="f" stroked="t" coordsize="21600,21600" o:gfxdata="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qkcnroAAADbAAAADwAAAAAAAAABACAAAAA4AAAAZHJzL2Rvd25yZXYueG1s&#10;UEsBAhQAFAAAAAgAh07iQDMvBZ47AAAAOQAAABAAAAAAAAAAAQAgAAAAHwEAAGRycy9zaGFwZXht&#10;bC54bWxQSwUGAAAAAAYABgBbAQAAyQMAAAAA&#10;">
                              <v:fill on="f" focussize="0,0"/>
                              <v:stroke color="#000000" joinstyle="round" dashstyle="dash" endarrow="block"/>
                              <v:imagedata o:title=""/>
                              <o:lock v:ext="edit" aspectratio="f"/>
                            </v:shape>
                            <v:shape id="自选图形 139" o:spid="_x0000_s1026" o:spt="32" type="#_x0000_t32" style="position:absolute;left:7831;top:4562;flip:x y;height:391;width:14;" filled="f" stroked="t" coordsize="21600,21600" o:gfxdata="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ddJDvAAAANs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shape>
                            <v:shape id="自选图形 140" o:spid="_x0000_s1026" o:spt="32" type="#_x0000_t32" style="position:absolute;left:2488;top:7117;height:626;width:1;" filled="f" stroked="t" coordsize="21600,21600" o:gfxdata="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sYxL0AAADbAAAADwAAAAAAAAABACAAAAA4AAAAZHJzL2Rvd25yZXYu&#10;eG1sUEsBAhQAFAAAAAgAh07iQDMvBZ47AAAAOQAAABAAAAAAAAAAAQAgAAAAIgEAAGRycy9zaGFw&#10;ZXhtbC54bWxQSwUGAAAAAAYABgBbAQAAzAMAAAAA&#10;">
                              <v:fill on="f" focussize="0,0"/>
                              <v:stroke color="#000000" joinstyle="round" dashstyle="dash" endarrow="block"/>
                              <v:imagedata o:title=""/>
                              <o:lock v:ext="edit" aspectratio="f"/>
                            </v:shape>
                            <v:shape id="自选图形 141" o:spid="_x0000_s1026" o:spt="32" type="#_x0000_t32" style="position:absolute;left:4184;top:7440;height:10;width:1990;" filled="f" stroked="t" coordsize="21600,21600" o:gfxdata="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&#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WL0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自选图形 142" o:spid="_x0000_s1026" o:spt="32" type="#_x0000_t32" style="position:absolute;left:6145;top:7117;flip:x;height:653;width:11;" filled="f" stroked="t" coordsize="21600,21600" o:gfxdata="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KvfdL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自选图形 143" o:spid="_x0000_s1026" o:spt="32" type="#_x0000_t32" style="position:absolute;left:4184;top:7026;flip:y;height:414;width:1;" filled="f" stroked="t" coordsize="21600,21600" o:gfxdata="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vfLIm4AAAA2wAAAA8AAAAAAAAAAQAgAAAAOAAAAGRycy9kb3ducmV2LnhtbFBL&#10;AQIUABQAAAAIAIdO4kAzLwWeOwAAADkAAAAQAAAAAAAAAAEAIAAAAB0BAABkcnMvc2hhcGV4bWwu&#10;eG1sUEsFBgAAAAAGAAYAWwEAAMcDAAAAAA==&#10;">
                              <v:fill on="f" focussize="0,0"/>
                              <v:stroke color="#000000" joinstyle="round"/>
                              <v:imagedata o:title=""/>
                              <o:lock v:ext="edit" aspectratio="f"/>
                            </v:shape>
                            <v:shape id="文本框 144" o:spid="_x0000_s1026" o:spt="202" type="#_x0000_t202" style="position:absolute;left:7392;top:6656;height:452;width:1212;" fillcolor="#FFFFFF" filled="t" stroked="t" coordsize="21600,21600" o:gfxdata="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7pKAb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设备调试</w:t>
                                    </w:r>
                                  </w:p>
                                </w:txbxContent>
                              </v:textbox>
                            </v:shape>
                            <v:shape id="文本框 145" o:spid="_x0000_s1026" o:spt="202" type="#_x0000_t202" style="position:absolute;left:9161;top:6656;height:452;width:1212;" fillcolor="#FFFFFF" filled="t" stroked="t" coordsize="21600,21600" o:gfxdata="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2jUdr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工程验收</w:t>
                                    </w:r>
                                  </w:p>
                                </w:txbxContent>
                              </v:textbox>
                            </v:shape>
                            <v:shape id="自选图形 146" o:spid="_x0000_s1026" o:spt="32" type="#_x0000_t32" style="position:absolute;left:5449;top:5391;flip:y;height:586;width:7;" filled="f" stroked="t" coordsize="21600,21600" o:gfxdata="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9W3rLoAAADbAAAADwAAAAAAAAABACAAAAA4AAAAZHJzL2Rvd25yZXYueG1s&#10;UEsBAhQAFAAAAAgAh07iQDMvBZ47AAAAOQAAABAAAAAAAAAAAQAgAAAAHwEAAGRycy9zaGFwZXht&#10;bC54bWxQSwUGAAAAAAYABgBbAQAAyQMAAAAA&#10;">
                              <v:fill on="f" focussize="0,0"/>
                              <v:stroke color="#000000" joinstyle="round" dashstyle="dash" endarrow="block"/>
                              <v:imagedata o:title=""/>
                              <o:lock v:ext="edit" aspectratio="f"/>
                            </v:shape>
                            <v:shape id="文本框 147" o:spid="_x0000_s1026" o:spt="202" type="#_x0000_t202" style="position:absolute;left:5003;top:4939;height:452;width:904;" fillcolor="#FFFFFF" filled="t" stroked="t" coordsize="21600,21600" o:gfxdata="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fN6Zm+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废气</w:t>
                                    </w:r>
                                  </w:p>
                                </w:txbxContent>
                              </v:textbox>
                            </v:shape>
                            <v:shape id="文本框 148" o:spid="_x0000_s1026" o:spt="202" type="#_x0000_t202" style="position:absolute;left:7199;top:4953;height:451;width:1292;" fillcolor="#FFFFFF" filled="t" stroked="t" coordsize="21600,21600" o:gfxdata="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iBTAK+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inset="0mm,0mm,0mm,0mm">
                                <w:txbxContent>
                                  <w:p>
                                    <w:pPr>
                                      <w:pStyle w:val="12"/>
                                      <w:spacing w:before="48" w:beforeLines="20"/>
                                      <w:jc w:val="center"/>
                                      <w:rPr>
                                        <w:rStyle w:val="42"/>
                                        <w:rFonts w:hint="eastAsia" w:ascii="Calibri" w:hAnsi="Calibri"/>
                                        <w:szCs w:val="22"/>
                                      </w:rPr>
                                    </w:pPr>
                                    <w:r>
                                      <w:rPr>
                                        <w:rStyle w:val="42"/>
                                        <w:rFonts w:hint="eastAsia" w:ascii="Calibri" w:hAnsi="Calibri"/>
                                        <w:szCs w:val="22"/>
                                      </w:rPr>
                                      <w:t>施工废水</w:t>
                                    </w:r>
                                  </w:p>
                                </w:txbxContent>
                              </v:textbox>
                            </v:shape>
                            <v:shape id="文本框 149" o:spid="_x0000_s1026" o:spt="202" type="#_x0000_t202" style="position:absolute;left:6198;top:4939;height:452;width:725;" fillcolor="#FFFFFF" filled="t" stroked="t" coordsize="21600,21600" o:gfxdata="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U9J1vAAAANs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回用</w:t>
                                    </w:r>
                                  </w:p>
                                </w:txbxContent>
                              </v:textbox>
                            </v:shape>
                            <v:shape id="文本框 152" o:spid="_x0000_s1026" o:spt="202" type="#_x0000_t202" style="position:absolute;left:7468;top:4111;height:451;width:725;" fillcolor="#FFFFFF" filled="t" stroked="t" coordsize="21600,21600" o:gfxdata="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fd+6+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沉淀</w:t>
                                    </w:r>
                                  </w:p>
                                </w:txbxContent>
                              </v:textbox>
                            </v:shape>
                            <v:shape id="自选图形 153" o:spid="_x0000_s1026" o:spt="32" type="#_x0000_t32" style="position:absolute;left:6560;top:5391;height:571;width:14;" filled="f" stroked="t" coordsize="21600,21600" o:gfxdata="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pPuZy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文本框 154" o:spid="_x0000_s1026" o:spt="202" type="#_x0000_t202" style="position:absolute;left:5692;top:7769;height:451;width:904;" fillcolor="#FFFFFF" filled="t" stroked="t" coordsize="21600,21600" o:gfxdata="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cxGB7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固废</w:t>
                                    </w:r>
                                  </w:p>
                                </w:txbxContent>
                              </v:textbox>
                            </v:shape>
                            <v:shape id="文本框 155" o:spid="_x0000_s1026" o:spt="202" type="#_x0000_t202" style="position:absolute;left:1882;top:6666;height:450;width:1212;" fillcolor="#FFFFFF" filled="t" stroked="t" coordsize="21600,21600" o:gfxdata="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DwnOe4AAAA2wAAAA8AAAAAAAAAAQAgAAAAOAAAAGRycy9kb3ducmV2LnhtbFBL&#10;AQIUABQAAAAIAIdO4kAzLwWeOwAAADkAAAAQAAAAAAAAAAEAIAAAAB0BAABkcnMvc2hhcGV4bWwu&#10;eG1sUEsFBgAAAAAGAAYAWwEAAMcDAAAAAA==&#10;">
                              <v:fill on="t" focussize="0,0"/>
                              <v:stroke color="#000000" miterlimit="8" joinstyle="miter"/>
                              <v:imagedata o:title=""/>
                              <o:lock v:ext="edit" aspectratio="f"/>
                              <v:textbox inset="0mm,0mm,0mm,0mm">
                                <w:txbxContent>
                                  <w:p>
                                    <w:pPr>
                                      <w:pStyle w:val="12"/>
                                      <w:spacing w:before="48" w:beforeLines="20"/>
                                      <w:jc w:val="center"/>
                                      <w:rPr>
                                        <w:rStyle w:val="42"/>
                                      </w:rPr>
                                    </w:pPr>
                                    <w:r>
                                      <w:rPr>
                                        <w:rStyle w:val="42"/>
                                        <w:rFonts w:hint="eastAsia"/>
                                      </w:rPr>
                                      <w:t>基础</w:t>
                                    </w:r>
                                    <w:r>
                                      <w:rPr>
                                        <w:rFonts w:hint="eastAsia"/>
                                      </w:rPr>
                                      <w:t>工</w:t>
                                    </w:r>
                                    <w:r>
                                      <w:rPr>
                                        <w:rStyle w:val="42"/>
                                        <w:rFonts w:hint="eastAsia"/>
                                      </w:rPr>
                                      <w:t>程</w:t>
                                    </w:r>
                                  </w:p>
                                </w:txbxContent>
                              </v:textbox>
                            </v:shape>
                            <v:shape id="文本框 156" o:spid="_x0000_s1026" o:spt="202" type="#_x0000_t202" style="position:absolute;left:3737;top:6666;height:450;width:1212;" fillcolor="#FFFFFF" filled="t" stroked="t" coordsize="21600,21600" o:gfxdata="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7w5fL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inset="0mm,0mm,0mm,0mm">
                                <w:txbxContent>
                                  <w:p>
                                    <w:pPr>
                                      <w:pStyle w:val="12"/>
                                      <w:spacing w:before="48" w:beforeLines="20"/>
                                      <w:jc w:val="center"/>
                                      <w:rPr>
                                        <w:rStyle w:val="42"/>
                                      </w:rPr>
                                    </w:pPr>
                                    <w:r>
                                      <w:rPr>
                                        <w:rStyle w:val="42"/>
                                        <w:rFonts w:hint="eastAsia"/>
                                      </w:rPr>
                                      <w:t>主体工程</w:t>
                                    </w:r>
                                  </w:p>
                                </w:txbxContent>
                              </v:textbox>
                            </v:shape>
                            <v:shape id="文本框 157" o:spid="_x0000_s1026" o:spt="202" type="#_x0000_t202" style="position:absolute;left:5550;top:6666;height:450;width:1212;" fillcolor="#FFFFFF" filled="t" stroked="t" coordsize="21600,21600" o:gfxdata="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26nC7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inset="0mm,0mm,0mm,0mm">
                                <w:txbxContent>
                                  <w:p>
                                    <w:pPr>
                                      <w:pStyle w:val="12"/>
                                      <w:spacing w:before="48" w:beforeLines="20"/>
                                      <w:jc w:val="center"/>
                                      <w:rPr>
                                        <w:rStyle w:val="42"/>
                                      </w:rPr>
                                    </w:pPr>
                                    <w:r>
                                      <w:rPr>
                                        <w:rStyle w:val="42"/>
                                        <w:rFonts w:hint="eastAsia"/>
                                      </w:rPr>
                                      <w:t>设备安装</w:t>
                                    </w:r>
                                  </w:p>
                                </w:txbxContent>
                              </v:textbox>
                            </v:shape>
                            <v:shape id="自选图形 158" o:spid="_x0000_s1026" o:spt="32" type="#_x0000_t32" style="position:absolute;left:2482;top:6075;flip:y;height:591;width:0;" filled="f" stroked="t" coordsize="21600,21600" o:gfxdata="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C8GDvAAAANsAAAAPAAAAAAAAAAEAIAAAADgAAABkcnMvZG93bnJldi54&#10;bWxQSwECFAAUAAAACACHTuJAMy8FnjsAAAA5AAAAEAAAAAAAAAABACAAAAAhAQAAZHJzL3NoYXBl&#10;eG1sLnhtbFBLBQYAAAAABgAGAFsBAADLAwAAAAA=&#10;">
                              <v:fill on="f" focussize="0,0"/>
                              <v:stroke color="#000000" joinstyle="round"/>
                              <v:imagedata o:title=""/>
                              <o:lock v:ext="edit" aspectratio="f"/>
                            </v:shape>
                            <v:shape id="自选图形 159" o:spid="_x0000_s1026" o:spt="32" type="#_x0000_t32" style="position:absolute;left:2782;top:5356;flip:y;height:647;width:11;" filled="f" stroked="t" coordsize="21600,21600" o:gfxdata="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DpcpboAAADbAAAADwAAAAAAAAABACAAAAA4AAAAZHJzL2Rvd25yZXYueG1s&#10;UEsBAhQAFAAAAAgAh07iQDMvBZ47AAAAOQAAABAAAAAAAAAAAQAgAAAAHwEAAGRycy9zaGFwZXht&#10;bC54bWxQSwUGAAAAAAYABgBbAQAAyQMAAAAA&#10;">
                              <v:fill on="f" focussize="0,0"/>
                              <v:stroke color="#000000" joinstyle="round" dashstyle="dash" endarrow="block"/>
                              <v:imagedata o:title=""/>
                              <o:lock v:ext="edit" aspectratio="f"/>
                            </v:shape>
                            <v:shape id="自选图形 160" o:spid="_x0000_s1026" o:spt="32" type="#_x0000_t32" style="position:absolute;left:4097;top:5386;flip:y;height:616;width:11;" filled="f" stroked="t" coordsize="21600,21600" o:gfxdata="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N2+T67AAAA2wAAAA8AAAAAAAAAAQAgAAAAOAAAAGRycy9kb3ducmV2Lnht&#10;bFBLAQIUABQAAAAIAIdO4kAzLwWeOwAAADkAAAAQAAAAAAAAAAEAIAAAACABAABkcnMvc2hhcGV4&#10;bWwueG1sUEsFBgAAAAAGAAYAWwEAAMoDAAAAAA==&#10;">
                              <v:fill on="f" focussize="0,0"/>
                              <v:stroke color="#000000" joinstyle="round" dashstyle="dash" endarrow="block"/>
                              <v:imagedata o:title=""/>
                              <o:lock v:ext="edit" aspectratio="f"/>
                            </v:shape>
                            <v:shape id="文本框 161" o:spid="_x0000_s1026" o:spt="202" type="#_x0000_t202" style="position:absolute;left:2341;top:4909;height:447;width:904;" fillcolor="#FFFFFF" filled="t" stroked="t" coordsize="21600,21600" o:gfxdata="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VaEIvAAAANs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噪声</w:t>
                                    </w:r>
                                  </w:p>
                                </w:txbxContent>
                              </v:textbox>
                            </v:shape>
                            <v:shape id="文本框 162" o:spid="_x0000_s1026" o:spt="202" type="#_x0000_t202" style="position:absolute;left:2037;top:7743;height:452;width:904;" fillcolor="#FFFFFF" filled="t" stroked="t" coordsize="21600,21600" o:gfxdata="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ZBJO+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inset="0mm,0mm,0mm,0mm">
                                <w:txbxContent>
                                  <w:p>
                                    <w:pPr>
                                      <w:pStyle w:val="12"/>
                                      <w:spacing w:before="48" w:beforeLines="20"/>
                                      <w:jc w:val="center"/>
                                      <w:rPr>
                                        <w:rStyle w:val="42"/>
                                        <w:szCs w:val="22"/>
                                      </w:rPr>
                                    </w:pPr>
                                    <w:r>
                                      <w:rPr>
                                        <w:rStyle w:val="42"/>
                                        <w:rFonts w:hint="eastAsia"/>
                                        <w:szCs w:val="22"/>
                                      </w:rPr>
                                      <w:t>挖方</w:t>
                                    </w:r>
                                  </w:p>
                                </w:txbxContent>
                              </v:textbox>
                            </v:shape>
                          </v:group>
                        </v:group>
                        <v:shape id="文本框 173" o:spid="_x0000_s1026" o:spt="202" type="#_x0000_t202" style="position:absolute;left:3578;top:5534;height:452;width:1060;" fillcolor="#FFFFFF" filled="t" stroked="t" coordsize="21600,21600" o:gfxdata="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6GkOG4AAAA2wAAAA8AAAAAAAAAAQAgAAAAOAAAAGRycy9kb3ducmV2LnhtbFBL&#10;AQIUABQAAAAIAIdO4kAzLwWeOwAAADkAAAAQAAAAAAAAAAEAIAAAAB0BAABkcnMvc2hhcGV4bWwu&#10;eG1sUEsFBgAAAAAGAAYAWwEAAMcDAAAAAA==&#10;">
                          <v:fill on="t" focussize="0,0"/>
                          <v:stroke color="#000000" miterlimit="8" joinstyle="miter"/>
                          <v:imagedata o:title=""/>
                          <o:lock v:ext="edit" aspectratio="f"/>
                          <v:textbox inset="0mm,0mm,0mm,0mm">
                            <w:txbxContent>
                              <w:p>
                                <w:pPr>
                                  <w:pStyle w:val="12"/>
                                  <w:spacing w:before="48" w:beforeLines="20"/>
                                  <w:jc w:val="center"/>
                                  <w:rPr>
                                    <w:rStyle w:val="42"/>
                                    <w:rFonts w:hint="eastAsia" w:ascii="Calibri" w:hAnsi="Calibri"/>
                                    <w:szCs w:val="22"/>
                                  </w:rPr>
                                </w:pPr>
                                <w:r>
                                  <w:rPr>
                                    <w:rStyle w:val="42"/>
                                    <w:rFonts w:hint="eastAsia" w:ascii="Calibri" w:hAnsi="Calibri"/>
                                    <w:szCs w:val="22"/>
                                  </w:rPr>
                                  <w:t>生活废水</w:t>
                                </w:r>
                              </w:p>
                            </w:txbxContent>
                          </v:textbox>
                        </v:shape>
                      </v:group>
                      <v:shape id="自选图形 174" o:spid="_x0000_s1026" o:spt="32" type="#_x0000_t32" style="position:absolute;left:2482;top:6585;flip:y;height:681;width:0;" filled="f" stroked="t" coordsize="21600,21600" o:gfxdata="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4/ZpvAAAANsAAAAPAAAAAAAAAAEAIAAAADgAAABkcnMvZG93bnJldi54&#10;bWxQSwECFAAUAAAACACHTuJAMy8FnjsAAAA5AAAAEAAAAAAAAAABACAAAAAhAQAAZHJzL3NoYXBl&#10;eG1sLnhtbFBLBQYAAAAABgAGAFsBAADLAwAAAAA=&#10;">
                        <v:fill on="f" focussize="0,0"/>
                        <v:stroke color="#000000" joinstyle="round"/>
                        <v:imagedata o:title=""/>
                        <o:lock v:ext="edit" aspectratio="f"/>
                      </v:shape>
                      <w10:wrap type="topAndBottom"/>
                    </v:group>
                  </w:pict>
                </mc:Fallback>
              </mc:AlternateContent>
            </w:r>
          </w:p>
          <w:p>
            <w:pPr>
              <w:pStyle w:val="60"/>
              <w:rPr>
                <w:rFonts w:hint="default" w:ascii="Times New Roman" w:hAnsi="Times New Roman" w:cs="Times New Roman"/>
                <w:color w:val="auto"/>
              </w:rPr>
            </w:pPr>
            <w:r>
              <w:rPr>
                <w:rFonts w:hint="default" w:ascii="Times New Roman" w:hAnsi="Times New Roman" w:cs="Times New Roman"/>
                <w:color w:val="auto"/>
              </w:rPr>
              <w:t>图2-</w:t>
            </w:r>
            <w:r>
              <w:rPr>
                <w:rFonts w:hint="eastAsia" w:ascii="Times New Roman" w:hAnsi="Times New Roman" w:cs="Times New Roman"/>
                <w:color w:val="auto"/>
                <w:lang w:val="en-US" w:eastAsia="zh-CN"/>
              </w:rPr>
              <w:t>1</w:t>
            </w:r>
            <w:r>
              <w:rPr>
                <w:rFonts w:hint="default" w:ascii="Times New Roman" w:hAnsi="Times New Roman" w:cs="Times New Roman"/>
                <w:color w:val="auto"/>
              </w:rPr>
              <w:t>施工流程图及产污节点</w:t>
            </w:r>
          </w:p>
          <w:p>
            <w:pPr>
              <w:pStyle w:val="66"/>
              <w:ind w:firstLine="480"/>
              <w:rPr>
                <w:rFonts w:hint="default" w:ascii="Times New Roman" w:hAnsi="Times New Roman" w:cs="Times New Roman"/>
                <w:color w:val="auto"/>
              </w:rPr>
            </w:pPr>
            <w:r>
              <w:rPr>
                <w:rFonts w:hint="default" w:ascii="Times New Roman" w:hAnsi="Times New Roman" w:cs="Times New Roman"/>
                <w:color w:val="auto"/>
              </w:rPr>
              <w:t>（1）基础工程</w:t>
            </w:r>
            <w:r>
              <w:rPr>
                <w:rFonts w:hint="default" w:ascii="Times New Roman" w:hAnsi="Times New Roman" w:cs="Times New Roman"/>
                <w:color w:val="auto"/>
              </w:rPr>
              <w:tab/>
            </w:r>
            <w:r>
              <w:rPr>
                <w:rFonts w:hint="default" w:ascii="Times New Roman" w:hAnsi="Times New Roman" w:cs="Times New Roman"/>
                <w:color w:val="auto"/>
              </w:rPr>
              <w:tab/>
            </w:r>
          </w:p>
          <w:p>
            <w:pPr>
              <w:pStyle w:val="66"/>
              <w:ind w:firstLine="480"/>
              <w:rPr>
                <w:rFonts w:hint="default" w:ascii="Times New Roman" w:hAnsi="Times New Roman" w:cs="Times New Roman"/>
                <w:color w:val="auto"/>
              </w:rPr>
            </w:pPr>
            <w:r>
              <w:rPr>
                <w:rFonts w:hint="default" w:ascii="Times New Roman" w:hAnsi="Times New Roman" w:cs="Times New Roman"/>
                <w:color w:val="auto"/>
              </w:rPr>
              <w:t>包括地基开挖、地基处理与基础施工。挖土机、运土卡车等运行时，将主要产生噪声；在施工阶段地基施工会有少量弃土产生，弃土于场地整平不外运。土建施工将产生粉尘。</w:t>
            </w:r>
          </w:p>
          <w:p>
            <w:pPr>
              <w:pStyle w:val="66"/>
              <w:ind w:firstLine="480"/>
              <w:rPr>
                <w:rFonts w:hint="default" w:ascii="Times New Roman" w:hAnsi="Times New Roman" w:cs="Times New Roman"/>
                <w:color w:val="auto"/>
              </w:rPr>
            </w:pPr>
            <w:r>
              <w:rPr>
                <w:rFonts w:hint="default" w:ascii="Times New Roman" w:hAnsi="Times New Roman" w:cs="Times New Roman"/>
                <w:color w:val="auto"/>
              </w:rPr>
              <w:t>（2）主体工程施工及设备安装</w:t>
            </w:r>
            <w:r>
              <w:rPr>
                <w:rFonts w:hint="default" w:ascii="Times New Roman" w:hAnsi="Times New Roman" w:cs="Times New Roman"/>
                <w:color w:val="auto"/>
              </w:rPr>
              <w:tab/>
            </w:r>
          </w:p>
          <w:p>
            <w:pPr>
              <w:pStyle w:val="66"/>
              <w:ind w:firstLine="480"/>
              <w:rPr>
                <w:rFonts w:hint="default" w:ascii="Times New Roman" w:hAnsi="Times New Roman" w:cs="Times New Roman"/>
                <w:color w:val="auto"/>
              </w:rPr>
            </w:pPr>
            <w:r>
              <w:rPr>
                <w:rFonts w:hint="default" w:ascii="Times New Roman" w:hAnsi="Times New Roman" w:cs="Times New Roman"/>
                <w:color w:val="auto"/>
              </w:rPr>
              <w:t>本项目主体工程施工主要</w:t>
            </w:r>
            <w:r>
              <w:rPr>
                <w:rFonts w:hint="eastAsia" w:ascii="Times New Roman" w:hAnsi="Times New Roman" w:cs="Times New Roman"/>
                <w:color w:val="auto"/>
                <w:lang w:eastAsia="zh-CN"/>
              </w:rPr>
              <w:t>为封闭厂房建设，生产设施设备安装等</w:t>
            </w:r>
            <w:r>
              <w:rPr>
                <w:rFonts w:hint="default" w:ascii="Times New Roman" w:hAnsi="Times New Roman" w:cs="Times New Roman"/>
                <w:color w:val="auto"/>
              </w:rPr>
              <w:t>。主要施工设备为吊车、振动器、运输车辆等。在主体施工及设备安装过程中污染物主要为施工机械噪声，施工人员生活污水、施工废水、生活垃圾</w:t>
            </w:r>
            <w:r>
              <w:rPr>
                <w:rFonts w:hint="eastAsia" w:ascii="Times New Roman" w:hAnsi="Times New Roman" w:cs="Times New Roman"/>
                <w:color w:val="auto"/>
                <w:lang w:eastAsia="zh-CN"/>
              </w:rPr>
              <w:t>、</w:t>
            </w:r>
            <w:r>
              <w:rPr>
                <w:rFonts w:hint="default" w:ascii="Times New Roman" w:hAnsi="Times New Roman" w:cs="Times New Roman"/>
                <w:color w:val="auto"/>
              </w:rPr>
              <w:t>设备废弃包装物。</w:t>
            </w:r>
          </w:p>
          <w:p>
            <w:pPr>
              <w:pStyle w:val="66"/>
              <w:ind w:firstLine="480"/>
              <w:rPr>
                <w:rFonts w:hint="default" w:ascii="Times New Roman" w:hAnsi="Times New Roman" w:cs="Times New Roman"/>
                <w:color w:val="auto"/>
              </w:rPr>
            </w:pPr>
            <w:r>
              <w:rPr>
                <w:rFonts w:hint="default" w:ascii="Times New Roman" w:hAnsi="Times New Roman" w:cs="Times New Roman"/>
                <w:color w:val="auto"/>
              </w:rPr>
              <w:t>（3）验收</w:t>
            </w:r>
          </w:p>
          <w:p>
            <w:pPr>
              <w:pStyle w:val="66"/>
              <w:ind w:firstLine="480"/>
              <w:rPr>
                <w:rFonts w:hint="default" w:ascii="Times New Roman" w:hAnsi="Times New Roman" w:cs="Times New Roman"/>
                <w:color w:val="auto"/>
              </w:rPr>
            </w:pPr>
            <w:r>
              <w:rPr>
                <w:rFonts w:hint="default" w:ascii="Times New Roman" w:hAnsi="Times New Roman" w:cs="Times New Roman"/>
                <w:color w:val="auto"/>
              </w:rPr>
              <w:t>根据设计安装完生产设施设备后，经过验收后即可投入使用。</w:t>
            </w:r>
          </w:p>
          <w:p>
            <w:pPr>
              <w:pStyle w:val="66"/>
              <w:ind w:firstLine="482"/>
              <w:rPr>
                <w:rFonts w:hint="default" w:ascii="Times New Roman" w:hAnsi="Times New Roman" w:cs="Times New Roman"/>
                <w:b/>
                <w:bCs/>
              </w:rPr>
            </w:pPr>
            <w:r>
              <w:rPr>
                <w:rFonts w:hint="default" w:ascii="Times New Roman" w:hAnsi="Times New Roman" w:cs="Times New Roman"/>
                <w:b/>
                <w:bCs/>
              </w:rPr>
              <w:t>2、运行期工艺流程概述：</w:t>
            </w:r>
          </w:p>
          <w:p>
            <w:pPr>
              <w:pStyle w:val="66"/>
              <w:ind w:firstLine="480"/>
              <w:rPr>
                <w:rFonts w:hint="default"/>
              </w:rPr>
            </w:pPr>
            <w:r>
              <w:rPr>
                <w:rFonts w:hint="default"/>
              </w:rPr>
              <w:t>本项目</w:t>
            </w:r>
            <w:r>
              <w:rPr>
                <w:rFonts w:hint="eastAsia"/>
                <w:lang w:eastAsia="zh-CN"/>
              </w:rPr>
              <w:t>生产分为塑料框生产和废塑料回收造粒</w:t>
            </w:r>
            <w:r>
              <w:rPr>
                <w:rFonts w:hint="eastAsia" w:ascii="Times New Roman" w:hAnsi="Times New Roman" w:cs="Times New Roman"/>
                <w:lang w:val="en-US" w:eastAsia="zh-CN"/>
              </w:rPr>
              <w:t>生产，其工艺流程如下：</w:t>
            </w:r>
          </w:p>
          <w:p>
            <w:pPr>
              <w:pStyle w:val="66"/>
              <w:ind w:firstLine="480"/>
              <w:rPr>
                <w:rFonts w:hint="eastAsia" w:ascii="Times New Roman" w:hAnsi="Times New Roman" w:eastAsia="宋体" w:cs="Times New Roman"/>
                <w:b/>
                <w:bCs/>
                <w:lang w:val="en-US" w:eastAsia="zh-CN"/>
              </w:rPr>
            </w:pPr>
            <w:r>
              <w:rPr>
                <w:rFonts w:hint="eastAsia"/>
                <w:b/>
                <w:bCs/>
                <w:color w:val="auto"/>
                <w:lang w:val="en-US" w:eastAsia="zh-CN"/>
              </w:rPr>
              <w:t xml:space="preserve"> </w:t>
            </w:r>
            <w:r>
              <w:rPr>
                <w:rFonts w:hint="default" w:ascii="Times New Roman" w:hAnsi="Times New Roman" w:cs="Times New Roman"/>
                <w:b/>
                <w:bCs/>
              </w:rPr>
              <w:t>（1）</w:t>
            </w:r>
            <w:r>
              <w:rPr>
                <w:rFonts w:hint="eastAsia" w:ascii="Times New Roman" w:hAnsi="Times New Roman" w:cs="Times New Roman"/>
                <w:b/>
                <w:bCs/>
                <w:lang w:val="en-US" w:eastAsia="zh-CN"/>
              </w:rPr>
              <w:t>塑料框生产</w:t>
            </w:r>
          </w:p>
          <w:p>
            <w:pPr>
              <w:pStyle w:val="66"/>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①拌料</w:t>
            </w:r>
          </w:p>
          <w:p>
            <w:pPr>
              <w:pStyle w:val="66"/>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根据产品的实际需求，</w:t>
            </w:r>
            <w:r>
              <w:rPr>
                <w:rFonts w:hint="eastAsia" w:ascii="Times New Roman" w:hAnsi="Times New Roman" w:eastAsia="宋体" w:cs="Times New Roman"/>
                <w:color w:val="auto"/>
                <w:highlight w:val="none"/>
                <w:lang w:val="en-US" w:eastAsia="zh-CN"/>
              </w:rPr>
              <w:t>将PP颗粒</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PE颗粒</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碳酸钙粉末倒</w:t>
            </w:r>
            <w:r>
              <w:rPr>
                <w:rFonts w:hint="default" w:ascii="Times New Roman" w:hAnsi="Times New Roman" w:eastAsia="宋体" w:cs="Times New Roman"/>
                <w:color w:val="auto"/>
                <w:highlight w:val="none"/>
                <w:lang w:val="en-US" w:eastAsia="zh-CN"/>
              </w:rPr>
              <w:t>入上料仓，然后通过机械方式提升至混料机中均匀搅拌，使各种物料混合均匀，该过程会产生粉尘，粉尘经收集后汇入布袋除尘器进行处理后</w:t>
            </w:r>
            <w:r>
              <w:rPr>
                <w:rFonts w:hint="eastAsia" w:ascii="Times New Roman" w:hAnsi="Times New Roman" w:eastAsia="宋体" w:cs="Times New Roman"/>
                <w:color w:val="auto"/>
                <w:highlight w:val="none"/>
                <w:lang w:val="en-US" w:eastAsia="zh-CN"/>
              </w:rPr>
              <w:t>采用15m高的排气筒</w:t>
            </w:r>
            <w:r>
              <w:rPr>
                <w:rFonts w:hint="default" w:ascii="Times New Roman" w:hAnsi="Times New Roman" w:eastAsia="宋体" w:cs="Times New Roman"/>
                <w:color w:val="auto"/>
                <w:highlight w:val="none"/>
                <w:lang w:val="en-US" w:eastAsia="zh-CN"/>
              </w:rPr>
              <w:t>排放。根据项目情况原料配比大致</w:t>
            </w:r>
            <w:r>
              <w:rPr>
                <w:rFonts w:hint="eastAsia" w:ascii="Times New Roman" w:hAnsi="Times New Roman" w:eastAsia="宋体" w:cs="Times New Roman"/>
                <w:color w:val="auto"/>
                <w:highlight w:val="none"/>
                <w:lang w:val="en-US" w:eastAsia="zh-CN"/>
              </w:rPr>
              <w:t>为：PP颗粒：PE颗粒：碳酸钙=</w:t>
            </w:r>
            <w:r>
              <w:rPr>
                <w:rFonts w:hint="eastAsia" w:ascii="Times New Roman" w:hAnsi="Times New Roman" w:cs="Times New Roman"/>
                <w:color w:val="auto"/>
                <w:highlight w:val="none"/>
                <w:lang w:val="en-US" w:eastAsia="zh-CN"/>
              </w:rPr>
              <w:t>1:1:4.6</w:t>
            </w:r>
            <w:r>
              <w:rPr>
                <w:rFonts w:hint="default" w:ascii="Times New Roman" w:hAnsi="Times New Roman" w:eastAsia="宋体" w:cs="Times New Roman"/>
                <w:color w:val="auto"/>
                <w:highlight w:val="none"/>
                <w:lang w:val="en-US" w:eastAsia="zh-CN"/>
              </w:rPr>
              <w:t>。</w:t>
            </w:r>
          </w:p>
          <w:p>
            <w:pPr>
              <w:pStyle w:val="66"/>
              <w:keepNext w:val="0"/>
              <w:keepLines w:val="0"/>
              <w:pageBreakBefore w:val="0"/>
              <w:widowControl w:val="0"/>
              <w:kinsoku/>
              <w:wordWrap/>
              <w:overflowPunct/>
              <w:topLinePunct w:val="0"/>
              <w:autoSpaceDE/>
              <w:autoSpaceDN/>
              <w:bidi w:val="0"/>
              <w:ind w:leftChars="0" w:firstLine="480" w:firstLineChars="200"/>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②</w:t>
            </w:r>
            <w:r>
              <w:rPr>
                <w:rFonts w:hint="eastAsia" w:ascii="Times New Roman" w:hAnsi="Times New Roman" w:eastAsia="宋体" w:cs="Times New Roman"/>
                <w:lang w:val="en-US" w:eastAsia="zh-CN"/>
              </w:rPr>
              <w:t>上料</w:t>
            </w:r>
          </w:p>
          <w:p>
            <w:pPr>
              <w:pStyle w:val="66"/>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将搅拌均匀的原料通过密闭管道上料至挤出机的原料暂存斗，上料过程中主要污染物为噪声，密闭管道上料不产生粉尘</w:t>
            </w:r>
            <w:r>
              <w:rPr>
                <w:rFonts w:hint="default" w:ascii="Times New Roman" w:hAnsi="Times New Roman" w:cs="Times New Roman"/>
                <w:color w:val="auto"/>
                <w:lang w:val="en-US" w:eastAsia="zh-CN"/>
              </w:rPr>
              <w:t>。</w:t>
            </w:r>
          </w:p>
          <w:p>
            <w:pPr>
              <w:pStyle w:val="66"/>
              <w:keepNext w:val="0"/>
              <w:keepLines w:val="0"/>
              <w:pageBreakBefore w:val="0"/>
              <w:widowControl w:val="0"/>
              <w:numPr>
                <w:ilvl w:val="0"/>
                <w:numId w:val="0"/>
              </w:numPr>
              <w:kinsoku/>
              <w:wordWrap/>
              <w:overflowPunct/>
              <w:topLinePunct w:val="0"/>
              <w:autoSpaceDE/>
              <w:autoSpaceDN/>
              <w:bidi w:val="0"/>
              <w:ind w:leftChars="0" w:firstLine="480" w:firstLineChars="200"/>
              <w:textAlignment w:val="auto"/>
              <w:rPr>
                <w:rFonts w:hint="default" w:ascii="Times New Roman" w:hAnsi="Times New Roman" w:cs="Times New Roman"/>
                <w:lang w:val="en-US" w:eastAsia="zh-CN"/>
              </w:rPr>
            </w:pPr>
            <w:r>
              <w:rPr>
                <w:rFonts w:hint="eastAsia" w:ascii="Times New Roman" w:hAnsi="Times New Roman" w:cs="Times New Roman"/>
                <w:lang w:eastAsia="zh-CN"/>
              </w:rPr>
              <w:t>③</w:t>
            </w:r>
            <w:r>
              <w:rPr>
                <w:rFonts w:hint="eastAsia" w:ascii="Times New Roman" w:hAnsi="Times New Roman" w:cs="Times New Roman"/>
                <w:lang w:val="en-US" w:eastAsia="zh-CN"/>
              </w:rPr>
              <w:t>挤出成型</w:t>
            </w:r>
          </w:p>
          <w:p>
            <w:pPr>
              <w:pStyle w:val="66"/>
              <w:bidi w:val="0"/>
              <w:jc w:val="both"/>
              <w:rPr>
                <w:rFonts w:hint="default" w:ascii="Times New Roman" w:hAnsi="Times New Roman" w:cs="Times New Roman"/>
                <w:color w:val="auto"/>
                <w:lang w:val="en-US" w:eastAsia="zh-CN"/>
              </w:rPr>
            </w:pPr>
            <w:r>
              <w:rPr>
                <w:rFonts w:hint="eastAsia" w:ascii="Times New Roman" w:hAnsi="Times New Roman" w:cs="Times New Roman"/>
                <w:b/>
                <w:bCs/>
                <w:color w:val="auto"/>
                <w:lang w:val="en-US" w:eastAsia="zh-CN"/>
              </w:rPr>
              <w:t xml:space="preserve"> </w:t>
            </w:r>
            <w:r>
              <w:rPr>
                <w:rFonts w:hint="eastAsia" w:ascii="Times New Roman" w:hAnsi="Times New Roman" w:cs="Times New Roman"/>
                <w:color w:val="auto"/>
                <w:lang w:val="en-US" w:eastAsia="zh-CN"/>
              </w:rPr>
              <w:t>混合好的原料经过挤出机的原料暂存仓的管道进入挤出机热工部分加热融化并挤出，挤出后进入模具内成型（每个产品生产前需对模具喷脱模剂）。挤出机挤出温度为180℃，挤出成型过程中PP和PE原料融化后会产生一定量的VOCs，项目在挤出压片废气产生点上方设置集气罩，对挤出压片过程中产生的VOCs收集后经二级活性炭吸附处理后离地15m达标排放。挤出机需采用循环水对模具进行间接冷却，冷却水进入循环水池冷却后循环使用。</w:t>
            </w:r>
          </w:p>
          <w:p>
            <w:pPr>
              <w:pStyle w:val="66"/>
              <w:numPr>
                <w:ilvl w:val="0"/>
                <w:numId w:val="0"/>
              </w:numPr>
              <w:bidi w:val="0"/>
              <w:ind w:leftChars="200"/>
              <w:rPr>
                <w:rFonts w:hint="eastAsia"/>
                <w:lang w:eastAsia="zh-CN"/>
              </w:rPr>
            </w:pPr>
            <w:r>
              <w:rPr>
                <w:rFonts w:hint="eastAsia"/>
                <w:lang w:eastAsia="zh-CN"/>
              </w:rPr>
              <w:t>④</w:t>
            </w:r>
            <w:r>
              <w:rPr>
                <w:rFonts w:hint="eastAsia"/>
                <w:lang w:val="en-US" w:eastAsia="zh-CN"/>
              </w:rPr>
              <w:t>冷却</w:t>
            </w:r>
          </w:p>
          <w:p>
            <w:pPr>
              <w:pStyle w:val="66"/>
              <w:keepNext w:val="0"/>
              <w:keepLines w:val="0"/>
              <w:pageBreakBefore w:val="0"/>
              <w:widowControl w:val="0"/>
              <w:numPr>
                <w:ilvl w:val="0"/>
                <w:numId w:val="0"/>
              </w:numPr>
              <w:kinsoku/>
              <w:wordWrap/>
              <w:overflowPunct/>
              <w:topLinePunct w:val="0"/>
              <w:autoSpaceDE/>
              <w:autoSpaceDN/>
              <w:bidi w:val="0"/>
              <w:ind w:leftChars="0"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塑料筐产品在模具内成型后，即可脱模，脱模冷却采用风冷的方式进行。</w:t>
            </w:r>
          </w:p>
          <w:p>
            <w:pPr>
              <w:pStyle w:val="66"/>
              <w:ind w:firstLine="482"/>
              <w:rPr>
                <w:rFonts w:ascii="Times New Roman" w:hAnsi="Times New Roman" w:cs="Times New Roman"/>
                <w:b w:val="0"/>
                <w:bCs w:val="0"/>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highlight w:val="none"/>
                <w:lang w:eastAsia="zh-CN"/>
                <w14:textFill>
                  <w14:solidFill>
                    <w14:schemeClr w14:val="tx1"/>
                  </w14:solidFill>
                </w14:textFill>
              </w:rPr>
              <w:t>⑤</w:t>
            </w:r>
            <w:r>
              <w:rPr>
                <w:rFonts w:ascii="Times New Roman" w:hAnsi="Times New Roman" w:cs="Times New Roman"/>
                <w:b w:val="0"/>
                <w:bCs w:val="0"/>
                <w:color w:val="000000" w:themeColor="text1"/>
                <w:highlight w:val="none"/>
                <w14:textFill>
                  <w14:solidFill>
                    <w14:schemeClr w14:val="tx1"/>
                  </w14:solidFill>
                </w14:textFill>
              </w:rPr>
              <w:t>检验</w:t>
            </w:r>
          </w:p>
          <w:p>
            <w:pPr>
              <w:pStyle w:val="66"/>
              <w:ind w:firstLine="482"/>
              <w:rPr>
                <w:rFonts w:hint="default"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b w:val="0"/>
                <w:bCs w:val="0"/>
                <w:color w:val="000000" w:themeColor="text1"/>
                <w:highlight w:val="none"/>
                <w14:textFill>
                  <w14:solidFill>
                    <w14:schemeClr w14:val="tx1"/>
                  </w14:solidFill>
                </w14:textFill>
              </w:rPr>
              <w:t>按</w:t>
            </w:r>
            <w:r>
              <w:rPr>
                <w:rFonts w:ascii="Times New Roman" w:hAnsi="Times New Roman" w:cs="Times New Roman"/>
                <w:color w:val="000000" w:themeColor="text1"/>
                <w:highlight w:val="none"/>
                <w14:textFill>
                  <w14:solidFill>
                    <w14:schemeClr w14:val="tx1"/>
                  </w14:solidFill>
                </w14:textFill>
              </w:rPr>
              <w:t>成品检验要求进行检验，不良品</w:t>
            </w:r>
            <w:r>
              <w:rPr>
                <w:rFonts w:hint="eastAsia" w:ascii="Times New Roman" w:hAnsi="Times New Roman" w:cs="Times New Roman"/>
                <w:color w:val="000000" w:themeColor="text1"/>
                <w:highlight w:val="none"/>
                <w:lang w:eastAsia="zh-CN"/>
                <w14:textFill>
                  <w14:solidFill>
                    <w14:schemeClr w14:val="tx1"/>
                  </w14:solidFill>
                </w14:textFill>
              </w:rPr>
              <w:t>和边角料</w:t>
            </w:r>
            <w:r>
              <w:rPr>
                <w:rFonts w:ascii="Times New Roman" w:hAnsi="Times New Roman" w:cs="Times New Roman"/>
                <w:color w:val="000000" w:themeColor="text1"/>
                <w:highlight w:val="none"/>
                <w14:textFill>
                  <w14:solidFill>
                    <w14:schemeClr w14:val="tx1"/>
                  </w14:solidFill>
                </w14:textFill>
              </w:rPr>
              <w:t>经破碎机破碎成颗粒后重新在挤出工段作为原料回用。</w:t>
            </w:r>
          </w:p>
          <w:p>
            <w:pPr>
              <w:pStyle w:val="66"/>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⑥成品</w:t>
            </w:r>
          </w:p>
          <w:p>
            <w:pPr>
              <w:pStyle w:val="66"/>
              <w:ind w:firstLine="48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检验合格的产品即可收入仓库等待出售。</w:t>
            </w:r>
          </w:p>
          <w:p>
            <w:pPr>
              <w:pStyle w:val="66"/>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4893945" cy="4314190"/>
                  <wp:effectExtent l="0" t="0" r="1905" b="0"/>
                  <wp:docPr id="76" name="ECB019B1-382A-4266-B25C-5B523AA43C14-1" descr="C:/Users/Administrator/AppData/Local/Temp/wps.btXgz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CB019B1-382A-4266-B25C-5B523AA43C14-1" descr="C:/Users/Administrator/AppData/Local/Temp/wps.btXgzGwps"/>
                          <pic:cNvPicPr>
                            <a:picLocks noChangeAspect="1"/>
                          </pic:cNvPicPr>
                        </pic:nvPicPr>
                        <pic:blipFill>
                          <a:blip r:embed="rId10"/>
                          <a:srcRect l="4547" t="3434" r="3031" b="2222"/>
                          <a:stretch>
                            <a:fillRect/>
                          </a:stretch>
                        </pic:blipFill>
                        <pic:spPr>
                          <a:xfrm>
                            <a:off x="0" y="0"/>
                            <a:ext cx="4893945" cy="4314190"/>
                          </a:xfrm>
                          <a:prstGeom prst="rect">
                            <a:avLst/>
                          </a:prstGeom>
                        </pic:spPr>
                      </pic:pic>
                    </a:graphicData>
                  </a:graphic>
                </wp:inline>
              </w:drawing>
            </w:r>
          </w:p>
          <w:p>
            <w:pPr>
              <w:widowControl w:val="0"/>
              <w:spacing w:line="420" w:lineRule="auto"/>
              <w:ind w:firstLine="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ascii="Times New Roman" w:hAnsi="Times New Roman" w:eastAsia="宋体" w:cs="Times New Roman"/>
                <w:b/>
                <w:bCs/>
                <w:color w:val="auto"/>
                <w:kern w:val="2"/>
                <w:sz w:val="24"/>
                <w:szCs w:val="24"/>
                <w:highlight w:val="none"/>
                <w:lang w:val="en-US" w:eastAsia="zh-CN" w:bidi="ar-SA"/>
              </w:rPr>
              <w:t xml:space="preserve">2 </w:t>
            </w:r>
            <w:r>
              <w:rPr>
                <w:rFonts w:hint="eastAsia" w:cs="Times New Roman"/>
                <w:b/>
                <w:bCs/>
                <w:color w:val="auto"/>
                <w:kern w:val="2"/>
                <w:sz w:val="24"/>
                <w:szCs w:val="24"/>
                <w:highlight w:val="none"/>
                <w:lang w:val="en-US" w:eastAsia="zh-CN" w:bidi="ar-SA"/>
              </w:rPr>
              <w:t>塑料筐生产</w:t>
            </w:r>
            <w:r>
              <w:rPr>
                <w:rFonts w:hint="eastAsia" w:ascii="Times New Roman" w:hAnsi="Times New Roman" w:eastAsia="宋体" w:cs="Times New Roman"/>
                <w:b/>
                <w:bCs/>
                <w:color w:val="auto"/>
                <w:kern w:val="2"/>
                <w:sz w:val="24"/>
                <w:szCs w:val="24"/>
                <w:highlight w:val="none"/>
                <w:lang w:val="en-US" w:eastAsia="zh-CN" w:bidi="ar-SA"/>
              </w:rPr>
              <w:t>工艺流程</w:t>
            </w:r>
            <w:r>
              <w:rPr>
                <w:rFonts w:hint="default" w:ascii="Times New Roman" w:hAnsi="Times New Roman" w:eastAsia="宋体" w:cs="Times New Roman"/>
                <w:b/>
                <w:bCs/>
                <w:color w:val="auto"/>
                <w:kern w:val="2"/>
                <w:sz w:val="24"/>
                <w:szCs w:val="24"/>
                <w:highlight w:val="none"/>
                <w:lang w:val="en-US" w:eastAsia="zh-CN" w:bidi="ar-SA"/>
              </w:rPr>
              <w:t>及产污节点</w:t>
            </w:r>
          </w:p>
          <w:p>
            <w:pPr>
              <w:pStyle w:val="66"/>
              <w:ind w:firstLine="48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（2）塑料颗粒回收</w:t>
            </w:r>
          </w:p>
          <w:p>
            <w:pPr>
              <w:pStyle w:val="66"/>
              <w:bidi w:val="0"/>
              <w:rPr>
                <w:rFonts w:hint="default" w:ascii="Times New Roman" w:hAnsi="Times New Roman" w:cs="Times New Roman"/>
                <w:color w:val="auto"/>
              </w:rPr>
            </w:pPr>
            <w:r>
              <w:rPr>
                <w:rFonts w:hint="default" w:ascii="Times New Roman" w:hAnsi="Times New Roman" w:cs="Times New Roman"/>
                <w:color w:val="auto"/>
              </w:rPr>
              <w:t>本项目废塑料回收生产</w:t>
            </w:r>
            <w:r>
              <w:rPr>
                <w:rFonts w:hint="eastAsia" w:ascii="Times New Roman" w:hAnsi="Times New Roman" w:cs="Times New Roman"/>
                <w:color w:val="auto"/>
                <w:lang w:eastAsia="zh-CN"/>
              </w:rPr>
              <w:t>线</w:t>
            </w:r>
            <w:r>
              <w:rPr>
                <w:rFonts w:hint="default" w:ascii="Times New Roman" w:hAnsi="Times New Roman" w:cs="Times New Roman"/>
                <w:color w:val="auto"/>
                <w:lang w:eastAsia="zh-CN"/>
              </w:rPr>
              <w:t>工艺流程如下：</w:t>
            </w:r>
          </w:p>
          <w:p>
            <w:pPr>
              <w:pStyle w:val="66"/>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color w:val="auto"/>
                <w:lang w:eastAsia="zh-CN"/>
              </w:rPr>
            </w:pPr>
            <w:r>
              <w:rPr>
                <w:rFonts w:hint="eastAsia" w:ascii="Times New Roman" w:hAnsi="Times New Roman" w:cs="Times New Roman"/>
                <w:b/>
                <w:bCs/>
                <w:color w:val="auto"/>
                <w:lang w:eastAsia="zh-CN"/>
              </w:rPr>
              <w:t>①</w:t>
            </w:r>
            <w:r>
              <w:rPr>
                <w:rFonts w:hint="default" w:ascii="Times New Roman" w:hAnsi="Times New Roman" w:cs="Times New Roman"/>
                <w:b/>
                <w:bCs/>
                <w:color w:val="auto"/>
                <w:lang w:eastAsia="zh-CN"/>
              </w:rPr>
              <w:t>人工初选：</w:t>
            </w:r>
            <w:r>
              <w:rPr>
                <w:rFonts w:hint="default" w:ascii="Times New Roman" w:hAnsi="Times New Roman" w:cs="Times New Roman"/>
                <w:color w:val="auto"/>
                <w:lang w:eastAsia="zh-CN"/>
              </w:rPr>
              <w:t>外购</w:t>
            </w:r>
            <w:r>
              <w:rPr>
                <w:rFonts w:hint="eastAsia" w:ascii="Times New Roman" w:hAnsi="Times New Roman" w:cs="Times New Roman"/>
                <w:color w:val="auto"/>
                <w:lang w:eastAsia="zh-CN"/>
              </w:rPr>
              <w:t>原料中掺杂有</w:t>
            </w:r>
            <w:r>
              <w:rPr>
                <w:rFonts w:hint="eastAsia" w:ascii="Times New Roman" w:hAnsi="Times New Roman" w:cs="Times New Roman"/>
                <w:color w:val="auto"/>
                <w:lang w:val="en-US" w:eastAsia="zh-CN"/>
              </w:rPr>
              <w:t>其他废弃物</w:t>
            </w:r>
            <w:r>
              <w:rPr>
                <w:rFonts w:hint="default" w:ascii="Times New Roman" w:hAnsi="Times New Roman" w:cs="Times New Roman"/>
                <w:color w:val="auto"/>
                <w:lang w:eastAsia="zh-CN"/>
              </w:rPr>
              <w:t>，故先采用人工初选的方式，将</w:t>
            </w:r>
            <w:r>
              <w:rPr>
                <w:rFonts w:hint="eastAsia" w:ascii="Times New Roman" w:hAnsi="Times New Roman" w:cs="Times New Roman"/>
                <w:color w:val="auto"/>
                <w:lang w:val="en-US" w:eastAsia="zh-CN"/>
              </w:rPr>
              <w:t>其他废弃物挑选出来</w:t>
            </w:r>
            <w:r>
              <w:rPr>
                <w:rFonts w:hint="default" w:ascii="Times New Roman" w:hAnsi="Times New Roman" w:cs="Times New Roman"/>
                <w:color w:val="auto"/>
                <w:lang w:eastAsia="zh-CN"/>
              </w:rPr>
              <w:t>。</w:t>
            </w:r>
          </w:p>
          <w:p>
            <w:pPr>
              <w:pStyle w:val="66"/>
              <w:bidi w:val="0"/>
              <w:rPr>
                <w:rFonts w:hint="default" w:ascii="Times New Roman" w:hAnsi="Times New Roman" w:cs="Times New Roman"/>
                <w:color w:val="auto"/>
                <w:lang w:eastAsia="zh-CN"/>
              </w:rPr>
            </w:pPr>
            <w:r>
              <w:rPr>
                <w:rFonts w:hint="eastAsia" w:ascii="Times New Roman" w:hAnsi="Times New Roman" w:cs="Times New Roman"/>
                <w:b/>
                <w:bCs/>
                <w:color w:val="auto"/>
                <w:lang w:val="en-US" w:eastAsia="zh-CN"/>
              </w:rPr>
              <w:t>②</w:t>
            </w:r>
            <w:r>
              <w:rPr>
                <w:rFonts w:hint="default" w:ascii="Times New Roman" w:hAnsi="Times New Roman" w:cs="Times New Roman"/>
                <w:b/>
                <w:bCs/>
                <w:color w:val="auto"/>
                <w:lang w:val="en-US" w:eastAsia="zh-CN"/>
              </w:rPr>
              <w:t>皮带上料</w:t>
            </w:r>
            <w:r>
              <w:rPr>
                <w:rFonts w:hint="default" w:ascii="Times New Roman" w:hAnsi="Times New Roman" w:cs="Times New Roman"/>
                <w:b/>
                <w:bCs/>
                <w:color w:val="auto"/>
                <w:lang w:eastAsia="zh-CN"/>
              </w:rPr>
              <w:t>：</w:t>
            </w:r>
            <w:r>
              <w:rPr>
                <w:rFonts w:hint="default" w:ascii="Times New Roman" w:hAnsi="Times New Roman" w:cs="Times New Roman"/>
                <w:color w:val="auto"/>
                <w:lang w:eastAsia="zh-CN"/>
              </w:rPr>
              <w:t>人工初选后的原料，通过皮带上料机上料至</w:t>
            </w:r>
            <w:r>
              <w:rPr>
                <w:rFonts w:hint="eastAsia" w:ascii="Times New Roman" w:hAnsi="Times New Roman" w:cs="Times New Roman"/>
                <w:color w:val="auto"/>
                <w:lang w:val="en-US" w:eastAsia="zh-CN"/>
              </w:rPr>
              <w:t>定制碎料</w:t>
            </w:r>
            <w:r>
              <w:rPr>
                <w:rFonts w:hint="default" w:ascii="Times New Roman" w:hAnsi="Times New Roman" w:cs="Times New Roman"/>
                <w:color w:val="auto"/>
                <w:lang w:eastAsia="zh-CN"/>
              </w:rPr>
              <w:t>机中进行</w:t>
            </w:r>
            <w:r>
              <w:rPr>
                <w:rFonts w:hint="eastAsia" w:ascii="Times New Roman" w:hAnsi="Times New Roman" w:cs="Times New Roman"/>
                <w:color w:val="auto"/>
                <w:lang w:val="en-US" w:eastAsia="zh-CN"/>
              </w:rPr>
              <w:t>破碎</w:t>
            </w:r>
            <w:r>
              <w:rPr>
                <w:rFonts w:hint="default" w:ascii="Times New Roman" w:hAnsi="Times New Roman" w:cs="Times New Roman"/>
                <w:color w:val="auto"/>
                <w:lang w:eastAsia="zh-CN"/>
              </w:rPr>
              <w:t>。皮带上料过程主要污染物为噪声</w:t>
            </w:r>
            <w:r>
              <w:rPr>
                <w:rFonts w:hint="eastAsia" w:ascii="Times New Roman" w:hAnsi="Times New Roman" w:cs="Times New Roman"/>
                <w:color w:val="auto"/>
                <w:lang w:eastAsia="zh-CN"/>
              </w:rPr>
              <w:t>。</w:t>
            </w:r>
          </w:p>
          <w:p>
            <w:pPr>
              <w:pStyle w:val="66"/>
              <w:bidi w:val="0"/>
              <w:rPr>
                <w:rFonts w:hint="default" w:ascii="Times New Roman" w:hAnsi="Times New Roman" w:cs="Times New Roman"/>
                <w:color w:val="auto"/>
                <w:lang w:val="en-US" w:eastAsia="zh-CN"/>
              </w:rPr>
            </w:pPr>
            <w:r>
              <w:rPr>
                <w:rFonts w:hint="eastAsia" w:ascii="Times New Roman" w:hAnsi="Times New Roman" w:cs="Times New Roman"/>
                <w:b/>
                <w:bCs/>
                <w:color w:val="auto"/>
                <w:lang w:val="en-US" w:eastAsia="zh-CN"/>
              </w:rPr>
              <w:t>③</w:t>
            </w:r>
            <w:r>
              <w:rPr>
                <w:rFonts w:hint="default" w:ascii="Times New Roman" w:hAnsi="Times New Roman" w:cs="Times New Roman"/>
                <w:b/>
                <w:bCs/>
                <w:color w:val="auto"/>
                <w:lang w:val="en-US" w:eastAsia="zh-CN"/>
              </w:rPr>
              <w:t>破碎</w:t>
            </w:r>
            <w:r>
              <w:rPr>
                <w:rFonts w:hint="eastAsia" w:ascii="Times New Roman" w:hAnsi="Times New Roman" w:cs="Times New Roman"/>
                <w:b/>
                <w:bCs/>
                <w:color w:val="auto"/>
                <w:lang w:val="en-US" w:eastAsia="zh-CN"/>
              </w:rPr>
              <w:t>：</w:t>
            </w:r>
            <w:r>
              <w:rPr>
                <w:rFonts w:hint="default" w:ascii="Times New Roman" w:hAnsi="Times New Roman" w:cs="Times New Roman"/>
                <w:color w:val="auto"/>
                <w:lang w:eastAsia="zh-CN"/>
              </w:rPr>
              <w:t>废弃塑料</w:t>
            </w:r>
            <w:r>
              <w:rPr>
                <w:rFonts w:hint="eastAsia" w:ascii="Times New Roman" w:hAnsi="Times New Roman" w:cs="Times New Roman"/>
                <w:color w:val="auto"/>
                <w:lang w:eastAsia="zh-CN"/>
              </w:rPr>
              <w:t>原料</w:t>
            </w:r>
            <w:r>
              <w:rPr>
                <w:rFonts w:hint="default" w:ascii="Times New Roman" w:hAnsi="Times New Roman" w:cs="Times New Roman"/>
                <w:color w:val="auto"/>
                <w:lang w:val="en-US" w:eastAsia="zh-CN"/>
              </w:rPr>
              <w:t>通过</w:t>
            </w:r>
            <w:r>
              <w:rPr>
                <w:rFonts w:hint="eastAsia" w:ascii="Times New Roman" w:hAnsi="Times New Roman" w:cs="Times New Roman"/>
                <w:color w:val="auto"/>
                <w:lang w:val="en-US" w:eastAsia="zh-CN"/>
              </w:rPr>
              <w:t>碎料</w:t>
            </w:r>
            <w:r>
              <w:rPr>
                <w:rFonts w:hint="default" w:ascii="Times New Roman" w:hAnsi="Times New Roman" w:cs="Times New Roman"/>
                <w:color w:val="auto"/>
                <w:lang w:val="en-US" w:eastAsia="zh-CN"/>
              </w:rPr>
              <w:t>机进行破碎，破碎的目的是将原料更加细粒化</w:t>
            </w:r>
            <w:r>
              <w:rPr>
                <w:rFonts w:hint="eastAsia" w:ascii="Times New Roman" w:hAnsi="Times New Roman" w:cs="Times New Roman"/>
                <w:color w:val="auto"/>
                <w:lang w:val="en-US" w:eastAsia="zh-CN"/>
              </w:rPr>
              <w:t>（破碎为直径0.5-1.5cm的碎片）</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以便于后续清洗</w:t>
            </w:r>
            <w:r>
              <w:rPr>
                <w:rFonts w:hint="default" w:ascii="Times New Roman" w:hAnsi="Times New Roman" w:cs="Times New Roman"/>
                <w:color w:val="auto"/>
                <w:lang w:val="en-US" w:eastAsia="zh-CN"/>
              </w:rPr>
              <w:t>。此过程中主要污染物噪声</w:t>
            </w:r>
            <w:r>
              <w:rPr>
                <w:rFonts w:hint="eastAsia" w:ascii="Times New Roman" w:hAnsi="Times New Roman" w:cs="Times New Roman"/>
                <w:color w:val="auto"/>
                <w:lang w:val="en-US" w:eastAsia="zh-CN"/>
              </w:rPr>
              <w:t>，因采用湿法破碎，破碎过程中产生的颗粒物忽略不计</w:t>
            </w:r>
            <w:r>
              <w:rPr>
                <w:rFonts w:hint="default" w:ascii="Times New Roman" w:hAnsi="Times New Roman" w:cs="Times New Roman"/>
                <w:color w:val="auto"/>
                <w:lang w:val="en-US" w:eastAsia="zh-CN"/>
              </w:rPr>
              <w:t>。</w:t>
            </w:r>
          </w:p>
          <w:p>
            <w:pPr>
              <w:pStyle w:val="66"/>
              <w:bidi w:val="0"/>
              <w:ind w:left="0" w:leftChars="0" w:firstLine="0" w:firstLineChars="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5321300" cy="5609590"/>
                  <wp:effectExtent l="0" t="0" r="0" b="0"/>
                  <wp:docPr id="2" name="ECB019B1-382A-4266-B25C-5B523AA43C14-2" descr="C:/Users/Administrator/AppData/Local/Temp/wps.CoKIL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CoKILvwps"/>
                          <pic:cNvPicPr>
                            <a:picLocks noChangeAspect="1"/>
                          </pic:cNvPicPr>
                        </pic:nvPicPr>
                        <pic:blipFill>
                          <a:blip r:embed="rId11"/>
                          <a:stretch>
                            <a:fillRect/>
                          </a:stretch>
                        </pic:blipFill>
                        <pic:spPr>
                          <a:xfrm>
                            <a:off x="0" y="0"/>
                            <a:ext cx="5321300" cy="5609590"/>
                          </a:xfrm>
                          <a:prstGeom prst="rect">
                            <a:avLst/>
                          </a:prstGeom>
                        </pic:spPr>
                      </pic:pic>
                    </a:graphicData>
                  </a:graphic>
                </wp:inline>
              </w:drawing>
            </w:r>
          </w:p>
          <w:p>
            <w:pPr>
              <w:widowControl w:val="0"/>
              <w:spacing w:line="420" w:lineRule="auto"/>
              <w:ind w:firstLine="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ascii="Times New Roman" w:hAnsi="Times New Roman" w:eastAsia="宋体" w:cs="Times New Roman"/>
                <w:b/>
                <w:bCs/>
                <w:color w:val="auto"/>
                <w:kern w:val="2"/>
                <w:sz w:val="24"/>
                <w:szCs w:val="24"/>
                <w:highlight w:val="none"/>
                <w:lang w:val="en-US" w:eastAsia="zh-CN" w:bidi="ar-SA"/>
              </w:rPr>
              <w:t xml:space="preserve">2 </w:t>
            </w:r>
            <w:r>
              <w:rPr>
                <w:rFonts w:hint="eastAsia" w:cs="Times New Roman"/>
                <w:b/>
                <w:bCs/>
                <w:color w:val="auto"/>
                <w:kern w:val="2"/>
                <w:sz w:val="24"/>
                <w:szCs w:val="24"/>
                <w:highlight w:val="none"/>
                <w:lang w:val="en-US" w:eastAsia="zh-CN" w:bidi="ar-SA"/>
              </w:rPr>
              <w:t>废塑料回收生产</w:t>
            </w:r>
            <w:r>
              <w:rPr>
                <w:rFonts w:hint="eastAsia" w:ascii="Times New Roman" w:hAnsi="Times New Roman" w:eastAsia="宋体" w:cs="Times New Roman"/>
                <w:b/>
                <w:bCs/>
                <w:color w:val="auto"/>
                <w:kern w:val="2"/>
                <w:sz w:val="24"/>
                <w:szCs w:val="24"/>
                <w:highlight w:val="none"/>
                <w:lang w:val="en-US" w:eastAsia="zh-CN" w:bidi="ar-SA"/>
              </w:rPr>
              <w:t>工艺流程</w:t>
            </w:r>
            <w:r>
              <w:rPr>
                <w:rFonts w:hint="default" w:ascii="Times New Roman" w:hAnsi="Times New Roman" w:eastAsia="宋体" w:cs="Times New Roman"/>
                <w:b/>
                <w:bCs/>
                <w:color w:val="auto"/>
                <w:kern w:val="2"/>
                <w:sz w:val="24"/>
                <w:szCs w:val="24"/>
                <w:highlight w:val="none"/>
                <w:lang w:val="en-US" w:eastAsia="zh-CN" w:bidi="ar-SA"/>
              </w:rPr>
              <w:t>及产污节点</w:t>
            </w:r>
          </w:p>
          <w:p>
            <w:pPr>
              <w:pStyle w:val="66"/>
              <w:bidi w:val="0"/>
              <w:rPr>
                <w:rFonts w:hint="eastAsia" w:ascii="Times New Roman" w:hAnsi="Times New Roman" w:eastAsia="宋体" w:cs="Times New Roman"/>
                <w:b w:val="0"/>
                <w:bCs w:val="0"/>
                <w:color w:val="auto"/>
                <w:lang w:val="en-US" w:eastAsia="zh-CN"/>
              </w:rPr>
            </w:pPr>
            <w:r>
              <w:rPr>
                <w:rFonts w:hint="eastAsia" w:ascii="Times New Roman" w:hAnsi="Times New Roman" w:cs="Times New Roman"/>
                <w:b/>
                <w:bCs/>
                <w:color w:val="auto"/>
                <w:lang w:val="en-US" w:eastAsia="zh-CN"/>
              </w:rPr>
              <w:t>③清洗：</w:t>
            </w:r>
            <w:r>
              <w:rPr>
                <w:rFonts w:hint="eastAsia" w:ascii="Times New Roman" w:hAnsi="Times New Roman" w:eastAsia="宋体" w:cs="Times New Roman"/>
                <w:color w:val="auto"/>
                <w:lang w:val="en-US" w:eastAsia="zh-CN"/>
              </w:rPr>
              <w:t>破碎后的塑料碎片进入清洗槽中进行漂洗，清洗槽中设置旋转杆以加强清洗槽中的水搅动，以清洗掉废塑料上的污染物。本项目</w:t>
            </w:r>
            <w:r>
              <w:rPr>
                <w:rFonts w:hint="eastAsia" w:ascii="Times New Roman" w:hAnsi="Times New Roman" w:eastAsia="宋体" w:cs="Times New Roman"/>
                <w:b w:val="0"/>
                <w:bCs w:val="0"/>
                <w:color w:val="auto"/>
                <w:lang w:val="en-US" w:eastAsia="zh-CN"/>
              </w:rPr>
              <w:t>清洗过程中需添加一定量的氢氧化钠作为清洗剂以强化对塑料表面污渍的去除程度，项目不使用含磷、含盐卤清洗剂。水槽中的塑料碎片在旋转杆的作用下，从洗槽的首段慢慢转移到洗槽尾端。清洗过程中主要污染物为废水和设备噪声。</w:t>
            </w:r>
          </w:p>
          <w:p>
            <w:pPr>
              <w:pStyle w:val="66"/>
              <w:bidi w:val="0"/>
              <w:rPr>
                <w:rFonts w:hint="eastAsia" w:ascii="Times New Roman" w:hAnsi="Times New Roman" w:eastAsia="宋体" w:cs="Times New Roman"/>
                <w:b w:val="0"/>
                <w:bCs w:val="0"/>
                <w:color w:val="auto"/>
                <w:lang w:val="en-US" w:eastAsia="zh-CN"/>
              </w:rPr>
            </w:pPr>
            <w:r>
              <w:rPr>
                <w:rFonts w:hint="eastAsia" w:ascii="Times New Roman" w:hAnsi="Times New Roman" w:cs="Times New Roman"/>
                <w:b/>
                <w:bCs/>
                <w:color w:val="auto"/>
                <w:lang w:val="en-US" w:eastAsia="zh-CN"/>
              </w:rPr>
              <w:t>④甩干：</w:t>
            </w:r>
            <w:r>
              <w:rPr>
                <w:rFonts w:hint="eastAsia" w:ascii="Times New Roman" w:hAnsi="Times New Roman" w:cs="Times New Roman"/>
                <w:b w:val="0"/>
                <w:bCs w:val="0"/>
                <w:color w:val="auto"/>
                <w:lang w:val="en-US" w:eastAsia="zh-CN"/>
              </w:rPr>
              <w:t>碎料碎片</w:t>
            </w:r>
            <w:r>
              <w:rPr>
                <w:rFonts w:hint="eastAsia" w:ascii="Times New Roman" w:hAnsi="Times New Roman" w:eastAsia="宋体" w:cs="Times New Roman"/>
                <w:b w:val="0"/>
                <w:bCs w:val="0"/>
                <w:color w:val="auto"/>
                <w:lang w:val="en-US" w:eastAsia="zh-CN"/>
              </w:rPr>
              <w:t>在旋转杆的作用下，从洗槽的首端慢慢转移到洗槽尾端，洗槽的尾端设置有提升机，将洗槽中的塑料碎片提升到甩干机中离心甩干。此过程主要污染物为甩干机噪声和甩干废水。</w:t>
            </w:r>
          </w:p>
          <w:p>
            <w:pPr>
              <w:pStyle w:val="66"/>
              <w:bidi w:val="0"/>
              <w:rPr>
                <w:rFonts w:hint="eastAsia" w:ascii="Times New Roman" w:hAnsi="Times New Roman" w:cs="Times New Roman"/>
                <w:b w:val="0"/>
                <w:bCs w:val="0"/>
                <w:color w:val="auto"/>
                <w:lang w:val="en-US" w:eastAsia="zh-CN"/>
              </w:rPr>
            </w:pPr>
            <w:r>
              <w:rPr>
                <w:rFonts w:hint="eastAsia" w:ascii="Times New Roman" w:hAnsi="Times New Roman" w:cs="Times New Roman"/>
                <w:b/>
                <w:bCs/>
                <w:color w:val="auto"/>
                <w:lang w:val="en-US" w:eastAsia="zh-CN"/>
              </w:rPr>
              <w:t>⑤风选</w:t>
            </w:r>
            <w:r>
              <w:rPr>
                <w:rFonts w:hint="eastAsia" w:ascii="Times New Roman" w:hAnsi="Times New Roman" w:cs="Times New Roman"/>
                <w:b w:val="0"/>
                <w:bCs w:val="0"/>
                <w:color w:val="auto"/>
                <w:lang w:val="en-US" w:eastAsia="zh-CN"/>
              </w:rPr>
              <w:t>：碎料碎片在甩干机中甩干后，再经下一级提升机提升至风选机中进行风选。风选的目的一是进一步干燥物料，同时通过风选可以将原塑料瓶破碎后产生的塑料碎片和标签碎片分选开。风选过程中主要污染物为风选机噪声。</w:t>
            </w:r>
          </w:p>
          <w:p>
            <w:pPr>
              <w:pStyle w:val="66"/>
              <w:bidi w:val="0"/>
              <w:rPr>
                <w:rFonts w:hint="default" w:ascii="Times New Roman" w:hAnsi="Times New Roman" w:cs="Times New Roman"/>
                <w:b w:val="0"/>
                <w:bCs w:val="0"/>
                <w:color w:val="auto"/>
                <w:lang w:val="en-US" w:eastAsia="zh-CN"/>
              </w:rPr>
            </w:pPr>
            <w:r>
              <w:rPr>
                <w:rFonts w:hint="eastAsia" w:ascii="Times New Roman" w:hAnsi="Times New Roman" w:cs="Times New Roman"/>
                <w:b/>
                <w:bCs/>
                <w:color w:val="auto"/>
                <w:lang w:val="en-US" w:eastAsia="zh-CN"/>
              </w:rPr>
              <w:t>⑥熔融挤出：</w:t>
            </w:r>
            <w:r>
              <w:rPr>
                <w:rFonts w:hint="eastAsia" w:ascii="Times New Roman" w:hAnsi="Times New Roman" w:cs="Times New Roman"/>
                <w:b w:val="0"/>
                <w:bCs w:val="0"/>
                <w:color w:val="auto"/>
                <w:lang w:val="en-US" w:eastAsia="zh-CN"/>
              </w:rPr>
              <w:t>项目风选出的塑料碎片转移至造粒车间，上料至挤出机的料斗内，然后通过密闭管道慢慢进入挤出机的融化挤出单元，挤出温度一般为160℃-190℃，挤出过程中主要污染物为塑料融化产生的挥发性有机物。</w:t>
            </w:r>
          </w:p>
          <w:p>
            <w:pPr>
              <w:pStyle w:val="66"/>
              <w:bidi w:val="0"/>
              <w:rPr>
                <w:rFonts w:hint="default" w:ascii="Times New Roman" w:hAnsi="Times New Roman" w:cs="Times New Roman"/>
                <w:b w:val="0"/>
                <w:bCs w:val="0"/>
                <w:color w:val="auto"/>
                <w:lang w:val="en-US" w:eastAsia="zh-CN"/>
              </w:rPr>
            </w:pPr>
            <w:r>
              <w:rPr>
                <w:rFonts w:hint="eastAsia" w:ascii="Times New Roman" w:hAnsi="Times New Roman" w:cs="Times New Roman"/>
                <w:b/>
                <w:bCs/>
                <w:color w:val="auto"/>
                <w:lang w:val="en-US" w:eastAsia="zh-CN"/>
              </w:rPr>
              <w:t>⑦拉丝冷却：</w:t>
            </w:r>
            <w:r>
              <w:rPr>
                <w:rFonts w:hint="eastAsia" w:ascii="Times New Roman" w:hAnsi="Times New Roman" w:cs="Times New Roman"/>
                <w:b w:val="0"/>
                <w:bCs w:val="0"/>
                <w:color w:val="auto"/>
                <w:lang w:val="en-US" w:eastAsia="zh-CN"/>
              </w:rPr>
              <w:t>塑料碎片经挤出机熔融挤出后拉丝成直径约3mm的细丝，然后立即进入水槽内冷却。此过程中水槽内的在冷却水池间循环使用，循环一定周期后更新排放一次，更新排放的废水进入厂区生产废水综合处理单元处理。</w:t>
            </w:r>
          </w:p>
          <w:p>
            <w:pPr>
              <w:pStyle w:val="66"/>
              <w:bidi w:val="0"/>
              <w:rPr>
                <w:rFonts w:hint="eastAsia" w:ascii="Times New Roman" w:hAnsi="Times New Roman" w:cs="Times New Roman"/>
                <w:b w:val="0"/>
                <w:bCs w:val="0"/>
                <w:color w:val="auto"/>
                <w:lang w:val="en-US" w:eastAsia="zh-CN"/>
              </w:rPr>
            </w:pPr>
            <w:r>
              <w:rPr>
                <w:rFonts w:hint="eastAsia" w:ascii="Times New Roman" w:hAnsi="Times New Roman" w:cs="Times New Roman"/>
                <w:b/>
                <w:bCs/>
                <w:color w:val="auto"/>
                <w:lang w:val="en-US" w:eastAsia="zh-CN"/>
              </w:rPr>
              <w:t>⑧切粒：</w:t>
            </w:r>
            <w:r>
              <w:rPr>
                <w:rFonts w:hint="eastAsia" w:ascii="Times New Roman" w:hAnsi="Times New Roman" w:cs="Times New Roman"/>
                <w:b w:val="0"/>
                <w:bCs w:val="0"/>
                <w:color w:val="auto"/>
                <w:lang w:val="en-US" w:eastAsia="zh-CN"/>
              </w:rPr>
              <w:t>塑料拉丝冷却成型后，在冷却水槽的尾端进入切粒机进行切粒，切粒为将塑料丝切成长度约2mm的小颗粒。切粒过程中主要污染物为切粒机噪声。</w:t>
            </w:r>
          </w:p>
          <w:p>
            <w:pPr>
              <w:pStyle w:val="66"/>
              <w:keepNext w:val="0"/>
              <w:keepLines w:val="0"/>
              <w:pageBreakBefore w:val="0"/>
              <w:widowControl w:val="0"/>
              <w:numPr>
                <w:ilvl w:val="0"/>
                <w:numId w:val="0"/>
              </w:numPr>
              <w:kinsoku/>
              <w:wordWrap/>
              <w:overflowPunct/>
              <w:topLinePunct w:val="0"/>
              <w:autoSpaceDE/>
              <w:autoSpaceDN/>
              <w:bidi w:val="0"/>
              <w:ind w:leftChars="200"/>
              <w:textAlignment w:val="auto"/>
              <w:rPr>
                <w:rFonts w:hint="eastAsia" w:ascii="Times New Roman" w:hAnsi="Times New Roman" w:cs="Times New Roman"/>
                <w:b w:val="0"/>
                <w:bCs w:val="0"/>
                <w:color w:val="auto"/>
                <w:lang w:val="en-US" w:eastAsia="zh-CN"/>
              </w:rPr>
            </w:pPr>
            <w:r>
              <w:rPr>
                <w:rFonts w:hint="eastAsia" w:ascii="Times New Roman" w:hAnsi="Times New Roman" w:cs="Times New Roman"/>
                <w:b/>
                <w:bCs/>
                <w:color w:val="auto"/>
                <w:lang w:val="en-US" w:eastAsia="zh-CN"/>
              </w:rPr>
              <w:t>⑨塑料颗粒包装：</w:t>
            </w:r>
            <w:r>
              <w:rPr>
                <w:rFonts w:hint="eastAsia" w:ascii="Times New Roman" w:hAnsi="Times New Roman" w:cs="Times New Roman"/>
                <w:b w:val="0"/>
                <w:bCs w:val="0"/>
                <w:color w:val="auto"/>
                <w:lang w:val="en-US" w:eastAsia="zh-CN"/>
              </w:rPr>
              <w:t>切粒后的成品即可包装成袋，等待出售。</w:t>
            </w:r>
          </w:p>
          <w:p>
            <w:pPr>
              <w:pStyle w:val="66"/>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3、全厂水平衡</w:t>
            </w:r>
          </w:p>
          <w:p>
            <w:pPr>
              <w:spacing w:line="420" w:lineRule="auto"/>
              <w:ind w:firstLine="482" w:firstLineChars="200"/>
              <w:rPr>
                <w:rFonts w:hint="default" w:ascii="Times New Roman" w:hAnsi="Times New Roman" w:cs="Times New Roman"/>
                <w:b/>
                <w:bCs/>
                <w:color w:val="auto"/>
                <w:sz w:val="24"/>
                <w:szCs w:val="20"/>
                <w:lang w:eastAsia="zh-CN"/>
              </w:rPr>
            </w:pPr>
            <w:r>
              <w:rPr>
                <w:rFonts w:hint="default" w:ascii="Times New Roman" w:hAnsi="Times New Roman" w:cs="Times New Roman"/>
                <w:b/>
                <w:bCs/>
                <w:color w:val="auto"/>
                <w:sz w:val="24"/>
                <w:szCs w:val="20"/>
                <w:lang w:eastAsia="zh-CN"/>
              </w:rPr>
              <w:t>①</w:t>
            </w:r>
            <w:r>
              <w:rPr>
                <w:rFonts w:hint="eastAsia" w:ascii="Times New Roman" w:hAnsi="Times New Roman" w:cs="Times New Roman"/>
                <w:b/>
                <w:bCs/>
                <w:color w:val="auto"/>
                <w:sz w:val="24"/>
                <w:szCs w:val="20"/>
                <w:lang w:eastAsia="zh-CN"/>
              </w:rPr>
              <w:t>生活污水</w:t>
            </w:r>
            <w:r>
              <w:rPr>
                <w:rFonts w:hint="default" w:ascii="Times New Roman" w:hAnsi="Times New Roman" w:cs="Times New Roman"/>
                <w:b/>
                <w:bCs/>
                <w:color w:val="auto"/>
                <w:sz w:val="24"/>
                <w:szCs w:val="20"/>
                <w:lang w:eastAsia="zh-CN"/>
              </w:rPr>
              <w:t>：</w:t>
            </w:r>
          </w:p>
          <w:p>
            <w:pPr>
              <w:spacing w:line="420" w:lineRule="auto"/>
              <w:ind w:firstLine="480" w:firstLineChars="200"/>
              <w:rPr>
                <w:rFonts w:hint="default" w:ascii="Times New Roman" w:hAnsi="Times New Roman" w:eastAsia="宋体" w:cs="Times New Roman"/>
                <w:b/>
                <w:bCs/>
                <w:color w:val="auto"/>
                <w:sz w:val="24"/>
                <w:szCs w:val="20"/>
                <w:lang w:val="en-US" w:eastAsia="zh-CN"/>
              </w:rPr>
            </w:pPr>
            <w:r>
              <w:rPr>
                <w:rFonts w:hint="eastAsia"/>
                <w:sz w:val="24"/>
                <w:szCs w:val="20"/>
              </w:rPr>
              <w:t>根据《四川省用水定额》（川府函〔2021〕8号），结合遂宁市当地实际情况确定本项目办公生活用水定额为160L每人每日。项目定员40人，据此本项目生活和办公用水的最大日用量为6.4m</w:t>
            </w:r>
            <w:r>
              <w:rPr>
                <w:rFonts w:hint="eastAsia"/>
                <w:sz w:val="24"/>
                <w:szCs w:val="20"/>
                <w:vertAlign w:val="superscript"/>
              </w:rPr>
              <w:t>3</w:t>
            </w:r>
            <w:r>
              <w:rPr>
                <w:rFonts w:hint="eastAsia"/>
                <w:sz w:val="24"/>
                <w:szCs w:val="20"/>
              </w:rPr>
              <w:t>/d。在使用过程中自然耗散20%，则</w:t>
            </w:r>
            <w:r>
              <w:rPr>
                <w:rFonts w:hint="eastAsia"/>
                <w:sz w:val="24"/>
                <w:szCs w:val="20"/>
                <w:lang w:eastAsia="zh-CN"/>
              </w:rPr>
              <w:t>生活污水</w:t>
            </w:r>
            <w:r>
              <w:rPr>
                <w:rFonts w:hint="eastAsia"/>
                <w:sz w:val="24"/>
                <w:szCs w:val="20"/>
              </w:rPr>
              <w:t>产生及排放量约5.12m</w:t>
            </w:r>
            <w:r>
              <w:rPr>
                <w:rFonts w:hint="eastAsia"/>
                <w:sz w:val="24"/>
                <w:szCs w:val="20"/>
                <w:vertAlign w:val="superscript"/>
              </w:rPr>
              <w:t>3</w:t>
            </w:r>
            <w:r>
              <w:rPr>
                <w:rFonts w:hint="eastAsia"/>
                <w:sz w:val="24"/>
                <w:szCs w:val="20"/>
              </w:rPr>
              <w:t>/d</w:t>
            </w:r>
            <w:r>
              <w:rPr>
                <w:sz w:val="24"/>
                <w:szCs w:val="20"/>
              </w:rPr>
              <w:t>。</w:t>
            </w:r>
            <w:r>
              <w:rPr>
                <w:rFonts w:hint="eastAsia"/>
                <w:sz w:val="24"/>
                <w:szCs w:val="20"/>
                <w:lang w:eastAsia="zh-CN"/>
              </w:rPr>
              <w:t>生活污水经既有</w:t>
            </w:r>
            <w:r>
              <w:rPr>
                <w:sz w:val="24"/>
                <w:szCs w:val="20"/>
              </w:rPr>
              <w:t>预处理池处理达《污水综合排放标准》（GB8978-1996）三级标准及《污水排入城市下水道水质标准》GB/T31962-2015 B级标准后排入市政污水管网送蓬溪县经开区污水处理厂处理</w:t>
            </w:r>
            <w:r>
              <w:rPr>
                <w:rFonts w:hint="default" w:ascii="Times New Roman" w:hAnsi="Times New Roman" w:cs="Times New Roman"/>
                <w:color w:val="auto"/>
                <w:sz w:val="24"/>
                <w:szCs w:val="22"/>
                <w:lang w:val="en-US" w:eastAsia="zh-CN"/>
              </w:rPr>
              <w:t>。</w:t>
            </w:r>
          </w:p>
          <w:p>
            <w:pPr>
              <w:pStyle w:val="66"/>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②生产废水</w:t>
            </w:r>
          </w:p>
          <w:p>
            <w:pPr>
              <w:pStyle w:val="66"/>
              <w:bidi w:val="0"/>
              <w:rPr>
                <w:rFonts w:hint="default" w:ascii="Times New Roman" w:hAnsi="Times New Roman" w:cs="Times New Roman"/>
                <w:color w:val="auto"/>
                <w:lang w:val="en-US" w:eastAsia="zh-CN"/>
              </w:rPr>
            </w:pPr>
            <w:r>
              <w:rPr>
                <w:rFonts w:hint="eastAsia" w:ascii="Times New Roman" w:hAnsi="Times New Roman" w:cs="Times New Roman"/>
                <w:b w:val="0"/>
                <w:bCs w:val="0"/>
                <w:color w:val="auto"/>
                <w:lang w:val="en-US" w:eastAsia="zh-CN"/>
              </w:rPr>
              <w:t>1）塑料框生产线循环冷却水更新排水：</w:t>
            </w:r>
            <w:r>
              <w:rPr>
                <w:rFonts w:hint="default" w:ascii="Times New Roman" w:hAnsi="Times New Roman" w:cs="Times New Roman"/>
                <w:b w:val="0"/>
                <w:bCs w:val="0"/>
                <w:color w:val="auto"/>
                <w:lang w:val="en-US" w:eastAsia="zh-CN"/>
              </w:rPr>
              <w:t>项目冷却水经循环水池收集后循环使用，每6个月更新排放一次。根据建设单位提供的数据，冷却水在循环使用过程</w:t>
            </w:r>
            <w:r>
              <w:rPr>
                <w:rFonts w:hint="eastAsia" w:ascii="Times New Roman" w:hAnsi="Times New Roman" w:cs="Times New Roman"/>
                <w:b w:val="0"/>
                <w:bCs w:val="0"/>
                <w:color w:val="auto"/>
                <w:lang w:val="en-US" w:eastAsia="zh-CN"/>
              </w:rPr>
              <w:t>中</w:t>
            </w:r>
            <w:r>
              <w:rPr>
                <w:rFonts w:hint="default" w:ascii="Times New Roman" w:hAnsi="Times New Roman" w:cs="Times New Roman"/>
                <w:b w:val="0"/>
                <w:bCs w:val="0"/>
                <w:color w:val="auto"/>
                <w:lang w:val="en-US" w:eastAsia="zh-CN"/>
              </w:rPr>
              <w:t>损耗约0.05m³/d，损耗部分定期添加。每6个月更新排放20m³，约排放0.11m³/d</w:t>
            </w:r>
            <w:r>
              <w:rPr>
                <w:rFonts w:hint="default" w:ascii="Times New Roman" w:hAnsi="Times New Roman" w:cs="Times New Roman"/>
                <w:color w:val="auto"/>
                <w:lang w:val="en-US" w:eastAsia="zh-CN"/>
              </w:rPr>
              <w:t>。</w:t>
            </w:r>
          </w:p>
          <w:p>
            <w:pPr>
              <w:pStyle w:val="66"/>
              <w:bidi w:val="0"/>
              <w:jc w:val="both"/>
              <w:rPr>
                <w:rFonts w:hint="default" w:ascii="Times New Roman" w:hAnsi="Times New Roman" w:cs="Times New Roman"/>
                <w:color w:val="auto"/>
                <w:lang w:val="en-US" w:eastAsia="zh-CN"/>
              </w:rPr>
            </w:pPr>
            <w:r>
              <w:rPr>
                <w:rFonts w:hint="eastAsia" w:ascii="Times New Roman" w:hAnsi="Times New Roman" w:cs="Times New Roman"/>
                <w:b w:val="0"/>
                <w:bCs w:val="0"/>
                <w:color w:val="auto"/>
                <w:lang w:val="en-US" w:eastAsia="zh-CN"/>
              </w:rPr>
              <w:t>2）造粒生产线循环冷却水更新排水：造粒生产线</w:t>
            </w:r>
            <w:r>
              <w:rPr>
                <w:rFonts w:hint="default" w:ascii="Times New Roman" w:hAnsi="Times New Roman" w:cs="Times New Roman"/>
                <w:b w:val="0"/>
                <w:bCs w:val="0"/>
                <w:color w:val="auto"/>
                <w:lang w:val="en-US" w:eastAsia="zh-CN"/>
              </w:rPr>
              <w:t>冷却水经循环水池收集后循环使用，每6个月更新排放一次。根据建设单位提供的数据，冷却水在循环使用过程损耗约0.</w:t>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lang w:val="en-US" w:eastAsia="zh-CN"/>
              </w:rPr>
              <w:t>m³/d，损耗部分定期添加。每6个月更新排放20m³，约排放0.11m³/d</w:t>
            </w:r>
            <w:r>
              <w:rPr>
                <w:rFonts w:hint="default" w:ascii="Times New Roman" w:hAnsi="Times New Roman" w:cs="Times New Roman"/>
                <w:color w:val="auto"/>
                <w:lang w:val="en-US" w:eastAsia="zh-CN"/>
              </w:rPr>
              <w:t>。</w:t>
            </w:r>
          </w:p>
          <w:p>
            <w:pPr>
              <w:pStyle w:val="66"/>
              <w:bidi w:val="0"/>
              <w:rPr>
                <w:rFonts w:hint="eastAsia" w:ascii="Times New Roman" w:hAnsi="Times New Roman" w:cs="Times New Roman"/>
                <w:snapToGrid w:val="0"/>
                <w:color w:val="auto"/>
                <w:kern w:val="0"/>
                <w:sz w:val="24"/>
                <w:szCs w:val="22"/>
                <w:lang w:val="en-US" w:eastAsia="zh-CN" w:bidi="ar-SA"/>
              </w:rPr>
            </w:pPr>
            <w:r>
              <w:rPr>
                <w:rFonts w:hint="eastAsia" w:ascii="Times New Roman" w:hAnsi="Times New Roman" w:cs="Times New Roman"/>
                <w:color w:val="auto"/>
                <w:lang w:val="en-US" w:eastAsia="zh-CN"/>
              </w:rPr>
              <w:t>3）塑料清洗线用水：根据</w:t>
            </w:r>
            <w:r>
              <w:rPr>
                <w:rFonts w:hint="default" w:ascii="Times New Roman" w:hAnsi="Times New Roman" w:eastAsia="宋体" w:cs="Times New Roman"/>
                <w:snapToGrid w:val="0"/>
                <w:color w:val="auto"/>
                <w:kern w:val="0"/>
                <w:sz w:val="24"/>
                <w:szCs w:val="22"/>
                <w:lang w:val="en-US" w:eastAsia="zh-CN" w:bidi="ar-SA"/>
              </w:rPr>
              <w:t>《产排污系数手册-42废弃资源综合利用行业系数手册》及《排污许可证申领与核发技术指南废弃资源加工工业》HJ1034-2019，废塑料加工废水排放量为1m³/t原料</w:t>
            </w:r>
            <w:r>
              <w:rPr>
                <w:rFonts w:hint="eastAsia" w:ascii="Times New Roman" w:hAnsi="Times New Roman" w:cs="Times New Roman"/>
                <w:snapToGrid w:val="0"/>
                <w:color w:val="auto"/>
                <w:kern w:val="0"/>
                <w:sz w:val="24"/>
                <w:szCs w:val="22"/>
                <w:lang w:val="en-US" w:eastAsia="zh-CN" w:bidi="ar-SA"/>
              </w:rPr>
              <w:t>，项目废塑料年加工量约为5000吨，年产300天，则废水排放量约为16.7m³/d。</w:t>
            </w:r>
          </w:p>
          <w:p>
            <w:pPr>
              <w:pStyle w:val="6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本项目设置原料水洗过程中涉及用水</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水洗废水在循环使用过程中通过添加絮凝沉淀，根据</w:t>
            </w:r>
            <w:r>
              <w:rPr>
                <w:rFonts w:hint="eastAsia" w:ascii="Times New Roman" w:hAnsi="Times New Roman" w:cs="Times New Roman"/>
                <w:color w:val="auto"/>
                <w:lang w:val="en-US" w:eastAsia="zh-CN"/>
              </w:rPr>
              <w:t>估算</w:t>
            </w:r>
            <w:r>
              <w:rPr>
                <w:rFonts w:hint="default" w:ascii="Times New Roman" w:hAnsi="Times New Roman" w:cs="Times New Roman"/>
                <w:color w:val="auto"/>
                <w:lang w:val="en-US" w:eastAsia="zh-CN"/>
              </w:rPr>
              <w:t>计算得出的污泥（干）产生量</w:t>
            </w:r>
            <w:r>
              <w:rPr>
                <w:rFonts w:hint="eastAsia" w:ascii="Times New Roman" w:hAnsi="Times New Roman" w:cs="Times New Roman"/>
                <w:color w:val="auto"/>
                <w:lang w:val="en-US" w:eastAsia="zh-CN"/>
              </w:rPr>
              <w:t>50</w:t>
            </w:r>
            <w:r>
              <w:rPr>
                <w:rFonts w:hint="default" w:ascii="Times New Roman" w:hAnsi="Times New Roman" w:cs="Times New Roman"/>
                <w:color w:val="auto"/>
                <w:lang w:val="en-US" w:eastAsia="zh-CN"/>
              </w:rPr>
              <w:t>t/a，本项目湿污泥</w:t>
            </w:r>
            <w:r>
              <w:rPr>
                <w:rFonts w:hint="eastAsia" w:ascii="Times New Roman" w:hAnsi="Times New Roman" w:cs="Times New Roman"/>
                <w:color w:val="auto"/>
                <w:lang w:val="en-US" w:eastAsia="zh-CN"/>
              </w:rPr>
              <w:t>含水率6</w:t>
            </w:r>
            <w:r>
              <w:rPr>
                <w:rFonts w:hint="default" w:ascii="Times New Roman" w:hAnsi="Times New Roman" w:cs="Times New Roman"/>
                <w:color w:val="auto"/>
                <w:lang w:val="en-US" w:eastAsia="zh-CN"/>
              </w:rPr>
              <w:t>0%，则污泥带走的水量约</w:t>
            </w:r>
            <w:r>
              <w:rPr>
                <w:rFonts w:hint="eastAsia" w:ascii="Times New Roman" w:hAnsi="Times New Roman" w:cs="Times New Roman"/>
                <w:color w:val="auto"/>
                <w:lang w:val="en-US" w:eastAsia="zh-CN"/>
              </w:rPr>
              <w:t>75</w:t>
            </w:r>
            <w:r>
              <w:rPr>
                <w:rFonts w:hint="default" w:ascii="Times New Roman" w:hAnsi="Times New Roman" w:cs="Times New Roman"/>
                <w:color w:val="auto"/>
                <w:lang w:val="en-US" w:eastAsia="zh-CN"/>
              </w:rPr>
              <w:t>m³/a（</w:t>
            </w:r>
            <w:r>
              <w:rPr>
                <w:rFonts w:hint="eastAsia" w:ascii="Times New Roman" w:hAnsi="Times New Roman" w:cs="Times New Roman"/>
                <w:color w:val="auto"/>
                <w:lang w:val="en-US" w:eastAsia="zh-CN"/>
              </w:rPr>
              <w:t>0.25</w:t>
            </w:r>
            <w:r>
              <w:rPr>
                <w:rFonts w:hint="default" w:ascii="Times New Roman" w:hAnsi="Times New Roman" w:cs="Times New Roman"/>
                <w:color w:val="auto"/>
                <w:lang w:val="en-US" w:eastAsia="zh-CN"/>
              </w:rPr>
              <w:t>m³/d），污水排放量为</w:t>
            </w:r>
            <w:r>
              <w:rPr>
                <w:rFonts w:hint="eastAsia" w:ascii="Times New Roman" w:hAnsi="Times New Roman" w:cs="Times New Roman"/>
                <w:color w:val="auto"/>
                <w:lang w:val="en-US" w:eastAsia="zh-CN"/>
              </w:rPr>
              <w:t>50</w:t>
            </w:r>
            <w:r>
              <w:rPr>
                <w:rFonts w:hint="default" w:ascii="Times New Roman" w:hAnsi="Times New Roman" w:cs="Times New Roman"/>
                <w:color w:val="auto"/>
                <w:lang w:val="en-US" w:eastAsia="zh-CN"/>
              </w:rPr>
              <w:t>00t/a（1</w:t>
            </w:r>
            <w:r>
              <w:rPr>
                <w:rFonts w:hint="eastAsia" w:ascii="Times New Roman" w:hAnsi="Times New Roman" w:cs="Times New Roman"/>
                <w:color w:val="auto"/>
                <w:lang w:val="en-US" w:eastAsia="zh-CN"/>
              </w:rPr>
              <w:t>6.7</w:t>
            </w:r>
            <w:r>
              <w:rPr>
                <w:rFonts w:hint="default" w:ascii="Times New Roman" w:hAnsi="Times New Roman" w:cs="Times New Roman"/>
                <w:color w:val="auto"/>
                <w:lang w:val="en-US" w:eastAsia="zh-CN"/>
              </w:rPr>
              <w:t>m³/d）。因此进入污水处理设施的水量为</w:t>
            </w:r>
            <w:r>
              <w:rPr>
                <w:rFonts w:hint="eastAsia" w:ascii="Times New Roman" w:hAnsi="Times New Roman" w:cs="Times New Roman"/>
                <w:color w:val="auto"/>
                <w:lang w:val="en-US" w:eastAsia="zh-CN"/>
              </w:rPr>
              <w:t>16.95</w:t>
            </w:r>
            <w:r>
              <w:rPr>
                <w:rFonts w:hint="default" w:ascii="Times New Roman" w:hAnsi="Times New Roman" w:cs="Times New Roman"/>
                <w:color w:val="auto"/>
                <w:lang w:val="en-US" w:eastAsia="zh-CN"/>
              </w:rPr>
              <w:t>m³/d，项目产品在清洗过程中产品带走水量按10%计算，进入污水处理设施的水量按90%计算，则产品带走的水量为1.</w:t>
            </w:r>
            <w:r>
              <w:rPr>
                <w:rFonts w:hint="eastAsia" w:ascii="Times New Roman" w:hAnsi="Times New Roman" w:cs="Times New Roman"/>
                <w:color w:val="auto"/>
                <w:lang w:val="en-US" w:eastAsia="zh-CN"/>
              </w:rPr>
              <w:t>88</w:t>
            </w:r>
            <w:r>
              <w:rPr>
                <w:rFonts w:hint="default" w:ascii="Times New Roman" w:hAnsi="Times New Roman" w:cs="Times New Roman"/>
                <w:color w:val="auto"/>
                <w:lang w:val="en-US" w:eastAsia="zh-CN"/>
              </w:rPr>
              <w:t>m³/d。项目清洗工艺新鲜工业取水量为</w:t>
            </w:r>
            <w:r>
              <w:rPr>
                <w:rFonts w:hint="eastAsia" w:ascii="Times New Roman" w:hAnsi="Times New Roman" w:cs="Times New Roman"/>
                <w:color w:val="auto"/>
                <w:lang w:val="en-US" w:eastAsia="zh-CN"/>
              </w:rPr>
              <w:t>18.83</w:t>
            </w:r>
            <w:r>
              <w:rPr>
                <w:rFonts w:hint="default" w:ascii="Times New Roman" w:hAnsi="Times New Roman" w:cs="Times New Roman"/>
                <w:color w:val="auto"/>
                <w:lang w:val="en-US" w:eastAsia="zh-CN"/>
              </w:rPr>
              <w:t>m³/d。</w:t>
            </w:r>
          </w:p>
          <w:p>
            <w:pPr>
              <w:pStyle w:val="66"/>
              <w:bidi w:val="0"/>
              <w:ind w:left="0" w:leftChars="0" w:firstLine="0" w:firstLineChars="0"/>
              <w:jc w:val="center"/>
              <w:rPr>
                <w:rFonts w:hint="default"/>
                <w:b/>
                <w:bCs/>
              </w:rPr>
            </w:pPr>
            <w:r>
              <w:rPr>
                <w:rFonts w:hint="default" w:ascii="Times New Roman" w:hAnsi="Times New Roman" w:cs="Times New Roman"/>
                <w:color w:val="auto"/>
                <w:lang w:val="en-US" w:eastAsia="zh-CN"/>
              </w:rPr>
              <w:drawing>
                <wp:inline distT="0" distB="0" distL="114300" distR="114300">
                  <wp:extent cx="5264785" cy="3137535"/>
                  <wp:effectExtent l="0" t="0" r="0" b="0"/>
                  <wp:docPr id="77" name="ECB019B1-382A-4266-B25C-5B523AA43C14-3" descr="C:/Users/Administrator/AppData/Local/Temp/wps.ZKmlW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ECB019B1-382A-4266-B25C-5B523AA43C14-3" descr="C:/Users/Administrator/AppData/Local/Temp/wps.ZKmlWuwps"/>
                          <pic:cNvPicPr>
                            <a:picLocks noChangeAspect="1"/>
                          </pic:cNvPicPr>
                        </pic:nvPicPr>
                        <pic:blipFill>
                          <a:blip r:embed="rId12"/>
                          <a:srcRect l="1970" t="3078"/>
                          <a:stretch>
                            <a:fillRect/>
                          </a:stretch>
                        </pic:blipFill>
                        <pic:spPr>
                          <a:xfrm>
                            <a:off x="0" y="0"/>
                            <a:ext cx="5264785" cy="3137535"/>
                          </a:xfrm>
                          <a:prstGeom prst="rect">
                            <a:avLst/>
                          </a:prstGeom>
                        </pic:spPr>
                      </pic:pic>
                    </a:graphicData>
                  </a:graphic>
                </wp:inline>
              </w:drawing>
            </w:r>
            <w:r>
              <w:rPr>
                <w:rFonts w:hint="default" w:ascii="Times New Roman" w:hAnsi="Times New Roman" w:eastAsia="宋体" w:cs="Times New Roman"/>
                <w:b/>
                <w:bCs/>
                <w:color w:val="auto"/>
                <w:kern w:val="2"/>
                <w:sz w:val="24"/>
                <w:szCs w:val="22"/>
                <w:lang w:val="en-US" w:eastAsia="zh-CN" w:bidi="ar-SA"/>
              </w:rPr>
              <w:t>图2-</w:t>
            </w:r>
            <w:r>
              <w:rPr>
                <w:rFonts w:hint="eastAsia" w:ascii="Times New Roman" w:hAnsi="Times New Roman" w:cs="Times New Roman"/>
                <w:b/>
                <w:bCs/>
                <w:color w:val="auto"/>
                <w:kern w:val="2"/>
                <w:sz w:val="24"/>
                <w:szCs w:val="22"/>
                <w:lang w:val="en-US" w:eastAsia="zh-CN" w:bidi="ar-SA"/>
              </w:rPr>
              <w:t>3</w:t>
            </w:r>
            <w:r>
              <w:rPr>
                <w:rFonts w:hint="default" w:ascii="Times New Roman" w:hAnsi="Times New Roman" w:eastAsia="宋体" w:cs="Times New Roman"/>
                <w:b/>
                <w:bCs/>
                <w:color w:val="auto"/>
                <w:kern w:val="2"/>
                <w:sz w:val="24"/>
                <w:szCs w:val="22"/>
                <w:lang w:val="en-US" w:eastAsia="zh-CN" w:bidi="ar-SA"/>
              </w:rPr>
              <w:t>水平衡图（单位：m³/d）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609" w:type="dxa"/>
            <w:noWrap w:val="0"/>
            <w:vAlign w:val="top"/>
          </w:tcPr>
          <w:p>
            <w:pPr>
              <w:pStyle w:val="66"/>
              <w:spacing w:before="120" w:beforeLines="50"/>
              <w:ind w:firstLine="48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本项目为新建项目，根据现场调查，</w:t>
            </w:r>
            <w:r>
              <w:rPr>
                <w:rFonts w:hint="eastAsia" w:ascii="Times New Roman" w:hAnsi="Times New Roman" w:cs="Times New Roman"/>
                <w:color w:val="000000" w:themeColor="text1"/>
                <w:lang w:eastAsia="zh-CN"/>
                <w14:textFill>
                  <w14:solidFill>
                    <w14:schemeClr w14:val="tx1"/>
                  </w14:solidFill>
                </w14:textFill>
              </w:rPr>
              <w:t>租赁厂房为空置厂房</w:t>
            </w:r>
            <w:r>
              <w:rPr>
                <w:rFonts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未发现有遗留的环境问题。</w:t>
            </w: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ascii="Times New Roman" w:hAnsi="Times New Roman" w:cs="Times New Roman"/>
              </w:rPr>
            </w:pPr>
          </w:p>
          <w:p>
            <w:pPr>
              <w:pStyle w:val="66"/>
              <w:spacing w:before="120" w:beforeLines="50"/>
              <w:ind w:firstLine="0" w:firstLineChars="0"/>
              <w:jc w:val="both"/>
              <w:rPr>
                <w:rFonts w:hint="default" w:ascii="Times New Roman" w:hAnsi="Times New Roman" w:cs="Times New Roman"/>
              </w:rPr>
            </w:pPr>
          </w:p>
        </w:tc>
      </w:tr>
    </w:tbl>
    <w:p>
      <w:pPr>
        <w:pStyle w:val="21"/>
        <w:jc w:val="center"/>
        <w:rPr>
          <w:rFonts w:ascii="Times New Roman" w:hAnsi="Times New Roman" w:eastAsia="黑体"/>
          <w:snapToGrid w:val="0"/>
          <w:sz w:val="36"/>
          <w:szCs w:val="36"/>
        </w:rPr>
        <w:sectPr>
          <w:pgSz w:w="11906" w:h="16838"/>
          <w:pgMar w:top="1636"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pPr>
        <w:pStyle w:val="21"/>
        <w:spacing w:before="0" w:beforeAutospacing="0" w:after="0" w:afterAutospacing="0"/>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65" w:type="dxa"/>
            <w:noWrap w:val="0"/>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8525" w:type="dxa"/>
            <w:noWrap w:val="0"/>
            <w:vAlign w:val="center"/>
          </w:tcPr>
          <w:p>
            <w:pPr>
              <w:pStyle w:val="66"/>
              <w:spacing w:before="120" w:beforeLines="50"/>
              <w:ind w:firstLine="0" w:firstLineChars="0"/>
              <w:rPr>
                <w:rFonts w:hint="default" w:ascii="Times New Roman" w:hAnsi="Times New Roman" w:cs="Times New Roman"/>
                <w:b/>
                <w:bCs/>
              </w:rPr>
            </w:pPr>
            <w:r>
              <w:rPr>
                <w:rFonts w:hint="default" w:ascii="Times New Roman" w:hAnsi="Times New Roman" w:cs="Times New Roman"/>
                <w:b/>
                <w:bCs/>
              </w:rPr>
              <w:t>一、大气环境</w:t>
            </w:r>
          </w:p>
          <w:p>
            <w:pPr>
              <w:keepNext/>
              <w:keepLines/>
              <w:adjustRightInd w:val="0"/>
              <w:snapToGrid w:val="0"/>
              <w:spacing w:line="420" w:lineRule="auto"/>
              <w:ind w:firstLine="477" w:firstLineChars="198"/>
              <w:jc w:val="both"/>
              <w:textAlignment w:val="baseline"/>
              <w:outlineLvl w:val="1"/>
              <w:rPr>
                <w:rFonts w:ascii="Times New Roman" w:hAnsi="Times New Roman" w:eastAsia="宋体" w:cs="Times New Roman"/>
                <w:b/>
                <w:color w:val="auto"/>
                <w:sz w:val="24"/>
                <w:szCs w:val="22"/>
              </w:rPr>
            </w:pPr>
            <w:r>
              <w:rPr>
                <w:rFonts w:ascii="Times New Roman" w:hAnsi="Times New Roman" w:eastAsia="宋体" w:cs="Times New Roman"/>
                <w:b/>
                <w:color w:val="auto"/>
                <w:sz w:val="24"/>
                <w:szCs w:val="22"/>
              </w:rPr>
              <w:t>1、</w:t>
            </w:r>
            <w:r>
              <w:rPr>
                <w:rFonts w:hint="eastAsia" w:ascii="Times New Roman" w:hAnsi="Times New Roman" w:eastAsia="宋体" w:cs="Times New Roman"/>
                <w:b/>
                <w:color w:val="auto"/>
                <w:sz w:val="24"/>
                <w:szCs w:val="22"/>
              </w:rPr>
              <w:t>大气基本污染因子数据</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本次环境空气质量污染因子现状评价引用遂宁市污染防治攻坚战领导小组办公室202</w:t>
            </w:r>
            <w:r>
              <w:rPr>
                <w:rFonts w:hint="eastAsia" w:ascii="Times New Roman" w:hAnsi="Times New Roman" w:eastAsia="宋体" w:cs="Times New Roman"/>
                <w:color w:val="auto"/>
                <w:kern w:val="2"/>
                <w:sz w:val="24"/>
                <w:szCs w:val="21"/>
                <w:lang w:val="en-US" w:eastAsia="zh-CN" w:bidi="ar-SA"/>
              </w:rPr>
              <w:t>4</w:t>
            </w:r>
            <w:r>
              <w:rPr>
                <w:rFonts w:hint="default" w:ascii="Times New Roman" w:hAnsi="Times New Roman" w:eastAsia="宋体" w:cs="Times New Roman"/>
                <w:color w:val="auto"/>
                <w:kern w:val="2"/>
                <w:sz w:val="24"/>
                <w:szCs w:val="21"/>
                <w:lang w:val="en-US" w:eastAsia="zh-CN" w:bidi="ar-SA"/>
              </w:rPr>
              <w:t>年1月</w:t>
            </w:r>
            <w:r>
              <w:rPr>
                <w:rFonts w:hint="eastAsia" w:ascii="Times New Roman" w:hAnsi="Times New Roman" w:eastAsia="宋体" w:cs="Times New Roman"/>
                <w:color w:val="auto"/>
                <w:kern w:val="2"/>
                <w:sz w:val="24"/>
                <w:szCs w:val="21"/>
                <w:lang w:val="en-US" w:eastAsia="zh-CN" w:bidi="ar-SA"/>
              </w:rPr>
              <w:t>15</w:t>
            </w:r>
            <w:r>
              <w:rPr>
                <w:rFonts w:hint="default" w:ascii="Times New Roman" w:hAnsi="Times New Roman" w:eastAsia="宋体" w:cs="Times New Roman"/>
                <w:color w:val="auto"/>
                <w:kern w:val="2"/>
                <w:sz w:val="24"/>
                <w:szCs w:val="21"/>
                <w:lang w:val="en-US" w:eastAsia="zh-CN" w:bidi="ar-SA"/>
              </w:rPr>
              <w:t>日发布的关于202</w:t>
            </w:r>
            <w:r>
              <w:rPr>
                <w:rFonts w:hint="eastAsia" w:ascii="Times New Roman" w:hAnsi="Times New Roman" w:eastAsia="宋体"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年</w:t>
            </w:r>
            <w:r>
              <w:rPr>
                <w:rFonts w:hint="eastAsia" w:ascii="Times New Roman" w:hAnsi="Times New Roman" w:eastAsia="宋体" w:cs="Times New Roman"/>
                <w:color w:val="auto"/>
                <w:kern w:val="2"/>
                <w:sz w:val="24"/>
                <w:szCs w:val="21"/>
                <w:lang w:val="en-US" w:eastAsia="zh-CN" w:bidi="ar-SA"/>
              </w:rPr>
              <w:t>12月</w:t>
            </w:r>
            <w:r>
              <w:rPr>
                <w:rFonts w:hint="default" w:ascii="Times New Roman" w:hAnsi="Times New Roman" w:eastAsia="宋体" w:cs="Times New Roman"/>
                <w:color w:val="auto"/>
                <w:kern w:val="2"/>
                <w:sz w:val="24"/>
                <w:szCs w:val="21"/>
                <w:lang w:val="en-US" w:eastAsia="zh-CN" w:bidi="ar-SA"/>
              </w:rPr>
              <w:t>全市</w:t>
            </w:r>
            <w:r>
              <w:rPr>
                <w:rFonts w:hint="eastAsia" w:ascii="Times New Roman" w:hAnsi="Times New Roman" w:eastAsia="宋体" w:cs="Times New Roman"/>
                <w:color w:val="auto"/>
                <w:kern w:val="2"/>
                <w:sz w:val="24"/>
                <w:szCs w:val="21"/>
                <w:lang w:val="en-US" w:eastAsia="zh-CN" w:bidi="ar-SA"/>
              </w:rPr>
              <w:t>地表水和</w:t>
            </w:r>
            <w:r>
              <w:rPr>
                <w:rFonts w:hint="default" w:ascii="Times New Roman" w:hAnsi="Times New Roman" w:eastAsia="宋体" w:cs="Times New Roman"/>
                <w:color w:val="auto"/>
                <w:kern w:val="2"/>
                <w:sz w:val="24"/>
                <w:szCs w:val="21"/>
                <w:lang w:val="en-US" w:eastAsia="zh-CN" w:bidi="ar-SA"/>
              </w:rPr>
              <w:t>环境空气质量的</w:t>
            </w:r>
            <w:r>
              <w:rPr>
                <w:rFonts w:hint="eastAsia" w:ascii="Times New Roman" w:hAnsi="Times New Roman" w:eastAsia="宋体" w:cs="Times New Roman"/>
                <w:color w:val="auto"/>
                <w:kern w:val="2"/>
                <w:sz w:val="24"/>
                <w:szCs w:val="21"/>
                <w:lang w:val="en-US" w:eastAsia="zh-CN" w:bidi="ar-SA"/>
              </w:rPr>
              <w:t>排名情况的</w:t>
            </w:r>
            <w:r>
              <w:rPr>
                <w:rFonts w:hint="default" w:ascii="Times New Roman" w:hAnsi="Times New Roman" w:eastAsia="宋体" w:cs="Times New Roman"/>
                <w:color w:val="auto"/>
                <w:kern w:val="2"/>
                <w:sz w:val="24"/>
                <w:szCs w:val="21"/>
                <w:lang w:val="en-US" w:eastAsia="zh-CN" w:bidi="ar-SA"/>
              </w:rPr>
              <w:t>通报（遂污防攻坚办〔202</w:t>
            </w:r>
            <w:r>
              <w:rPr>
                <w:rFonts w:hint="eastAsia" w:ascii="Times New Roman" w:hAnsi="Times New Roman" w:eastAsia="宋体" w:cs="Times New Roman"/>
                <w:color w:val="auto"/>
                <w:kern w:val="2"/>
                <w:sz w:val="24"/>
                <w:szCs w:val="21"/>
                <w:lang w:val="en-US" w:eastAsia="zh-CN" w:bidi="ar-SA"/>
              </w:rPr>
              <w:t>4</w:t>
            </w:r>
            <w:r>
              <w:rPr>
                <w:rFonts w:hint="default" w:ascii="Times New Roman" w:hAnsi="Times New Roman" w:eastAsia="宋体"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4</w:t>
            </w:r>
            <w:r>
              <w:rPr>
                <w:rFonts w:hint="default" w:ascii="Times New Roman" w:hAnsi="Times New Roman" w:eastAsia="宋体" w:cs="Times New Roman"/>
                <w:color w:val="auto"/>
                <w:kern w:val="2"/>
                <w:sz w:val="24"/>
                <w:szCs w:val="21"/>
                <w:lang w:val="en-US" w:eastAsia="zh-CN" w:bidi="ar-SA"/>
              </w:rPr>
              <w:t>号）中公布的数据。</w:t>
            </w:r>
          </w:p>
          <w:p>
            <w:pPr>
              <w:keepNext/>
              <w:keepLines/>
              <w:adjustRightInd w:val="0"/>
              <w:snapToGrid w:val="0"/>
              <w:spacing w:line="420" w:lineRule="auto"/>
              <w:ind w:firstLine="475" w:firstLineChars="198"/>
              <w:jc w:val="both"/>
              <w:textAlignment w:val="baseline"/>
              <w:outlineLvl w:val="1"/>
              <w:rPr>
                <w:rFonts w:hint="eastAsia" w:ascii="Times New Roman" w:hAnsi="Times New Roman" w:eastAsia="宋体" w:cs="Times New Roman"/>
                <w:bCs/>
                <w:color w:val="auto"/>
                <w:sz w:val="24"/>
                <w:szCs w:val="22"/>
                <w:lang w:eastAsia="zh-CN"/>
              </w:rPr>
            </w:pPr>
            <w:r>
              <w:rPr>
                <w:rFonts w:hint="eastAsia" w:ascii="Times New Roman" w:hAnsi="Times New Roman" w:eastAsia="宋体" w:cs="Times New Roman"/>
                <w:bCs/>
                <w:color w:val="auto"/>
                <w:sz w:val="24"/>
                <w:szCs w:val="22"/>
              </w:rPr>
              <w:t>2023年遂宁市</w:t>
            </w:r>
            <w:r>
              <w:rPr>
                <w:rFonts w:hint="eastAsia" w:ascii="Times New Roman" w:hAnsi="Times New Roman" w:eastAsia="宋体" w:cs="Times New Roman"/>
                <w:bCs/>
                <w:color w:val="auto"/>
                <w:sz w:val="24"/>
                <w:szCs w:val="22"/>
                <w:lang w:val="en-US" w:eastAsia="zh-CN"/>
              </w:rPr>
              <w:t>城区</w:t>
            </w:r>
            <w:r>
              <w:rPr>
                <w:rFonts w:ascii="Times New Roman" w:hAnsi="Times New Roman" w:eastAsia="宋体" w:cs="Times New Roman"/>
                <w:bCs/>
                <w:color w:val="auto"/>
                <w:sz w:val="24"/>
                <w:szCs w:val="22"/>
              </w:rPr>
              <w:t>环境空气质量详见下表</w:t>
            </w:r>
            <w:r>
              <w:rPr>
                <w:rFonts w:hint="eastAsia" w:ascii="Times New Roman" w:hAnsi="Times New Roman" w:eastAsia="宋体" w:cs="Times New Roman"/>
                <w:bCs/>
                <w:color w:val="auto"/>
                <w:sz w:val="24"/>
                <w:szCs w:val="22"/>
                <w:lang w:eastAsia="zh-CN"/>
              </w:rPr>
              <w:t>：</w:t>
            </w:r>
          </w:p>
          <w:tbl>
            <w:tblPr>
              <w:tblStyle w:val="24"/>
              <w:tblW w:w="7920" w:type="dxa"/>
              <w:jc w:val="center"/>
              <w:tblLayout w:type="fixed"/>
              <w:tblCellMar>
                <w:top w:w="15" w:type="dxa"/>
                <w:left w:w="15" w:type="dxa"/>
                <w:bottom w:w="15" w:type="dxa"/>
                <w:right w:w="15" w:type="dxa"/>
              </w:tblCellMar>
            </w:tblPr>
            <w:tblGrid>
              <w:gridCol w:w="7920"/>
            </w:tblGrid>
            <w:tr>
              <w:tblPrEx>
                <w:tblCellMar>
                  <w:top w:w="15" w:type="dxa"/>
                  <w:left w:w="15" w:type="dxa"/>
                  <w:bottom w:w="15" w:type="dxa"/>
                  <w:right w:w="15" w:type="dxa"/>
                </w:tblCellMar>
              </w:tblPrEx>
              <w:trPr>
                <w:trHeight w:val="4114" w:hRule="atLeast"/>
                <w:jc w:val="center"/>
              </w:trPr>
              <w:tc>
                <w:tcPr>
                  <w:tcW w:w="7920" w:type="dxa"/>
                  <w:noWrap w:val="0"/>
                  <w:vAlign w:val="center"/>
                </w:tcPr>
                <w:p>
                  <w:pPr>
                    <w:widowControl/>
                    <w:jc w:val="center"/>
                    <w:textAlignment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表3-1遂宁市202</w:t>
                  </w:r>
                  <w:r>
                    <w:rPr>
                      <w:rFonts w:hint="eastAsia" w:ascii="Times New Roman" w:hAnsi="Times New Roman" w:eastAsia="宋体" w:cs="Times New Roman"/>
                      <w:b/>
                      <w:bCs/>
                      <w:color w:val="auto"/>
                      <w:sz w:val="24"/>
                      <w:lang w:val="en-US" w:eastAsia="zh-CN"/>
                    </w:rPr>
                    <w:t>3</w:t>
                  </w:r>
                  <w:r>
                    <w:rPr>
                      <w:rFonts w:ascii="Times New Roman" w:hAnsi="Times New Roman" w:eastAsia="宋体" w:cs="Times New Roman"/>
                      <w:b/>
                      <w:bCs/>
                      <w:color w:val="auto"/>
                      <w:sz w:val="24"/>
                    </w:rPr>
                    <w:t>年遂宁市空气质量情况</w:t>
                  </w:r>
                </w:p>
                <w:tbl>
                  <w:tblPr>
                    <w:tblStyle w:val="24"/>
                    <w:tblW w:w="77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327"/>
                    <w:gridCol w:w="685"/>
                    <w:gridCol w:w="473"/>
                    <w:gridCol w:w="728"/>
                    <w:gridCol w:w="922"/>
                    <w:gridCol w:w="930"/>
                    <w:gridCol w:w="870"/>
                    <w:gridCol w:w="930"/>
                    <w:gridCol w:w="960"/>
                    <w:gridCol w:w="9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411" w:hRule="atLeast"/>
                      <w:jc w:val="center"/>
                    </w:trPr>
                    <w:tc>
                      <w:tcPr>
                        <w:tcW w:w="327" w:type="dxa"/>
                        <w:noWrap w:val="0"/>
                        <w:vAlign w:val="center"/>
                      </w:tcPr>
                      <w:p>
                        <w:pPr>
                          <w:widowControl/>
                          <w:jc w:val="center"/>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排名</w:t>
                        </w:r>
                      </w:p>
                    </w:tc>
                    <w:tc>
                      <w:tcPr>
                        <w:tcW w:w="685"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县（市、区）市直园区</w:t>
                        </w:r>
                      </w:p>
                    </w:tc>
                    <w:tc>
                      <w:tcPr>
                        <w:tcW w:w="473" w:type="dxa"/>
                        <w:noWrap w:val="0"/>
                        <w:vAlign w:val="center"/>
                      </w:tcPr>
                      <w:p>
                        <w:pPr>
                          <w:widowControl/>
                          <w:jc w:val="center"/>
                          <w:textAlignment w:val="center"/>
                          <w:rPr>
                            <w:rFonts w:hint="default"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综合指数</w:t>
                        </w:r>
                      </w:p>
                    </w:tc>
                    <w:tc>
                      <w:tcPr>
                        <w:tcW w:w="728" w:type="dxa"/>
                        <w:noWrap w:val="0"/>
                        <w:vAlign w:val="center"/>
                      </w:tcPr>
                      <w:p>
                        <w:pPr>
                          <w:widowControl/>
                          <w:jc w:val="center"/>
                          <w:textAlignment w:val="center"/>
                          <w:rPr>
                            <w:rFonts w:hint="default"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优良天数</w:t>
                        </w:r>
                      </w:p>
                    </w:tc>
                    <w:tc>
                      <w:tcPr>
                        <w:tcW w:w="922"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PM</w:t>
                        </w:r>
                        <w:r>
                          <w:rPr>
                            <w:rFonts w:hint="eastAsia" w:ascii="Times New Roman" w:hAnsi="Times New Roman" w:eastAsia="宋体" w:cs="Times New Roman"/>
                            <w:b/>
                            <w:color w:val="auto"/>
                            <w:kern w:val="0"/>
                            <w:sz w:val="21"/>
                            <w:szCs w:val="21"/>
                            <w:vertAlign w:val="subscript"/>
                            <w:lang w:val="en-US" w:eastAsia="zh-CN"/>
                          </w:rPr>
                          <w:t>2.5</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p>
                      <w:p>
                        <w:pPr>
                          <w:widowControl/>
                          <w:jc w:val="center"/>
                          <w:textAlignment w:val="center"/>
                          <w:rPr>
                            <w:rFonts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eastAsia="宋体" w:cs="Times New Roman"/>
                            <w:b/>
                            <w:color w:val="auto"/>
                            <w:kern w:val="0"/>
                            <w:sz w:val="18"/>
                            <w:szCs w:val="18"/>
                            <w:lang w:eastAsia="zh-CN"/>
                          </w:rPr>
                          <w:t>）</w:t>
                        </w:r>
                      </w:p>
                    </w:tc>
                    <w:tc>
                      <w:tcPr>
                        <w:tcW w:w="930"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PM</w:t>
                        </w:r>
                        <w:r>
                          <w:rPr>
                            <w:rFonts w:hint="eastAsia" w:ascii="Times New Roman" w:hAnsi="Times New Roman" w:eastAsia="宋体" w:cs="Times New Roman"/>
                            <w:b/>
                            <w:color w:val="auto"/>
                            <w:kern w:val="0"/>
                            <w:sz w:val="21"/>
                            <w:szCs w:val="21"/>
                            <w:vertAlign w:val="subscript"/>
                            <w:lang w:val="en-US" w:eastAsia="zh-CN"/>
                          </w:rPr>
                          <w:t>10</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p>
                      <w:p>
                        <w:pPr>
                          <w:widowControl/>
                          <w:jc w:val="center"/>
                          <w:textAlignment w:val="center"/>
                          <w:rPr>
                            <w:rFonts w:hint="eastAsia"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kern w:val="0"/>
                            <w:sz w:val="18"/>
                            <w:szCs w:val="18"/>
                            <w:lang w:eastAsia="zh-CN"/>
                          </w:rPr>
                          <w:t>（</w:t>
                        </w:r>
                        <w:r>
                          <w:rPr>
                            <w:rFonts w:hint="default" w:ascii="Times New Roman" w:hAnsi="Times New Roman" w:eastAsia="宋体" w:cs="Times New Roman"/>
                            <w:b/>
                            <w:color w:val="auto"/>
                            <w:kern w:val="0"/>
                            <w:sz w:val="18"/>
                            <w:szCs w:val="18"/>
                            <w:lang w:val="en-US" w:eastAsia="zh-CN"/>
                          </w:rPr>
                          <w:t>μg/m</w:t>
                        </w:r>
                        <w:r>
                          <w:rPr>
                            <w:rFonts w:hint="default" w:ascii="Times New Roman" w:hAnsi="Times New Roman" w:eastAsia="宋体" w:cs="Times New Roman"/>
                            <w:b/>
                            <w:color w:val="auto"/>
                            <w:kern w:val="0"/>
                            <w:sz w:val="18"/>
                            <w:szCs w:val="18"/>
                            <w:vertAlign w:val="superscript"/>
                            <w:lang w:val="en-US" w:eastAsia="zh-CN"/>
                          </w:rPr>
                          <w:t>3</w:t>
                        </w:r>
                        <w:r>
                          <w:rPr>
                            <w:rFonts w:hint="default" w:ascii="Times New Roman" w:hAnsi="Times New Roman" w:eastAsia="宋体" w:cs="Times New Roman"/>
                            <w:b/>
                            <w:color w:val="auto"/>
                            <w:kern w:val="0"/>
                            <w:sz w:val="18"/>
                            <w:szCs w:val="18"/>
                            <w:lang w:eastAsia="zh-CN"/>
                          </w:rPr>
                          <w:t>）</w:t>
                        </w:r>
                      </w:p>
                    </w:tc>
                    <w:tc>
                      <w:tcPr>
                        <w:tcW w:w="870"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SO</w:t>
                        </w:r>
                        <w:r>
                          <w:rPr>
                            <w:rFonts w:hint="eastAsia" w:ascii="Times New Roman" w:hAnsi="Times New Roman" w:eastAsia="宋体" w:cs="Times New Roman"/>
                            <w:b/>
                            <w:color w:val="auto"/>
                            <w:kern w:val="0"/>
                            <w:sz w:val="21"/>
                            <w:szCs w:val="21"/>
                            <w:vertAlign w:val="subscript"/>
                            <w:lang w:val="en-US" w:eastAsia="zh-CN"/>
                          </w:rPr>
                          <w:t>2</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p>
                      <w:p>
                        <w:pPr>
                          <w:widowControl/>
                          <w:snapToGrid w:val="0"/>
                          <w:spacing w:before="60" w:after="160" w:line="259" w:lineRule="auto"/>
                          <w:ind w:right="113"/>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val="en-US" w:eastAsia="zh-CN" w:bidi="ar-SA"/>
                          </w:rPr>
                          <w:t>（μg/m</w:t>
                        </w:r>
                        <w:r>
                          <w:rPr>
                            <w:rFonts w:hint="default" w:ascii="Times New Roman" w:hAnsi="Times New Roman" w:eastAsia="宋体" w:cs="Times New Roman"/>
                            <w:b/>
                            <w:color w:val="auto"/>
                            <w:kern w:val="0"/>
                            <w:sz w:val="18"/>
                            <w:szCs w:val="18"/>
                            <w:vertAlign w:val="superscript"/>
                            <w:lang w:val="en-US" w:eastAsia="zh-CN" w:bidi="ar-SA"/>
                          </w:rPr>
                          <w:t>3</w:t>
                        </w:r>
                        <w:r>
                          <w:rPr>
                            <w:rFonts w:hint="default" w:ascii="Times New Roman" w:hAnsi="Times New Roman" w:eastAsia="宋体" w:cs="Times New Roman"/>
                            <w:b/>
                            <w:color w:val="auto"/>
                            <w:kern w:val="0"/>
                            <w:sz w:val="18"/>
                            <w:szCs w:val="18"/>
                            <w:lang w:val="en-US" w:eastAsia="zh-CN" w:bidi="ar-SA"/>
                          </w:rPr>
                          <w:t>）</w:t>
                        </w:r>
                      </w:p>
                    </w:tc>
                    <w:tc>
                      <w:tcPr>
                        <w:tcW w:w="930"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NO</w:t>
                        </w:r>
                        <w:r>
                          <w:rPr>
                            <w:rFonts w:hint="eastAsia" w:ascii="Times New Roman" w:hAnsi="Times New Roman" w:eastAsia="宋体" w:cs="Times New Roman"/>
                            <w:b/>
                            <w:color w:val="auto"/>
                            <w:kern w:val="0"/>
                            <w:sz w:val="21"/>
                            <w:szCs w:val="21"/>
                            <w:vertAlign w:val="subscript"/>
                            <w:lang w:val="en-US" w:eastAsia="zh-CN"/>
                          </w:rPr>
                          <w:t>2</w:t>
                        </w:r>
                        <w:r>
                          <w:rPr>
                            <w:rFonts w:hint="eastAsia" w:ascii="Times New Roman" w:hAnsi="Times New Roman" w:eastAsia="宋体" w:cs="Times New Roman"/>
                            <w:b/>
                            <w:color w:val="auto"/>
                            <w:kern w:val="0"/>
                            <w:sz w:val="21"/>
                            <w:szCs w:val="21"/>
                            <w:lang w:val="en-US" w:eastAsia="zh-CN"/>
                          </w:rPr>
                          <w:t>平</w:t>
                        </w:r>
                        <w:r>
                          <w:rPr>
                            <w:rFonts w:hint="eastAsia" w:ascii="Times New Roman" w:hAnsi="Times New Roman" w:eastAsia="宋体" w:cs="Times New Roman"/>
                            <w:b/>
                            <w:color w:val="auto"/>
                            <w:kern w:val="0"/>
                            <w:sz w:val="21"/>
                            <w:szCs w:val="21"/>
                          </w:rPr>
                          <w:t>均浓</w:t>
                        </w:r>
                        <w:r>
                          <w:rPr>
                            <w:rFonts w:hint="eastAsia" w:ascii="Times New Roman" w:hAnsi="Times New Roman" w:eastAsia="宋体" w:cs="Times New Roman"/>
                            <w:b/>
                            <w:color w:val="auto"/>
                            <w:kern w:val="0"/>
                            <w:sz w:val="21"/>
                            <w:szCs w:val="21"/>
                            <w:lang w:eastAsia="zh-CN"/>
                          </w:rPr>
                          <w:t>度</w:t>
                        </w:r>
                      </w:p>
                      <w:p>
                        <w:pPr>
                          <w:widowControl/>
                          <w:snapToGrid w:val="0"/>
                          <w:spacing w:before="60" w:after="160" w:line="259" w:lineRule="auto"/>
                          <w:ind w:right="113"/>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val="en-US" w:eastAsia="zh-CN" w:bidi="ar-SA"/>
                          </w:rPr>
                          <w:t>（μg/m</w:t>
                        </w:r>
                        <w:r>
                          <w:rPr>
                            <w:rFonts w:hint="default" w:ascii="Times New Roman" w:hAnsi="Times New Roman" w:eastAsia="宋体" w:cs="Times New Roman"/>
                            <w:b/>
                            <w:color w:val="auto"/>
                            <w:kern w:val="0"/>
                            <w:sz w:val="18"/>
                            <w:szCs w:val="18"/>
                            <w:vertAlign w:val="superscript"/>
                            <w:lang w:val="en-US" w:eastAsia="zh-CN" w:bidi="ar-SA"/>
                          </w:rPr>
                          <w:t>3</w:t>
                        </w:r>
                        <w:r>
                          <w:rPr>
                            <w:rFonts w:hint="default" w:ascii="Times New Roman" w:hAnsi="Times New Roman" w:eastAsia="宋体" w:cs="Times New Roman"/>
                            <w:b/>
                            <w:color w:val="auto"/>
                            <w:kern w:val="0"/>
                            <w:sz w:val="18"/>
                            <w:szCs w:val="18"/>
                            <w:lang w:val="en-US" w:eastAsia="zh-CN" w:bidi="ar-SA"/>
                          </w:rPr>
                          <w:t>）</w:t>
                        </w:r>
                      </w:p>
                    </w:tc>
                    <w:tc>
                      <w:tcPr>
                        <w:tcW w:w="960"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lang w:val="en-US" w:eastAsia="zh-CN"/>
                          </w:rPr>
                          <w:t>O</w:t>
                        </w:r>
                        <w:r>
                          <w:rPr>
                            <w:rFonts w:hint="eastAsia" w:ascii="Times New Roman" w:hAnsi="Times New Roman" w:eastAsia="宋体" w:cs="Times New Roman"/>
                            <w:b/>
                            <w:color w:val="auto"/>
                            <w:kern w:val="0"/>
                            <w:sz w:val="21"/>
                            <w:szCs w:val="21"/>
                            <w:vertAlign w:val="subscript"/>
                            <w:lang w:val="en-US" w:eastAsia="zh-CN"/>
                          </w:rPr>
                          <w:t>3</w:t>
                        </w:r>
                        <w:r>
                          <w:rPr>
                            <w:rFonts w:hint="eastAsia" w:ascii="Times New Roman" w:hAnsi="Times New Roman" w:eastAsia="宋体" w:cs="Times New Roman"/>
                            <w:b/>
                            <w:color w:val="auto"/>
                            <w:kern w:val="0"/>
                            <w:sz w:val="21"/>
                            <w:szCs w:val="21"/>
                            <w:vertAlign w:val="baseline"/>
                            <w:lang w:val="en-US" w:eastAsia="zh-CN"/>
                          </w:rPr>
                          <w:t>-8h90百分位</w:t>
                        </w:r>
                      </w:p>
                      <w:p>
                        <w:pPr>
                          <w:widowControl/>
                          <w:snapToGrid w:val="0"/>
                          <w:spacing w:before="60" w:after="160" w:line="259" w:lineRule="auto"/>
                          <w:ind w:right="113"/>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val="en-US" w:eastAsia="zh-CN" w:bidi="ar-SA"/>
                          </w:rPr>
                          <w:t>（μg/m</w:t>
                        </w:r>
                        <w:r>
                          <w:rPr>
                            <w:rFonts w:hint="default" w:ascii="Times New Roman" w:hAnsi="Times New Roman" w:eastAsia="宋体" w:cs="Times New Roman"/>
                            <w:b/>
                            <w:color w:val="auto"/>
                            <w:kern w:val="0"/>
                            <w:sz w:val="18"/>
                            <w:szCs w:val="18"/>
                            <w:vertAlign w:val="superscript"/>
                            <w:lang w:val="en-US" w:eastAsia="zh-CN" w:bidi="ar-SA"/>
                          </w:rPr>
                          <w:t>3</w:t>
                        </w:r>
                        <w:r>
                          <w:rPr>
                            <w:rFonts w:hint="default" w:ascii="Times New Roman" w:hAnsi="Times New Roman" w:eastAsia="宋体" w:cs="Times New Roman"/>
                            <w:b/>
                            <w:color w:val="auto"/>
                            <w:kern w:val="0"/>
                            <w:sz w:val="18"/>
                            <w:szCs w:val="18"/>
                            <w:lang w:val="en-US" w:eastAsia="zh-CN" w:bidi="ar-SA"/>
                          </w:rPr>
                          <w:t>）</w:t>
                        </w:r>
                      </w:p>
                    </w:tc>
                    <w:tc>
                      <w:tcPr>
                        <w:tcW w:w="972" w:type="dxa"/>
                        <w:noWrap w:val="0"/>
                        <w:vAlign w:val="center"/>
                      </w:tcPr>
                      <w:p>
                        <w:pPr>
                          <w:widowControl/>
                          <w:jc w:val="center"/>
                          <w:textAlignment w:val="center"/>
                          <w:rPr>
                            <w:rFonts w:hint="eastAsia" w:ascii="Times New Roman" w:hAnsi="Times New Roman" w:eastAsia="宋体" w:cs="Times New Roman"/>
                            <w:b/>
                            <w:color w:val="auto"/>
                            <w:kern w:val="0"/>
                            <w:sz w:val="21"/>
                            <w:szCs w:val="21"/>
                            <w:lang w:eastAsia="zh-CN"/>
                          </w:rPr>
                        </w:pPr>
                        <w:r>
                          <w:rPr>
                            <w:rFonts w:hint="eastAsia" w:ascii="Times New Roman" w:hAnsi="Times New Roman" w:eastAsia="宋体" w:cs="Times New Roman"/>
                            <w:b/>
                            <w:color w:val="auto"/>
                            <w:kern w:val="0"/>
                            <w:sz w:val="21"/>
                            <w:szCs w:val="21"/>
                            <w:vertAlign w:val="baseline"/>
                            <w:lang w:val="en-US" w:eastAsia="zh-CN"/>
                          </w:rPr>
                          <w:t>CO-8h90百分位</w:t>
                        </w:r>
                      </w:p>
                      <w:p>
                        <w:pPr>
                          <w:widowControl/>
                          <w:snapToGrid w:val="0"/>
                          <w:spacing w:before="60" w:after="160" w:line="259" w:lineRule="auto"/>
                          <w:ind w:right="113"/>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kern w:val="0"/>
                            <w:sz w:val="18"/>
                            <w:szCs w:val="18"/>
                            <w:lang w:val="en-US" w:eastAsia="zh-CN" w:bidi="ar-SA"/>
                          </w:rPr>
                          <w:t>（</w:t>
                        </w:r>
                        <w:r>
                          <w:rPr>
                            <w:rFonts w:hint="eastAsia" w:ascii="Times New Roman" w:hAnsi="Times New Roman" w:eastAsia="宋体" w:cs="Times New Roman"/>
                            <w:b/>
                            <w:color w:val="auto"/>
                            <w:kern w:val="0"/>
                            <w:sz w:val="18"/>
                            <w:szCs w:val="18"/>
                            <w:lang w:val="en-US" w:eastAsia="zh-CN" w:bidi="ar-SA"/>
                          </w:rPr>
                          <w:t>m</w:t>
                        </w:r>
                        <w:r>
                          <w:rPr>
                            <w:rFonts w:hint="default" w:ascii="Times New Roman" w:hAnsi="Times New Roman" w:eastAsia="宋体" w:cs="Times New Roman"/>
                            <w:b/>
                            <w:color w:val="auto"/>
                            <w:kern w:val="0"/>
                            <w:sz w:val="18"/>
                            <w:szCs w:val="18"/>
                            <w:lang w:val="en-US" w:eastAsia="zh-CN" w:bidi="ar-SA"/>
                          </w:rPr>
                          <w:t>g/m</w:t>
                        </w:r>
                        <w:r>
                          <w:rPr>
                            <w:rFonts w:hint="default" w:ascii="Times New Roman" w:hAnsi="Times New Roman" w:eastAsia="宋体" w:cs="Times New Roman"/>
                            <w:b/>
                            <w:color w:val="auto"/>
                            <w:kern w:val="0"/>
                            <w:sz w:val="18"/>
                            <w:szCs w:val="18"/>
                            <w:vertAlign w:val="superscript"/>
                            <w:lang w:val="en-US" w:eastAsia="zh-CN" w:bidi="ar-SA"/>
                          </w:rPr>
                          <w:t>3</w:t>
                        </w:r>
                        <w:r>
                          <w:rPr>
                            <w:rFonts w:hint="default" w:ascii="Times New Roman" w:hAnsi="Times New Roman" w:eastAsia="宋体" w:cs="Times New Roman"/>
                            <w:b/>
                            <w:color w:val="auto"/>
                            <w:kern w:val="0"/>
                            <w:sz w:val="18"/>
                            <w:szCs w:val="18"/>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36"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685"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安居区</w:t>
                        </w:r>
                      </w:p>
                    </w:tc>
                    <w:tc>
                      <w:tcPr>
                        <w:tcW w:w="473"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2.69</w:t>
                        </w:r>
                      </w:p>
                    </w:tc>
                    <w:tc>
                      <w:tcPr>
                        <w:tcW w:w="728"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94.8%</w:t>
                        </w:r>
                      </w:p>
                    </w:tc>
                    <w:tc>
                      <w:tcPr>
                        <w:tcW w:w="922"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19.8</w:t>
                        </w:r>
                      </w:p>
                    </w:tc>
                    <w:tc>
                      <w:tcPr>
                        <w:tcW w:w="9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42.0</w:t>
                        </w:r>
                      </w:p>
                    </w:tc>
                    <w:tc>
                      <w:tcPr>
                        <w:tcW w:w="87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930" w:type="dxa"/>
                        <w:noWrap w:val="0"/>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9.8</w:t>
                        </w:r>
                      </w:p>
                    </w:tc>
                    <w:tc>
                      <w:tcPr>
                        <w:tcW w:w="96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144.6</w:t>
                        </w:r>
                      </w:p>
                    </w:tc>
                    <w:tc>
                      <w:tcPr>
                        <w:tcW w:w="972"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大英县</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2.86</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91.5%</w:t>
                        </w:r>
                      </w:p>
                    </w:tc>
                    <w:tc>
                      <w:tcPr>
                        <w:tcW w:w="922"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25.8</w:t>
                        </w:r>
                      </w:p>
                    </w:tc>
                    <w:tc>
                      <w:tcPr>
                        <w:tcW w:w="93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39.8</w:t>
                        </w:r>
                      </w:p>
                    </w:tc>
                    <w:tc>
                      <w:tcPr>
                        <w:tcW w:w="870"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13.4</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141.2</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685" w:type="dxa"/>
                        <w:noWrap w:val="0"/>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蓬溪县</w:t>
                        </w:r>
                      </w:p>
                    </w:tc>
                    <w:tc>
                      <w:tcPr>
                        <w:tcW w:w="473" w:type="dxa"/>
                        <w:noWrap w:val="0"/>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2.99</w:t>
                        </w:r>
                      </w:p>
                    </w:tc>
                    <w:tc>
                      <w:tcPr>
                        <w:tcW w:w="728" w:type="dxa"/>
                        <w:noWrap w:val="0"/>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93.7%</w:t>
                        </w:r>
                      </w:p>
                    </w:tc>
                    <w:tc>
                      <w:tcPr>
                        <w:tcW w:w="922"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30.9</w:t>
                        </w:r>
                      </w:p>
                    </w:tc>
                    <w:tc>
                      <w:tcPr>
                        <w:tcW w:w="930"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56.6</w:t>
                        </w:r>
                      </w:p>
                    </w:tc>
                    <w:tc>
                      <w:tcPr>
                        <w:tcW w:w="870" w:type="dxa"/>
                        <w:noWrap w:val="0"/>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3.5</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5.5</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134.2</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射洪市</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3.13</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93.2%</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30.3</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51.7</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6.5</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15.0</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128.0</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船山区</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3.30</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90.1%</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29.5</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50.3</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5.6</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19.7</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145.7</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市河东新区</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3.36</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88.2%</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29.8</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49.2</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7.2</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20.9</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145.0</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327" w:type="dxa"/>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68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遂宁经开区</w:t>
                        </w:r>
                      </w:p>
                    </w:tc>
                    <w:tc>
                      <w:tcPr>
                        <w:tcW w:w="473"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3.55</w:t>
                        </w:r>
                      </w:p>
                    </w:tc>
                    <w:tc>
                      <w:tcPr>
                        <w:tcW w:w="728"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87.4%</w:t>
                        </w:r>
                      </w:p>
                    </w:tc>
                    <w:tc>
                      <w:tcPr>
                        <w:tcW w:w="92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30.0</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53.0</w:t>
                        </w:r>
                      </w:p>
                    </w:tc>
                    <w:tc>
                      <w:tcPr>
                        <w:tcW w:w="87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p>
                    </w:tc>
                    <w:tc>
                      <w:tcPr>
                        <w:tcW w:w="93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26.4</w:t>
                        </w:r>
                      </w:p>
                    </w:tc>
                    <w:tc>
                      <w:tcPr>
                        <w:tcW w:w="960"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143.6</w:t>
                        </w:r>
                      </w:p>
                    </w:tc>
                    <w:tc>
                      <w:tcPr>
                        <w:tcW w:w="972"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p>
                    </w:tc>
                  </w:tr>
                </w:tbl>
                <w:p>
                  <w:pPr>
                    <w:keepNext/>
                    <w:widowControl w:val="0"/>
                    <w:overflowPunct w:val="0"/>
                    <w:snapToGrid w:val="0"/>
                    <w:spacing w:before="120" w:after="160" w:line="240" w:lineRule="auto"/>
                    <w:ind w:left="178" w:leftChars="85" w:firstLine="0" w:firstLineChars="0"/>
                    <w:jc w:val="both"/>
                    <w:outlineLvl w:val="0"/>
                    <w:rPr>
                      <w:rFonts w:ascii="Times New Roman" w:hAnsi="Times New Roman" w:eastAsia="黑体" w:cs="Times New Roman"/>
                      <w:b/>
                      <w:bCs/>
                      <w:color w:val="auto"/>
                      <w:kern w:val="44"/>
                      <w:sz w:val="30"/>
                      <w:szCs w:val="30"/>
                      <w:lang w:val="en-US" w:eastAsia="zh-CN" w:bidi="ar-SA"/>
                    </w:rPr>
                  </w:pPr>
                </w:p>
              </w:tc>
            </w:tr>
          </w:tbl>
          <w:p>
            <w:pPr>
              <w:widowControl w:val="0"/>
              <w:adjustRightInd w:val="0"/>
              <w:snapToGrid w:val="0"/>
              <w:spacing w:line="420" w:lineRule="auto"/>
              <w:ind w:firstLine="480" w:firstLineChars="200"/>
              <w:jc w:val="both"/>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综上</w:t>
            </w:r>
            <w:r>
              <w:rPr>
                <w:rFonts w:hint="default" w:ascii="Times New Roman" w:hAnsi="Times New Roman" w:eastAsia="宋体" w:cs="Times New Roman"/>
                <w:color w:val="auto"/>
                <w:kern w:val="2"/>
                <w:sz w:val="24"/>
                <w:szCs w:val="21"/>
                <w:lang w:val="en-US" w:eastAsia="zh-CN" w:bidi="ar-SA"/>
              </w:rPr>
              <w:t>，202</w:t>
            </w:r>
            <w:r>
              <w:rPr>
                <w:rFonts w:hint="eastAsia" w:ascii="Times New Roman" w:hAnsi="Times New Roman" w:eastAsia="宋体" w:cs="Times New Roman"/>
                <w:color w:val="auto"/>
                <w:kern w:val="2"/>
                <w:sz w:val="24"/>
                <w:szCs w:val="21"/>
                <w:lang w:val="en-US" w:eastAsia="zh-CN" w:bidi="ar-SA"/>
              </w:rPr>
              <w:t>3</w:t>
            </w:r>
            <w:r>
              <w:rPr>
                <w:rFonts w:hint="default" w:ascii="Times New Roman" w:hAnsi="Times New Roman" w:eastAsia="宋体" w:cs="Times New Roman"/>
                <w:color w:val="auto"/>
                <w:kern w:val="2"/>
                <w:sz w:val="24"/>
                <w:szCs w:val="21"/>
                <w:lang w:val="en-US" w:eastAsia="zh-CN" w:bidi="ar-SA"/>
              </w:rPr>
              <w:t>年遂宁</w:t>
            </w:r>
            <w:r>
              <w:rPr>
                <w:rFonts w:hint="eastAsia" w:ascii="Times New Roman" w:hAnsi="Times New Roman" w:eastAsia="宋体" w:cs="Times New Roman"/>
                <w:color w:val="auto"/>
                <w:kern w:val="2"/>
                <w:sz w:val="24"/>
                <w:szCs w:val="21"/>
                <w:lang w:val="en-US" w:eastAsia="zh-CN" w:bidi="ar-SA"/>
              </w:rPr>
              <w:t>市</w:t>
            </w:r>
            <w:r>
              <w:rPr>
                <w:rFonts w:hint="default" w:ascii="Times New Roman" w:hAnsi="Times New Roman" w:eastAsia="宋体" w:cs="Times New Roman"/>
                <w:color w:val="auto"/>
                <w:kern w:val="2"/>
                <w:sz w:val="24"/>
                <w:szCs w:val="21"/>
                <w:lang w:val="en-US" w:eastAsia="zh-CN" w:bidi="ar-SA"/>
              </w:rPr>
              <w:t>全域环境空气质量符合《环境空气质量标准》（GB3095-2012）二级标准</w:t>
            </w:r>
            <w:r>
              <w:rPr>
                <w:rFonts w:hint="eastAsia" w:ascii="Times New Roman" w:hAnsi="Times New Roman" w:eastAsia="宋体" w:cs="Times New Roman"/>
                <w:color w:val="auto"/>
                <w:kern w:val="2"/>
                <w:sz w:val="24"/>
                <w:szCs w:val="21"/>
                <w:lang w:val="en-US" w:eastAsia="zh-CN" w:bidi="ar-SA"/>
              </w:rPr>
              <w:t>，项目区属于达标区域。</w:t>
            </w:r>
          </w:p>
          <w:p>
            <w:pPr>
              <w:widowControl w:val="0"/>
              <w:adjustRightInd w:val="0"/>
              <w:snapToGrid w:val="0"/>
              <w:spacing w:line="420" w:lineRule="auto"/>
              <w:ind w:firstLine="482" w:firstLineChars="200"/>
              <w:jc w:val="both"/>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b/>
                <w:color w:val="auto"/>
                <w:kern w:val="2"/>
                <w:sz w:val="24"/>
                <w:szCs w:val="22"/>
                <w:lang w:val="en-US" w:eastAsia="zh-CN" w:bidi="ar-SA"/>
              </w:rPr>
              <w:t>2、特征因子监测数据</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本项目特征污染因子为</w:t>
            </w:r>
            <w:r>
              <w:rPr>
                <w:rFonts w:hint="eastAsia" w:ascii="Times New Roman" w:hAnsi="Times New Roman" w:eastAsia="宋体" w:cs="Times New Roman"/>
                <w:color w:val="auto"/>
                <w:kern w:val="2"/>
                <w:sz w:val="24"/>
                <w:szCs w:val="21"/>
                <w:highlight w:val="none"/>
                <w:lang w:val="en-US" w:eastAsia="zh-CN" w:bidi="ar-SA"/>
              </w:rPr>
              <w:t>TSP</w:t>
            </w:r>
            <w:r>
              <w:rPr>
                <w:rFonts w:hint="default" w:ascii="Times New Roman" w:hAnsi="Times New Roman" w:eastAsia="宋体"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非甲烷总烃。为了解本项目区域TSP</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VOCs（以</w:t>
            </w:r>
            <w:r>
              <w:rPr>
                <w:rFonts w:hint="eastAsia" w:ascii="Times New Roman" w:hAnsi="Times New Roman" w:eastAsia="宋体" w:cs="Times New Roman"/>
                <w:color w:val="auto"/>
                <w:kern w:val="2"/>
                <w:sz w:val="24"/>
                <w:szCs w:val="21"/>
                <w:highlight w:val="none"/>
                <w:lang w:val="en-US" w:eastAsia="zh-CN" w:bidi="ar-SA"/>
              </w:rPr>
              <w:t>非甲烷总烃计</w:t>
            </w:r>
            <w:r>
              <w:rPr>
                <w:rFonts w:hint="eastAsia"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环境质量现状，本次环评引用《鸿贵新材料防火材料再生利用迁建式技改项目》开展的例行监测数据，数据点位位于本项目</w:t>
            </w:r>
            <w:r>
              <w:rPr>
                <w:rFonts w:hint="eastAsia" w:cs="Times New Roman"/>
                <w:color w:val="auto"/>
                <w:kern w:val="2"/>
                <w:sz w:val="24"/>
                <w:szCs w:val="21"/>
                <w:highlight w:val="none"/>
                <w:lang w:val="en-US" w:eastAsia="zh-CN" w:bidi="ar-SA"/>
              </w:rPr>
              <w:t>西北2.4</w:t>
            </w:r>
            <w:r>
              <w:rPr>
                <w:rFonts w:hint="eastAsia" w:ascii="Times New Roman" w:hAnsi="Times New Roman" w:eastAsia="宋体" w:cs="Times New Roman"/>
                <w:color w:val="auto"/>
                <w:kern w:val="2"/>
                <w:sz w:val="24"/>
                <w:szCs w:val="21"/>
                <w:highlight w:val="none"/>
                <w:lang w:val="en-US" w:eastAsia="zh-CN" w:bidi="ar-SA"/>
              </w:rPr>
              <w:t>km处，数据属于3年内，5km范围内的数据，该数据时限和范围满足指南要求，属于可引用的有效监测数据。监测时间为2024年4月22日——2024年4月25日，监测数据如下</w:t>
            </w:r>
            <w:r>
              <w:rPr>
                <w:rFonts w:hint="default" w:ascii="Times New Roman" w:hAnsi="Times New Roman" w:eastAsia="宋体" w:cs="Times New Roman"/>
                <w:color w:val="auto"/>
                <w:kern w:val="2"/>
                <w:sz w:val="24"/>
                <w:szCs w:val="21"/>
                <w:highlight w:val="none"/>
                <w:lang w:val="en-US" w:eastAsia="zh-CN" w:bidi="ar-SA"/>
              </w:rPr>
              <w:t>。</w:t>
            </w:r>
          </w:p>
          <w:p>
            <w:pPr>
              <w:widowControl w:val="0"/>
              <w:bidi w:val="0"/>
              <w:spacing w:line="240" w:lineRule="auto"/>
              <w:ind w:firstLine="0"/>
              <w:jc w:val="center"/>
              <w:rPr>
                <w:rFonts w:hint="default" w:ascii="宋体" w:hAnsi="宋体" w:eastAsia="宋体" w:cs="Times New Roman"/>
                <w:b/>
                <w:bCs/>
                <w:color w:val="auto"/>
                <w:kern w:val="2"/>
                <w:sz w:val="24"/>
                <w:szCs w:val="24"/>
                <w:highlight w:val="none"/>
                <w:lang w:val="en-US" w:eastAsia="zh-CN" w:bidi="ar-SA"/>
              </w:rPr>
            </w:pPr>
            <w:r>
              <w:rPr>
                <w:rFonts w:hint="default" w:ascii="宋体" w:hAnsi="宋体" w:eastAsia="宋体" w:cs="Times New Roman"/>
                <w:b/>
                <w:bCs/>
                <w:color w:val="auto"/>
                <w:kern w:val="2"/>
                <w:sz w:val="24"/>
                <w:szCs w:val="24"/>
                <w:highlight w:val="none"/>
                <w:lang w:val="en-US" w:eastAsia="zh-CN" w:bidi="ar-SA"/>
              </w:rPr>
              <w:t xml:space="preserve">表3-2 </w:t>
            </w:r>
            <w:r>
              <w:rPr>
                <w:rFonts w:hint="default" w:ascii="Times New Roman" w:hAnsi="Times New Roman" w:eastAsia="宋体" w:cs="Times New Roman"/>
                <w:b/>
                <w:bCs/>
                <w:color w:val="auto"/>
                <w:kern w:val="2"/>
                <w:sz w:val="24"/>
                <w:szCs w:val="24"/>
                <w:highlight w:val="none"/>
                <w:lang w:val="en-US" w:eastAsia="zh-CN" w:bidi="ar-SA"/>
              </w:rPr>
              <w:t>TSP、非甲烷总烃</w:t>
            </w:r>
            <w:r>
              <w:rPr>
                <w:rFonts w:hint="default" w:ascii="宋体" w:hAnsi="宋体" w:eastAsia="宋体" w:cs="Times New Roman"/>
                <w:b/>
                <w:bCs/>
                <w:color w:val="auto"/>
                <w:kern w:val="2"/>
                <w:sz w:val="24"/>
                <w:szCs w:val="24"/>
                <w:highlight w:val="none"/>
                <w:lang w:val="en-US" w:eastAsia="zh-CN" w:bidi="ar-SA"/>
              </w:rPr>
              <w:t>监测值</w:t>
            </w:r>
          </w:p>
          <w:tbl>
            <w:tblPr>
              <w:tblStyle w:val="2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12"/>
              <w:gridCol w:w="875"/>
              <w:gridCol w:w="876"/>
              <w:gridCol w:w="584"/>
              <w:gridCol w:w="291"/>
              <w:gridCol w:w="875"/>
              <w:gridCol w:w="2"/>
              <w:gridCol w:w="873"/>
              <w:gridCol w:w="294"/>
              <w:gridCol w:w="580"/>
              <w:gridCol w:w="3"/>
              <w:gridCol w:w="871"/>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3" w:hRule="atLeast"/>
                <w:jc w:val="center"/>
              </w:trPr>
              <w:tc>
                <w:tcPr>
                  <w:tcW w:w="5000" w:type="pct"/>
                  <w:gridSpan w:val="1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7" w:hRule="atLeast"/>
                <w:jc w:val="center"/>
              </w:trPr>
              <w:tc>
                <w:tcPr>
                  <w:tcW w:w="5000" w:type="pct"/>
                  <w:gridSpan w:val="13"/>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 </w:t>
                  </w:r>
                  <w:r>
                    <w:rPr>
                      <w:rFonts w:hint="default" w:ascii="Times New Roman" w:hAnsi="Times New Roman" w:eastAsia="宋体" w:cs="Times New Roman"/>
                      <w:bCs/>
                      <w:color w:val="auto"/>
                      <w:sz w:val="21"/>
                      <w:szCs w:val="21"/>
                      <w:lang w:val="en-US" w:eastAsia="zh-CN"/>
                    </w:rPr>
                    <w:t>项目厂界下风向50m处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检测项目</w:t>
                  </w:r>
                </w:p>
              </w:tc>
              <w:tc>
                <w:tcPr>
                  <w:tcW w:w="2130" w:type="pct"/>
                  <w:gridSpan w:val="6"/>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2024.4.23</w:t>
                  </w:r>
                </w:p>
              </w:tc>
              <w:tc>
                <w:tcPr>
                  <w:tcW w:w="2131" w:type="pct"/>
                  <w:gridSpan w:val="6"/>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75" w:hRule="atLeast"/>
                <w:jc w:val="center"/>
              </w:trPr>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非甲烷总烃</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532"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w:t>
                  </w:r>
                </w:p>
              </w:tc>
              <w:tc>
                <w:tcPr>
                  <w:tcW w:w="532"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0.52</w:t>
                  </w:r>
                </w:p>
              </w:tc>
              <w:tc>
                <w:tcPr>
                  <w:tcW w:w="532" w:type="pct"/>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0.61</w:t>
                  </w:r>
                </w:p>
              </w:tc>
              <w:tc>
                <w:tcPr>
                  <w:tcW w:w="532"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0.57</w:t>
                  </w:r>
                </w:p>
              </w:tc>
              <w:tc>
                <w:tcPr>
                  <w:tcW w:w="532" w:type="pct"/>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0.64</w:t>
                  </w:r>
                </w:p>
              </w:tc>
              <w:tc>
                <w:tcPr>
                  <w:tcW w:w="532" w:type="pct"/>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0.64</w:t>
                  </w:r>
                </w:p>
              </w:tc>
              <w:tc>
                <w:tcPr>
                  <w:tcW w:w="532" w:type="pct"/>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0.59</w:t>
                  </w:r>
                </w:p>
              </w:tc>
              <w:tc>
                <w:tcPr>
                  <w:tcW w:w="536"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4" w:hRule="atLeast"/>
                <w:jc w:val="center"/>
              </w:trPr>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检测项目</w:t>
                  </w:r>
                </w:p>
              </w:tc>
              <w:tc>
                <w:tcPr>
                  <w:tcW w:w="4262" w:type="pct"/>
                  <w:gridSpan w:val="1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5" w:hRule="atLeast"/>
                <w:jc w:val="center"/>
              </w:trPr>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非甲烷总烃</w:t>
                  </w:r>
                </w:p>
              </w:tc>
              <w:tc>
                <w:tcPr>
                  <w:tcW w:w="1065" w:type="pct"/>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0.61</w:t>
                  </w:r>
                </w:p>
              </w:tc>
              <w:tc>
                <w:tcPr>
                  <w:tcW w:w="1065" w:type="pct"/>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0.56</w:t>
                  </w:r>
                </w:p>
              </w:tc>
              <w:tc>
                <w:tcPr>
                  <w:tcW w:w="1065" w:type="pct"/>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0.53</w:t>
                  </w:r>
                </w:p>
              </w:tc>
              <w:tc>
                <w:tcPr>
                  <w:tcW w:w="1067" w:type="pct"/>
                  <w:gridSpan w:val="2"/>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6" w:hRule="atLeast"/>
                <w:jc w:val="center"/>
              </w:trPr>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检测项目</w:t>
                  </w:r>
                </w:p>
              </w:tc>
              <w:tc>
                <w:tcPr>
                  <w:tcW w:w="1420" w:type="pct"/>
                  <w:gridSpan w:val="3"/>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2024.4.22 11:10</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-2024.4.23 11:10</w:t>
                  </w:r>
                </w:p>
              </w:tc>
              <w:tc>
                <w:tcPr>
                  <w:tcW w:w="1420" w:type="pct"/>
                  <w:gridSpan w:val="5"/>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2024.4.23 11:13</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-2024.4.24 11:13</w:t>
                  </w:r>
                </w:p>
              </w:tc>
              <w:tc>
                <w:tcPr>
                  <w:tcW w:w="1421" w:type="pct"/>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2024.4.24 11:15</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-2024.4.25 11:15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7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总悬浮颗粒物(µg/m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w:t>
                  </w:r>
                </w:p>
              </w:tc>
              <w:tc>
                <w:tcPr>
                  <w:tcW w:w="1420" w:type="pct"/>
                  <w:gridSpan w:val="3"/>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w:t>
                  </w:r>
                </w:p>
              </w:tc>
              <w:tc>
                <w:tcPr>
                  <w:tcW w:w="1420" w:type="pct"/>
                  <w:gridSpan w:val="5"/>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1421" w:type="pct"/>
                  <w:gridSpan w:val="4"/>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131</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根据监测结果，项目区域TSP满足《环境空气质量标准》（GB3095-2012）的限值要求，因此项目区域大气环境质量良好。</w:t>
            </w:r>
            <w:r>
              <w:rPr>
                <w:rFonts w:hint="eastAsia" w:ascii="Times New Roman" w:hAnsi="Times New Roman" w:eastAsia="宋体" w:cs="Times New Roman"/>
                <w:color w:val="auto"/>
                <w:kern w:val="2"/>
                <w:sz w:val="24"/>
                <w:szCs w:val="21"/>
                <w:highlight w:val="none"/>
                <w:lang w:val="en-US" w:eastAsia="zh-CN" w:bidi="ar-SA"/>
              </w:rPr>
              <w:t>非甲烷总烃无环境质量标准，不予评价。</w:t>
            </w:r>
          </w:p>
          <w:p>
            <w:pPr>
              <w:widowControl w:val="0"/>
              <w:adjustRightInd w:val="0"/>
              <w:snapToGrid w:val="0"/>
              <w:spacing w:line="420" w:lineRule="auto"/>
              <w:ind w:firstLine="0" w:firstLineChars="0"/>
              <w:jc w:val="left"/>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 xml:space="preserve"> 二、地表水环境</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本项目处于</w:t>
            </w:r>
            <w:r>
              <w:rPr>
                <w:rFonts w:hint="eastAsia" w:ascii="Times New Roman" w:hAnsi="Times New Roman" w:eastAsia="宋体" w:cs="Times New Roman"/>
                <w:color w:val="auto"/>
                <w:kern w:val="2"/>
                <w:sz w:val="24"/>
                <w:szCs w:val="21"/>
                <w:lang w:val="en-US" w:eastAsia="zh-CN" w:bidi="ar-SA"/>
              </w:rPr>
              <w:t>蓬溪县上游工业园</w:t>
            </w:r>
            <w:r>
              <w:rPr>
                <w:rFonts w:hint="default" w:ascii="Times New Roman" w:hAnsi="Times New Roman" w:eastAsia="宋体" w:cs="Times New Roman"/>
                <w:color w:val="auto"/>
                <w:kern w:val="2"/>
                <w:sz w:val="24"/>
                <w:szCs w:val="21"/>
                <w:lang w:val="en-US" w:eastAsia="zh-CN" w:bidi="ar-SA"/>
              </w:rPr>
              <w:t>，项目附近地表水体为</w:t>
            </w:r>
            <w:r>
              <w:rPr>
                <w:rFonts w:hint="eastAsia" w:ascii="Times New Roman" w:hAnsi="Times New Roman" w:eastAsia="宋体" w:cs="Times New Roman"/>
                <w:color w:val="auto"/>
                <w:kern w:val="2"/>
                <w:sz w:val="24"/>
                <w:szCs w:val="21"/>
                <w:lang w:val="en-US" w:eastAsia="zh-CN" w:bidi="ar-SA"/>
              </w:rPr>
              <w:t>芝溪河</w:t>
            </w:r>
            <w:r>
              <w:rPr>
                <w:rFonts w:hint="default" w:ascii="Times New Roman" w:hAnsi="Times New Roman" w:eastAsia="宋体" w:cs="Times New Roman"/>
                <w:color w:val="auto"/>
                <w:kern w:val="2"/>
                <w:sz w:val="24"/>
                <w:szCs w:val="21"/>
                <w:lang w:val="en-US" w:eastAsia="zh-CN" w:bidi="ar-SA"/>
              </w:rPr>
              <w:t>。</w:t>
            </w:r>
          </w:p>
          <w:p>
            <w:pPr>
              <w:widowControl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本次环境地表水质量现状评价引用遂宁市污染防治攻坚战领导小组办公室2024年1月15日发布的关于2023年12月全市地表水和环境空气质量排名的通报（遂污防攻坚办〔2024〕4号）中公布的数据。根据“2023年1——12月全市地表水水质指数累计排名表”，芝溪河水质评价详情如下：</w:t>
            </w:r>
          </w:p>
          <w:p>
            <w:pPr>
              <w:widowControl w:val="0"/>
              <w:spacing w:line="360" w:lineRule="auto"/>
              <w:ind w:firstLine="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 xml:space="preserve">表3-3  </w:t>
            </w:r>
            <w:r>
              <w:rPr>
                <w:rFonts w:hint="eastAsia" w:ascii="宋体" w:hAnsi="宋体" w:eastAsia="宋体" w:cs="Times New Roman"/>
                <w:b/>
                <w:bCs/>
                <w:color w:val="auto"/>
                <w:kern w:val="2"/>
                <w:sz w:val="24"/>
                <w:szCs w:val="24"/>
                <w:lang w:val="en-US" w:eastAsia="zh-CN" w:bidi="ar-SA"/>
              </w:rPr>
              <w:t>2023年芝溪河水质指数</w:t>
            </w:r>
          </w:p>
          <w:tbl>
            <w:tblPr>
              <w:tblStyle w:val="24"/>
              <w:tblW w:w="843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645"/>
              <w:gridCol w:w="660"/>
              <w:gridCol w:w="645"/>
              <w:gridCol w:w="660"/>
              <w:gridCol w:w="630"/>
              <w:gridCol w:w="660"/>
              <w:gridCol w:w="660"/>
              <w:gridCol w:w="690"/>
              <w:gridCol w:w="780"/>
              <w:gridCol w:w="765"/>
              <w:gridCol w:w="960"/>
              <w:gridCol w:w="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567" w:hRule="atLeast"/>
                <w:jc w:val="center"/>
              </w:trPr>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断面所在辖区</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河流名称</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断面名称</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断面级别</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eastAsia" w:cs="Times New Roman"/>
                      <w:b/>
                      <w:bCs/>
                      <w:i w:val="0"/>
                      <w:iCs w:val="0"/>
                      <w:color w:val="auto"/>
                      <w:kern w:val="0"/>
                      <w:sz w:val="21"/>
                      <w:szCs w:val="21"/>
                      <w:u w:val="none"/>
                      <w:lang w:val="en-US" w:eastAsia="zh-CN" w:bidi="ar"/>
                    </w:rPr>
                    <w:t>水质</w:t>
                  </w:r>
                  <w:r>
                    <w:rPr>
                      <w:rFonts w:hint="default" w:ascii="Times New Roman" w:hAnsi="Times New Roman" w:eastAsia="宋体" w:cs="Times New Roman"/>
                      <w:b/>
                      <w:bCs/>
                      <w:i w:val="0"/>
                      <w:iCs w:val="0"/>
                      <w:color w:val="auto"/>
                      <w:kern w:val="0"/>
                      <w:sz w:val="21"/>
                      <w:szCs w:val="21"/>
                      <w:u w:val="none"/>
                      <w:lang w:val="en-US" w:eastAsia="zh-CN" w:bidi="ar"/>
                    </w:rPr>
                    <w:t>级别</w:t>
                  </w:r>
                </w:p>
              </w:tc>
              <w:tc>
                <w:tcPr>
                  <w:tcW w:w="63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ph</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溶解氧</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高锰酸盐指数</w:t>
                  </w:r>
                </w:p>
              </w:tc>
              <w:tc>
                <w:tcPr>
                  <w:tcW w:w="69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化学需氧量</w:t>
                  </w:r>
                </w:p>
              </w:tc>
              <w:tc>
                <w:tcPr>
                  <w:tcW w:w="7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氨氮</w:t>
                  </w:r>
                </w:p>
              </w:tc>
              <w:tc>
                <w:tcPr>
                  <w:tcW w:w="76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总磷</w:t>
                  </w:r>
                </w:p>
              </w:tc>
              <w:tc>
                <w:tcPr>
                  <w:tcW w:w="9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断面水质指数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After w:val="1"/>
                <w:wAfter w:w="15" w:type="dxa"/>
                <w:trHeight w:val="567" w:hRule="atLeast"/>
                <w:jc w:val="center"/>
              </w:trPr>
              <w:tc>
                <w:tcPr>
                  <w:tcW w:w="66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eastAsia="zh-CN"/>
                    </w:rPr>
                    <w:t>蓬溪县</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芝溪河</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涪江坝</w:t>
                  </w:r>
                </w:p>
              </w:tc>
              <w:tc>
                <w:tcPr>
                  <w:tcW w:w="64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省控（长江经济带）</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fldChar w:fldCharType="begin"/>
                  </w:r>
                  <w:r>
                    <w:rPr>
                      <w:rFonts w:hint="default" w:ascii="Times New Roman" w:hAnsi="Times New Roman" w:eastAsia="宋体" w:cs="Times New Roman"/>
                      <w:i w:val="0"/>
                      <w:iCs w:val="0"/>
                      <w:color w:val="auto"/>
                      <w:kern w:val="0"/>
                      <w:sz w:val="21"/>
                      <w:szCs w:val="21"/>
                      <w:u w:val="none"/>
                      <w:lang w:val="en-US" w:eastAsia="zh-CN" w:bidi="ar"/>
                    </w:rPr>
                    <w:instrText xml:space="preserve"> = 3 \* ROMAN \* MERGEFORMAT </w:instrText>
                  </w:r>
                  <w:r>
                    <w:rPr>
                      <w:rFonts w:hint="default" w:ascii="Times New Roman" w:hAnsi="Times New Roman" w:eastAsia="宋体" w:cs="Times New Roman"/>
                      <w:i w:val="0"/>
                      <w:iCs w:val="0"/>
                      <w:color w:val="auto"/>
                      <w:kern w:val="0"/>
                      <w:sz w:val="21"/>
                      <w:szCs w:val="21"/>
                      <w:u w:val="none"/>
                      <w:lang w:val="en-US" w:eastAsia="zh-CN" w:bidi="ar"/>
                    </w:rPr>
                    <w:fldChar w:fldCharType="separate"/>
                  </w:r>
                  <w:r>
                    <w:rPr>
                      <w:rFonts w:hint="default" w:ascii="Times New Roman" w:hAnsi="Times New Roman" w:eastAsia="宋体" w:cs="Times New Roman"/>
                    </w:rPr>
                    <w:t>III</w:t>
                  </w:r>
                  <w:r>
                    <w:rPr>
                      <w:rFonts w:hint="default" w:ascii="Times New Roman" w:hAnsi="Times New Roman" w:eastAsia="宋体" w:cs="Times New Roman"/>
                      <w:i w:val="0"/>
                      <w:iCs w:val="0"/>
                      <w:color w:val="auto"/>
                      <w:kern w:val="0"/>
                      <w:sz w:val="21"/>
                      <w:szCs w:val="21"/>
                      <w:u w:val="none"/>
                      <w:lang w:val="en-US" w:eastAsia="zh-CN" w:bidi="ar"/>
                    </w:rPr>
                    <w:fldChar w:fldCharType="end"/>
                  </w:r>
                </w:p>
              </w:tc>
              <w:tc>
                <w:tcPr>
                  <w:tcW w:w="63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8.2</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8.23</w:t>
                  </w:r>
                </w:p>
              </w:tc>
              <w:tc>
                <w:tcPr>
                  <w:tcW w:w="6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4.6</w:t>
                  </w:r>
                </w:p>
              </w:tc>
              <w:tc>
                <w:tcPr>
                  <w:tcW w:w="69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7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0.163</w:t>
                  </w:r>
                </w:p>
              </w:tc>
              <w:tc>
                <w:tcPr>
                  <w:tcW w:w="76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96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3.6968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8431" w:type="dxa"/>
                  <w:gridSpan w:val="13"/>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18"/>
                      <w:szCs w:val="18"/>
                      <w:u w:val="none"/>
                      <w:lang w:val="en-US" w:eastAsia="zh-CN" w:bidi="ar"/>
                    </w:rPr>
                  </w:pPr>
                </w:p>
              </w:tc>
            </w:tr>
          </w:tbl>
          <w:p>
            <w:pPr>
              <w:widowControl w:val="0"/>
              <w:adjustRightInd w:val="0"/>
              <w:snapToGrid w:val="0"/>
              <w:spacing w:line="240" w:lineRule="auto"/>
              <w:ind w:firstLine="480" w:firstLineChars="200"/>
              <w:jc w:val="both"/>
              <w:rPr>
                <w:rFonts w:hint="eastAsia" w:ascii="宋体" w:hAnsi="宋体" w:eastAsia="宋体" w:cs="宋体"/>
                <w:color w:val="auto"/>
                <w:kern w:val="2"/>
                <w:sz w:val="24"/>
                <w:szCs w:val="21"/>
                <w:lang w:val="en-US" w:eastAsia="zh-CN" w:bidi="ar-SA"/>
              </w:rPr>
            </w:pPr>
          </w:p>
          <w:p>
            <w:pPr>
              <w:widowControl w:val="0"/>
              <w:bidi w:val="0"/>
              <w:adjustRightInd w:val="0"/>
              <w:snapToGrid w:val="0"/>
              <w:spacing w:line="420" w:lineRule="auto"/>
              <w:ind w:firstLine="480" w:firstLineChars="200"/>
              <w:jc w:val="left"/>
              <w:rPr>
                <w:rFonts w:hint="eastAsia" w:ascii="Times New Roman" w:hAnsi="Times New Roman" w:eastAsia="宋体" w:cs="Times New Roman"/>
                <w:color w:val="auto"/>
                <w:kern w:val="2"/>
                <w:sz w:val="24"/>
                <w:szCs w:val="21"/>
                <w:lang w:val="en-US" w:eastAsia="zh-CN" w:bidi="ar-SA"/>
              </w:rPr>
            </w:pPr>
            <w:r>
              <w:rPr>
                <w:rFonts w:hint="eastAsia" w:ascii="宋体" w:hAnsi="宋体" w:eastAsia="宋体" w:cs="宋体"/>
                <w:color w:val="auto"/>
                <w:kern w:val="2"/>
                <w:sz w:val="24"/>
                <w:szCs w:val="21"/>
                <w:lang w:val="en-US" w:eastAsia="zh-CN" w:bidi="ar-SA"/>
              </w:rPr>
              <w:t>综上，本项目附近地表水域（</w:t>
            </w:r>
            <w:r>
              <w:rPr>
                <w:rFonts w:hint="eastAsia" w:ascii="Times New Roman" w:hAnsi="Times New Roman" w:eastAsia="宋体" w:cs="Times New Roman"/>
                <w:color w:val="auto"/>
                <w:kern w:val="2"/>
                <w:sz w:val="24"/>
                <w:szCs w:val="21"/>
                <w:lang w:val="en-US" w:eastAsia="zh-CN" w:bidi="ar-SA"/>
              </w:rPr>
              <w:t>芝溪河</w:t>
            </w:r>
            <w:r>
              <w:rPr>
                <w:rFonts w:hint="eastAsia" w:ascii="宋体" w:hAnsi="宋体" w:eastAsia="宋体" w:cs="宋体"/>
                <w:color w:val="auto"/>
                <w:kern w:val="2"/>
                <w:sz w:val="24"/>
                <w:szCs w:val="21"/>
                <w:lang w:val="en-US" w:eastAsia="zh-CN" w:bidi="ar-SA"/>
              </w:rPr>
              <w:t>）水质情况良好，</w:t>
            </w:r>
            <w:r>
              <w:rPr>
                <w:rFonts w:hint="default" w:ascii="Times New Roman" w:hAnsi="Times New Roman" w:eastAsia="宋体" w:cs="Times New Roman"/>
                <w:color w:val="auto"/>
                <w:kern w:val="2"/>
                <w:sz w:val="24"/>
                <w:szCs w:val="21"/>
                <w:lang w:val="en-US" w:eastAsia="zh-CN" w:bidi="ar-SA"/>
              </w:rPr>
              <w:t>满足《地表水环境质量标准》（GB3838-2002）III类水质要求。</w:t>
            </w:r>
            <w:r>
              <w:rPr>
                <w:rFonts w:hint="eastAsia" w:ascii="Times New Roman" w:hAnsi="Times New Roman" w:eastAsia="宋体" w:cs="Times New Roman"/>
                <w:color w:val="auto"/>
                <w:kern w:val="2"/>
                <w:sz w:val="24"/>
                <w:szCs w:val="21"/>
                <w:lang w:val="en-US" w:eastAsia="zh-CN" w:bidi="ar-SA"/>
              </w:rPr>
              <w:t>本项目生产废水和生活污水经厂区总排放口排入市政污水管网送蓬溪经开区污水处理厂处理，项目的运营不会加重区域水环境污染。</w:t>
            </w:r>
          </w:p>
          <w:p>
            <w:pPr>
              <w:widowControl w:val="0"/>
              <w:spacing w:line="360" w:lineRule="auto"/>
              <w:ind w:left="0" w:firstLine="0" w:firstLineChars="0"/>
              <w:jc w:val="both"/>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三、声环境质量现状监测与评价</w:t>
            </w:r>
          </w:p>
          <w:p>
            <w:pPr>
              <w:widowControl w:val="0"/>
              <w:bidi w:val="0"/>
              <w:adjustRightInd w:val="0"/>
              <w:snapToGrid w:val="0"/>
              <w:spacing w:line="420" w:lineRule="auto"/>
              <w:ind w:firstLine="480" w:firstLineChars="200"/>
              <w:jc w:val="left"/>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本项目周边50m范围内均为工业企业，无声环境保护目标，根据《建设项目环境影响报告表编制技术指南（污染影响类）》（试行），本项目无需开展声环境质量现状监测。</w:t>
            </w:r>
          </w:p>
          <w:p>
            <w:pPr>
              <w:widowControl w:val="0"/>
              <w:spacing w:line="360" w:lineRule="auto"/>
              <w:ind w:left="0"/>
              <w:jc w:val="both"/>
              <w:rPr>
                <w:rFonts w:ascii="Times New Roman" w:hAnsi="Times New Roman" w:eastAsia="宋体" w:cs="Times New Roman"/>
                <w:b/>
                <w:bCs/>
                <w:color w:val="auto"/>
                <w:kern w:val="2"/>
                <w:sz w:val="24"/>
                <w:szCs w:val="21"/>
                <w:lang w:val="en-US" w:eastAsia="zh-CN" w:bidi="ar-SA"/>
              </w:rPr>
            </w:pPr>
            <w:r>
              <w:rPr>
                <w:rFonts w:ascii="Times New Roman" w:hAnsi="Times New Roman" w:eastAsia="宋体" w:cs="Times New Roman"/>
                <w:b/>
                <w:bCs/>
                <w:color w:val="auto"/>
                <w:kern w:val="2"/>
                <w:sz w:val="24"/>
                <w:szCs w:val="21"/>
                <w:lang w:val="en-US" w:eastAsia="zh-CN" w:bidi="ar-SA"/>
              </w:rPr>
              <w:t>四、地下水及土壤环境质量现状</w:t>
            </w:r>
          </w:p>
          <w:p>
            <w:pPr>
              <w:widowControl w:val="0"/>
              <w:adjustRightInd w:val="0"/>
              <w:snapToGrid w:val="0"/>
              <w:spacing w:line="420" w:lineRule="auto"/>
              <w:ind w:firstLine="480" w:firstLineChars="200"/>
              <w:jc w:val="left"/>
              <w:rPr>
                <w:rFonts w:hint="eastAsia"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根据《建设项目环境影响报告表编制技术指南（污染影响类）》（试行）本项目原则上不开展土壤和地下水环境质量现状调查。</w:t>
            </w:r>
          </w:p>
          <w:p>
            <w:pPr>
              <w:widowControl w:val="0"/>
              <w:spacing w:line="360" w:lineRule="auto"/>
              <w:ind w:left="0"/>
              <w:jc w:val="both"/>
              <w:rPr>
                <w:rFonts w:ascii="Times New Roman" w:hAnsi="Times New Roman" w:eastAsia="宋体" w:cs="Times New Roman"/>
                <w:b/>
                <w:bCs/>
                <w:color w:val="auto"/>
                <w:kern w:val="2"/>
                <w:sz w:val="24"/>
                <w:szCs w:val="21"/>
                <w:lang w:val="en-US" w:eastAsia="zh-CN" w:bidi="ar-SA"/>
              </w:rPr>
            </w:pPr>
            <w:r>
              <w:rPr>
                <w:rFonts w:hint="eastAsia" w:ascii="Times New Roman" w:hAnsi="Times New Roman" w:eastAsia="宋体" w:cs="Times New Roman"/>
                <w:b/>
                <w:bCs/>
                <w:color w:val="auto"/>
                <w:kern w:val="2"/>
                <w:sz w:val="24"/>
                <w:szCs w:val="21"/>
                <w:lang w:val="en-US" w:eastAsia="zh-CN" w:bidi="ar-SA"/>
              </w:rPr>
              <w:t>五</w:t>
            </w:r>
            <w:r>
              <w:rPr>
                <w:rFonts w:ascii="Times New Roman" w:hAnsi="Times New Roman" w:eastAsia="宋体" w:cs="Times New Roman"/>
                <w:b/>
                <w:bCs/>
                <w:color w:val="auto"/>
                <w:kern w:val="2"/>
                <w:sz w:val="24"/>
                <w:szCs w:val="21"/>
                <w:lang w:val="en-US" w:eastAsia="zh-CN" w:bidi="ar-SA"/>
              </w:rPr>
              <w:t>、生态环境</w:t>
            </w:r>
          </w:p>
          <w:p>
            <w:pPr>
              <w:pStyle w:val="66"/>
              <w:bidi w:val="0"/>
              <w:rPr>
                <w:kern w:val="0"/>
                <w:szCs w:val="21"/>
              </w:rPr>
            </w:pPr>
            <w:r>
              <w:rPr>
                <w:rFonts w:hint="default"/>
                <w:lang w:val="en-US" w:eastAsia="zh-CN"/>
              </w:rPr>
              <w:t>本项目位于蓬溪县上游工业园</w:t>
            </w:r>
            <w:r>
              <w:rPr>
                <w:rFonts w:hint="eastAsia"/>
                <w:lang w:val="en-US" w:eastAsia="zh-CN"/>
              </w:rPr>
              <w:t>产业聚集区</w:t>
            </w:r>
            <w:r>
              <w:rPr>
                <w:rFonts w:hint="default"/>
                <w:lang w:val="en-US" w:eastAsia="zh-CN"/>
              </w:rPr>
              <w:t>，属于工业园园区入园项目，在既有的厂房内建设，故不开展生态环境质量现状调查。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465" w:type="dxa"/>
            <w:noWrap w:val="0"/>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525" w:type="dxa"/>
            <w:noWrap w:val="0"/>
            <w:vAlign w:val="top"/>
          </w:tcPr>
          <w:p>
            <w:pPr>
              <w:pStyle w:val="66"/>
              <w:numPr>
                <w:ilvl w:val="0"/>
                <w:numId w:val="2"/>
              </w:numPr>
              <w:ind w:firstLine="482"/>
              <w:rPr>
                <w:rFonts w:hint="default" w:ascii="Times New Roman" w:hAnsi="Times New Roman" w:cs="Times New Roman"/>
                <w:b/>
                <w:bCs/>
              </w:rPr>
            </w:pPr>
            <w:r>
              <w:rPr>
                <w:rFonts w:hint="default" w:ascii="Times New Roman" w:hAnsi="Times New Roman" w:cs="Times New Roman"/>
                <w:b/>
                <w:bCs/>
              </w:rPr>
              <w:t>外环境关系</w:t>
            </w:r>
          </w:p>
          <w:p>
            <w:pPr>
              <w:pStyle w:val="66"/>
              <w:bidi w:val="0"/>
              <w:rPr>
                <w:rFonts w:hint="default" w:ascii="宋体" w:hAnsi="宋体" w:eastAsia="宋体" w:cs="宋体"/>
                <w:color w:val="auto"/>
                <w:lang w:val="en-US" w:eastAsia="zh-CN"/>
              </w:rPr>
            </w:pPr>
            <w:r>
              <w:rPr>
                <w:rFonts w:hint="default" w:ascii="Times New Roman" w:hAnsi="Times New Roman" w:cs="Times New Roman"/>
                <w:color w:val="auto"/>
                <w:lang w:val="en-US" w:eastAsia="zh-CN"/>
              </w:rPr>
              <w:t>本项目位于</w:t>
            </w:r>
            <w:r>
              <w:rPr>
                <w:rFonts w:hint="eastAsia" w:ascii="Times New Roman" w:hAnsi="Times New Roman" w:cs="Times New Roman"/>
                <w:color w:val="auto"/>
                <w:lang w:val="en-US" w:eastAsia="zh-CN"/>
              </w:rPr>
              <w:t>蓬溪县上游工业园</w:t>
            </w:r>
            <w:r>
              <w:rPr>
                <w:rFonts w:hint="default" w:ascii="Times New Roman" w:hAnsi="Times New Roman" w:cs="Times New Roman"/>
                <w:color w:val="auto"/>
                <w:lang w:val="en-US" w:eastAsia="zh-CN"/>
              </w:rPr>
              <w:t>，租赁遂宁耀荣塑料科技有限公司的既有厂房建设。项目东</w:t>
            </w:r>
            <w:r>
              <w:rPr>
                <w:rFonts w:hint="eastAsia" w:ascii="Times New Roman" w:hAnsi="Times New Roman" w:cs="Times New Roman"/>
                <w:color w:val="auto"/>
                <w:lang w:val="en-US" w:eastAsia="zh-CN"/>
              </w:rPr>
              <w:t>南</w:t>
            </w:r>
            <w:r>
              <w:rPr>
                <w:rFonts w:hint="default" w:ascii="Times New Roman" w:hAnsi="Times New Roman" w:cs="Times New Roman"/>
                <w:color w:val="auto"/>
                <w:lang w:val="en-US" w:eastAsia="zh-CN"/>
              </w:rPr>
              <w:t>侧为</w:t>
            </w:r>
            <w:r>
              <w:rPr>
                <w:rFonts w:hint="eastAsia" w:ascii="Times New Roman" w:hAnsi="Times New Roman" w:cs="Times New Roman"/>
                <w:color w:val="auto"/>
                <w:lang w:val="en-US" w:eastAsia="zh-CN"/>
              </w:rPr>
              <w:t>堂兴木业在用厂房</w:t>
            </w:r>
            <w:r>
              <w:rPr>
                <w:rFonts w:hint="default" w:ascii="Times New Roman" w:hAnsi="Times New Roman" w:cs="Times New Roman"/>
                <w:color w:val="auto"/>
                <w:lang w:val="en-US" w:eastAsia="zh-CN"/>
              </w:rPr>
              <w:t>，北侧紧邻</w:t>
            </w:r>
            <w:r>
              <w:rPr>
                <w:rFonts w:hint="eastAsia" w:ascii="Times New Roman" w:hAnsi="Times New Roman" w:cs="Times New Roman"/>
                <w:color w:val="auto"/>
                <w:lang w:val="en-US" w:eastAsia="zh-CN"/>
              </w:rPr>
              <w:t>德才路</w:t>
            </w:r>
            <w:r>
              <w:rPr>
                <w:rFonts w:hint="default" w:ascii="Times New Roman" w:hAnsi="Times New Roman" w:cs="Times New Roman"/>
                <w:color w:val="auto"/>
                <w:lang w:val="en-US" w:eastAsia="zh-CN"/>
              </w:rPr>
              <w:t>，道路北侧为</w:t>
            </w:r>
            <w:r>
              <w:rPr>
                <w:rFonts w:hint="eastAsia" w:ascii="Times New Roman" w:hAnsi="Times New Roman" w:cs="Times New Roman"/>
                <w:color w:val="auto"/>
                <w:lang w:val="en-US" w:eastAsia="zh-CN"/>
              </w:rPr>
              <w:t>中交三航局沥青混凝土拌合站</w:t>
            </w:r>
            <w:r>
              <w:rPr>
                <w:rFonts w:hint="default" w:ascii="Times New Roman" w:hAnsi="Times New Roman" w:cs="Times New Roman"/>
                <w:color w:val="auto"/>
                <w:lang w:val="en-US" w:eastAsia="zh-CN"/>
              </w:rPr>
              <w:t>。项目东侧</w:t>
            </w:r>
            <w:r>
              <w:rPr>
                <w:rFonts w:hint="eastAsia" w:ascii="Times New Roman" w:hAnsi="Times New Roman" w:cs="Times New Roman"/>
                <w:color w:val="auto"/>
                <w:lang w:val="en-US" w:eastAsia="zh-CN"/>
              </w:rPr>
              <w:t>紧邻蓬溪方誉科技有限公司（二厂）</w:t>
            </w:r>
            <w:r>
              <w:rPr>
                <w:rFonts w:hint="default" w:ascii="Times New Roman" w:hAnsi="Times New Roman" w:cs="Times New Roman"/>
                <w:color w:val="auto"/>
                <w:lang w:val="en-US" w:eastAsia="zh-CN"/>
              </w:rPr>
              <w:t>，东</w:t>
            </w:r>
            <w:r>
              <w:rPr>
                <w:rFonts w:hint="eastAsia" w:ascii="Times New Roman" w:hAnsi="Times New Roman" w:cs="Times New Roman"/>
                <w:color w:val="auto"/>
                <w:lang w:val="en-US" w:eastAsia="zh-CN"/>
              </w:rPr>
              <w:t>南紧邻广虎科技</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南侧30m为蓬溪鑫凯盛新材料有限公司</w:t>
            </w:r>
            <w:r>
              <w:rPr>
                <w:rFonts w:hint="default" w:ascii="宋体" w:hAnsi="宋体" w:eastAsia="宋体" w:cs="宋体"/>
                <w:color w:val="auto"/>
                <w:lang w:val="en-US" w:eastAsia="zh-CN"/>
              </w:rPr>
              <w:t>。</w:t>
            </w:r>
            <w:r>
              <w:rPr>
                <w:rFonts w:hint="eastAsia" w:ascii="宋体" w:hAnsi="宋体" w:eastAsia="宋体" w:cs="宋体"/>
                <w:color w:val="auto"/>
                <w:lang w:val="en-US" w:eastAsia="zh-CN"/>
              </w:rPr>
              <w:t>项目</w:t>
            </w:r>
            <w:r>
              <w:rPr>
                <w:rFonts w:hint="eastAsia" w:cs="宋体"/>
                <w:color w:val="auto"/>
                <w:lang w:val="en-US" w:eastAsia="zh-CN"/>
              </w:rPr>
              <w:t>北侧288m</w:t>
            </w:r>
            <w:r>
              <w:rPr>
                <w:rFonts w:hint="eastAsia" w:ascii="宋体" w:hAnsi="宋体" w:eastAsia="宋体" w:cs="宋体"/>
                <w:color w:val="auto"/>
                <w:lang w:val="en-US" w:eastAsia="zh-CN"/>
              </w:rPr>
              <w:t>为建设路安置小区，西偏北237m为德才路安置小区，</w:t>
            </w:r>
            <w:r>
              <w:rPr>
                <w:rFonts w:hint="default" w:ascii="宋体" w:hAnsi="宋体" w:eastAsia="宋体" w:cs="宋体"/>
                <w:color w:val="auto"/>
                <w:lang w:val="en-US" w:eastAsia="zh-CN"/>
              </w:rPr>
              <w:t>本项目具体外环境关系图如附图2所示。</w:t>
            </w:r>
          </w:p>
          <w:p>
            <w:pPr>
              <w:pStyle w:val="66"/>
              <w:ind w:firstLine="482"/>
              <w:rPr>
                <w:rFonts w:hint="default" w:ascii="Times New Roman" w:hAnsi="Times New Roman" w:cs="Times New Roman"/>
                <w:color w:val="auto"/>
              </w:rPr>
            </w:pPr>
            <w:r>
              <w:rPr>
                <w:b/>
                <w:bCs/>
                <w:color w:val="auto"/>
              </w:rPr>
              <w:t>选址合理性</w:t>
            </w:r>
            <w:r>
              <w:rPr>
                <w:rFonts w:hint="eastAsia"/>
                <w:b/>
                <w:bCs/>
                <w:color w:val="auto"/>
                <w:lang w:val="en-US" w:eastAsia="zh-CN"/>
              </w:rPr>
              <w:t>及相容性</w:t>
            </w:r>
            <w:r>
              <w:rPr>
                <w:b/>
                <w:bCs/>
                <w:color w:val="auto"/>
              </w:rPr>
              <w:t>分析：</w:t>
            </w:r>
            <w:r>
              <w:rPr>
                <w:rFonts w:hint="default"/>
                <w:color w:val="auto"/>
              </w:rPr>
              <w:t>根据</w:t>
            </w:r>
            <w:r>
              <w:rPr>
                <w:rFonts w:hint="default" w:ascii="Times New Roman" w:hAnsi="Times New Roman" w:cs="Times New Roman"/>
                <w:color w:val="auto"/>
              </w:rPr>
              <w:t>现场踏勘，本项目在</w:t>
            </w:r>
            <w:r>
              <w:rPr>
                <w:rFonts w:hint="default" w:ascii="Times New Roman" w:hAnsi="Times New Roman" w:cs="Times New Roman"/>
                <w:color w:val="auto"/>
                <w:lang w:eastAsia="zh-CN"/>
              </w:rPr>
              <w:t>既有工业建筑</w:t>
            </w:r>
            <w:r>
              <w:rPr>
                <w:rFonts w:hint="default" w:ascii="Times New Roman" w:hAnsi="Times New Roman" w:cs="Times New Roman"/>
                <w:color w:val="auto"/>
              </w:rPr>
              <w:t>内建设，项目的周边</w:t>
            </w:r>
            <w:r>
              <w:rPr>
                <w:rFonts w:hint="eastAsia" w:ascii="Times New Roman" w:hAnsi="Times New Roman" w:cs="Times New Roman"/>
                <w:color w:val="auto"/>
                <w:lang w:val="en-US" w:eastAsia="zh-CN"/>
              </w:rPr>
              <w:t>2</w:t>
            </w:r>
            <w:r>
              <w:rPr>
                <w:rFonts w:hint="default" w:ascii="Times New Roman" w:hAnsi="Times New Roman" w:cs="Times New Roman"/>
                <w:color w:val="auto"/>
              </w:rPr>
              <w:t>00m范围内</w:t>
            </w:r>
            <w:r>
              <w:rPr>
                <w:rFonts w:hint="eastAsia" w:ascii="Times New Roman" w:hAnsi="Times New Roman" w:cs="Times New Roman"/>
                <w:color w:val="auto"/>
                <w:lang w:val="en-US" w:eastAsia="zh-CN"/>
              </w:rPr>
              <w:t>无居民聚居区</w:t>
            </w:r>
            <w:r>
              <w:rPr>
                <w:rFonts w:hint="eastAsia"/>
                <w:color w:val="auto"/>
                <w:lang w:val="en-US" w:eastAsia="zh-CN"/>
              </w:rPr>
              <w:t>，</w:t>
            </w:r>
            <w:r>
              <w:rPr>
                <w:rFonts w:hint="eastAsia" w:ascii="Times New Roman" w:hAnsi="Times New Roman" w:cs="Times New Roman"/>
                <w:color w:val="auto"/>
                <w:lang w:val="en-US" w:eastAsia="zh-CN"/>
              </w:rPr>
              <w:t>500m范围无</w:t>
            </w:r>
            <w:r>
              <w:rPr>
                <w:rFonts w:hint="default" w:ascii="Times New Roman" w:hAnsi="Times New Roman" w:cs="Times New Roman"/>
                <w:color w:val="auto"/>
              </w:rPr>
              <w:t>学校、医院、行政办公等环境敏感点，也无自然保护区、饮用水源保护区、风景名胜区等生态敏感点及食品、药品制造等限制本项目建设的其</w:t>
            </w:r>
            <w:r>
              <w:rPr>
                <w:color w:val="auto"/>
              </w:rPr>
              <w:t>他项目。因此</w:t>
            </w:r>
            <w:r>
              <w:rPr>
                <w:rFonts w:hint="default"/>
                <w:color w:val="auto"/>
              </w:rPr>
              <w:t>本环评认为项目选址同区域环境具有相容性，选址具有合理性。</w:t>
            </w:r>
          </w:p>
          <w:p>
            <w:pPr>
              <w:pStyle w:val="66"/>
              <w:ind w:firstLine="482"/>
              <w:rPr>
                <w:rFonts w:hint="default" w:ascii="Times New Roman" w:hAnsi="Times New Roman" w:cs="Times New Roman"/>
                <w:b/>
                <w:bCs/>
              </w:rPr>
            </w:pPr>
            <w:r>
              <w:rPr>
                <w:rFonts w:hint="default" w:ascii="Times New Roman" w:hAnsi="Times New Roman" w:cs="Times New Roman"/>
                <w:b/>
                <w:bCs/>
              </w:rPr>
              <w:t>2、环境保护目标</w:t>
            </w:r>
          </w:p>
          <w:p>
            <w:pPr>
              <w:pStyle w:val="66"/>
              <w:ind w:firstLine="480"/>
              <w:rPr>
                <w:rFonts w:hint="default" w:ascii="Times New Roman" w:hAnsi="Times New Roman" w:cs="Times New Roman"/>
              </w:rPr>
            </w:pPr>
            <w:r>
              <w:rPr>
                <w:rFonts w:hint="default" w:ascii="Times New Roman" w:hAnsi="Times New Roman" w:cs="Times New Roman"/>
              </w:rPr>
              <w:t>据现场调查结合《建设项目环境影响报告表编制技术指南（污染影响类）》（试行）确定本项目主要环境保护目标如下：</w:t>
            </w:r>
          </w:p>
          <w:p>
            <w:pPr>
              <w:spacing w:line="420" w:lineRule="auto"/>
              <w:jc w:val="center"/>
              <w:rPr>
                <w:b/>
                <w:bCs/>
                <w:sz w:val="24"/>
              </w:rPr>
            </w:pPr>
            <w:r>
              <w:rPr>
                <w:b/>
                <w:bCs/>
                <w:sz w:val="24"/>
              </w:rPr>
              <w:t>表3-</w:t>
            </w:r>
            <w:r>
              <w:rPr>
                <w:rFonts w:hint="eastAsia"/>
                <w:b/>
                <w:bCs/>
                <w:sz w:val="24"/>
              </w:rPr>
              <w:t>4</w:t>
            </w:r>
            <w:r>
              <w:rPr>
                <w:b/>
                <w:bCs/>
                <w:sz w:val="24"/>
              </w:rPr>
              <w:t xml:space="preserve">  项目主要环境保护目标一览表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74"/>
              <w:gridCol w:w="1162"/>
              <w:gridCol w:w="1636"/>
              <w:gridCol w:w="1991"/>
              <w:gridCol w:w="16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774" w:type="dxa"/>
                  <w:noWrap w:val="0"/>
                  <w:vAlign w:val="center"/>
                </w:tcPr>
                <w:p>
                  <w:pPr>
                    <w:spacing w:line="240" w:lineRule="auto"/>
                    <w:ind w:firstLine="0" w:firstLineChars="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保护类别</w:t>
                  </w:r>
                </w:p>
              </w:tc>
              <w:tc>
                <w:tcPr>
                  <w:tcW w:w="1162" w:type="dxa"/>
                  <w:noWrap w:val="0"/>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保护目标</w:t>
                  </w:r>
                </w:p>
              </w:tc>
              <w:tc>
                <w:tcPr>
                  <w:tcW w:w="1636" w:type="dxa"/>
                  <w:noWrap w:val="0"/>
                  <w:vAlign w:val="center"/>
                </w:tcPr>
                <w:p>
                  <w:pPr>
                    <w:spacing w:line="240" w:lineRule="auto"/>
                    <w:ind w:firstLine="0" w:firstLineChars="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1991" w:type="dxa"/>
                  <w:noWrap w:val="0"/>
                  <w:vAlign w:val="center"/>
                </w:tcPr>
                <w:p>
                  <w:pPr>
                    <w:spacing w:line="24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与</w:t>
                  </w:r>
                  <w:r>
                    <w:rPr>
                      <w:rFonts w:hint="default" w:ascii="Times New Roman" w:hAnsi="Times New Roman" w:cs="Times New Roman"/>
                      <w:b/>
                      <w:color w:val="auto"/>
                      <w:sz w:val="21"/>
                      <w:szCs w:val="21"/>
                    </w:rPr>
                    <w:t>项目</w:t>
                  </w:r>
                  <w:r>
                    <w:rPr>
                      <w:rFonts w:ascii="Times New Roman" w:hAnsi="Times New Roman" w:cs="Times New Roman"/>
                      <w:b/>
                      <w:color w:val="auto"/>
                      <w:sz w:val="21"/>
                      <w:szCs w:val="21"/>
                    </w:rPr>
                    <w:t>关系</w:t>
                  </w:r>
                </w:p>
              </w:tc>
              <w:tc>
                <w:tcPr>
                  <w:tcW w:w="1614" w:type="dxa"/>
                  <w:noWrap w:val="0"/>
                  <w:vAlign w:val="center"/>
                </w:tcPr>
                <w:p>
                  <w:pPr>
                    <w:spacing w:line="240" w:lineRule="auto"/>
                    <w:ind w:firstLine="0" w:firstLineChars="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功能类别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1"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Cs/>
                      <w:color w:val="auto"/>
                      <w:sz w:val="21"/>
                      <w:szCs w:val="21"/>
                    </w:rPr>
                  </w:pPr>
                  <w:r>
                    <w:rPr>
                      <w:rFonts w:hint="default" w:ascii="Times New Roman" w:hAnsi="Times New Roman" w:cs="Times New Roman"/>
                      <w:bCs/>
                      <w:color w:val="auto"/>
                      <w:sz w:val="21"/>
                      <w:szCs w:val="21"/>
                    </w:rPr>
                    <w:t>生态保护目标</w:t>
                  </w:r>
                </w:p>
              </w:tc>
              <w:tc>
                <w:tcPr>
                  <w:tcW w:w="6403" w:type="dxa"/>
                  <w:gridSpan w:val="4"/>
                  <w:noWrap w:val="0"/>
                  <w:vAlign w:val="center"/>
                </w:tcPr>
                <w:p>
                  <w:pPr>
                    <w:spacing w:line="240" w:lineRule="auto"/>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项目为园区内项目，区域内无生态环境保护目标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Cs/>
                      <w:color w:val="auto"/>
                      <w:sz w:val="21"/>
                      <w:szCs w:val="21"/>
                    </w:rPr>
                  </w:pPr>
                  <w:r>
                    <w:rPr>
                      <w:rFonts w:ascii="Times New Roman" w:hAnsi="Times New Roman" w:cs="Times New Roman"/>
                      <w:bCs/>
                      <w:color w:val="auto"/>
                      <w:sz w:val="21"/>
                      <w:szCs w:val="21"/>
                    </w:rPr>
                    <w:t>大气环境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范围500m</w:t>
                  </w:r>
                  <w:r>
                    <w:rPr>
                      <w:rFonts w:hint="default" w:ascii="Times New Roman" w:hAnsi="Times New Roman"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r>
                    <w:rPr>
                      <w:rFonts w:hint="eastAsia" w:ascii="Times New Roman" w:hAnsi="Times New Roman" w:cs="Times New Roman"/>
                      <w:color w:val="auto"/>
                      <w:sz w:val="21"/>
                      <w:szCs w:val="21"/>
                      <w:lang w:eastAsia="zh-CN"/>
                    </w:rPr>
                    <w:t>区</w:t>
                  </w:r>
                </w:p>
              </w:tc>
              <w:tc>
                <w:tcPr>
                  <w:tcW w:w="1636"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olor w:val="auto"/>
                      <w:lang w:val="en-US" w:eastAsia="zh-CN"/>
                    </w:rPr>
                    <w:t>建设路安置小区</w:t>
                  </w:r>
                </w:p>
              </w:tc>
              <w:tc>
                <w:tcPr>
                  <w:tcW w:w="1991" w:type="dxa"/>
                  <w:noWrap w:val="0"/>
                  <w:vAlign w:val="center"/>
                </w:tcPr>
                <w:p>
                  <w:pPr>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北</w:t>
                  </w:r>
                  <w:r>
                    <w:rPr>
                      <w:rFonts w:hint="eastAsia" w:ascii="Times New Roman" w:hAnsi="Times New Roman" w:eastAsia="宋体" w:cs="Times New Roman"/>
                      <w:color w:val="auto"/>
                      <w:lang w:val="en-US" w:eastAsia="zh-CN"/>
                    </w:rPr>
                    <w:t>288</w:t>
                  </w:r>
                  <w:r>
                    <w:rPr>
                      <w:rFonts w:hint="default" w:ascii="Times New Roman" w:hAnsi="Times New Roman" w:eastAsia="宋体" w:cs="Times New Roman"/>
                      <w:color w:val="auto"/>
                      <w:lang w:val="en-US" w:eastAsia="zh-CN"/>
                    </w:rPr>
                    <w:t>m</w:t>
                  </w:r>
                </w:p>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lang w:eastAsia="zh-CN"/>
                    </w:rPr>
                    <w:t>户）</w:t>
                  </w:r>
                </w:p>
              </w:tc>
              <w:tc>
                <w:tcPr>
                  <w:tcW w:w="1614" w:type="dxa"/>
                  <w:vMerge w:val="restart"/>
                  <w:noWrap w:val="0"/>
                  <w:vAlign w:val="center"/>
                </w:tcPr>
                <w:p>
                  <w:pPr>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bCs/>
                      <w:color w:val="auto"/>
                      <w:sz w:val="21"/>
                      <w:szCs w:val="21"/>
                    </w:rPr>
                    <w:t>《环境空气质量标准》（GB3095-2012）二类区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居民</w:t>
                  </w:r>
                  <w:r>
                    <w:rPr>
                      <w:rFonts w:hint="eastAsia" w:ascii="Times New Roman" w:hAnsi="Times New Roman" w:cs="Times New Roman"/>
                      <w:color w:val="auto"/>
                      <w:sz w:val="21"/>
                      <w:szCs w:val="21"/>
                      <w:lang w:eastAsia="zh-CN"/>
                    </w:rPr>
                    <w:t>区</w:t>
                  </w:r>
                </w:p>
              </w:tc>
              <w:tc>
                <w:tcPr>
                  <w:tcW w:w="1636" w:type="dxa"/>
                  <w:noWrap w:val="0"/>
                  <w:vAlign w:val="center"/>
                </w:tcPr>
                <w:p>
                  <w:pPr>
                    <w:spacing w:line="240" w:lineRule="auto"/>
                    <w:ind w:firstLine="0" w:firstLineChars="0"/>
                    <w:jc w:val="center"/>
                    <w:rPr>
                      <w:rFonts w:hint="eastAsia"/>
                      <w:color w:val="auto"/>
                      <w:lang w:val="en-US" w:eastAsia="zh-CN"/>
                    </w:rPr>
                  </w:pPr>
                  <w:r>
                    <w:rPr>
                      <w:rFonts w:hint="eastAsia"/>
                      <w:color w:val="auto"/>
                      <w:lang w:val="en-US" w:eastAsia="zh-CN"/>
                    </w:rPr>
                    <w:t>建设路住保小区</w:t>
                  </w:r>
                </w:p>
              </w:tc>
              <w:tc>
                <w:tcPr>
                  <w:tcW w:w="1991" w:type="dxa"/>
                  <w:noWrap w:val="0"/>
                  <w:vAlign w:val="center"/>
                </w:tcPr>
                <w:p>
                  <w:pPr>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西偏北</w:t>
                  </w:r>
                  <w:r>
                    <w:rPr>
                      <w:rFonts w:hint="eastAsia" w:ascii="Times New Roman" w:hAnsi="Times New Roman" w:eastAsia="宋体" w:cs="Times New Roman"/>
                      <w:color w:val="auto"/>
                      <w:lang w:val="en-US" w:eastAsia="zh-CN"/>
                    </w:rPr>
                    <w:t>237</w:t>
                  </w:r>
                  <w:r>
                    <w:rPr>
                      <w:rFonts w:hint="default" w:ascii="Times New Roman" w:hAnsi="Times New Roman" w:eastAsia="宋体" w:cs="Times New Roman"/>
                      <w:color w:val="auto"/>
                      <w:lang w:val="en-US" w:eastAsia="zh-CN"/>
                    </w:rPr>
                    <w:t>m</w:t>
                  </w:r>
                </w:p>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lang w:eastAsia="zh-CN"/>
                    </w:rPr>
                    <w:t>约</w:t>
                  </w: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auto"/>
                      <w:sz w:val="21"/>
                      <w:szCs w:val="21"/>
                      <w:lang w:eastAsia="zh-CN"/>
                    </w:rPr>
                    <w:t>户）</w:t>
                  </w:r>
                </w:p>
              </w:tc>
              <w:tc>
                <w:tcPr>
                  <w:tcW w:w="1614" w:type="dxa"/>
                  <w:vMerge w:val="continue"/>
                  <w:noWrap w:val="0"/>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农村散居居民</w:t>
                  </w:r>
                </w:p>
              </w:tc>
              <w:tc>
                <w:tcPr>
                  <w:tcW w:w="1636" w:type="dxa"/>
                  <w:noWrap w:val="0"/>
                  <w:vAlign w:val="center"/>
                </w:tcPr>
                <w:p>
                  <w:pPr>
                    <w:spacing w:line="240" w:lineRule="auto"/>
                    <w:ind w:firstLine="0" w:firstLineChars="0"/>
                    <w:jc w:val="center"/>
                    <w:rPr>
                      <w:rFonts w:hint="eastAsia"/>
                      <w:color w:val="auto"/>
                      <w:lang w:val="en-US" w:eastAsia="zh-CN"/>
                    </w:rPr>
                  </w:pPr>
                  <w:r>
                    <w:rPr>
                      <w:rFonts w:hint="eastAsia"/>
                      <w:color w:val="auto"/>
                      <w:lang w:val="en-US" w:eastAsia="zh-CN"/>
                    </w:rPr>
                    <w:t>鸣凤镇白凤村村民1</w:t>
                  </w:r>
                </w:p>
              </w:tc>
              <w:tc>
                <w:tcPr>
                  <w:tcW w:w="1991" w:type="dxa"/>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东南</w:t>
                  </w:r>
                  <w:r>
                    <w:rPr>
                      <w:rFonts w:hint="eastAsia" w:ascii="Times New Roman" w:hAnsi="Times New Roman" w:cs="Times New Roman"/>
                      <w:color w:val="auto"/>
                      <w:sz w:val="21"/>
                      <w:szCs w:val="21"/>
                      <w:highlight w:val="none"/>
                      <w:lang w:val="en-US" w:eastAsia="zh-CN"/>
                    </w:rPr>
                    <w:t>285m</w:t>
                  </w:r>
                </w:p>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（约16户）</w:t>
                  </w:r>
                </w:p>
              </w:tc>
              <w:tc>
                <w:tcPr>
                  <w:tcW w:w="1614" w:type="dxa"/>
                  <w:vMerge w:val="continue"/>
                  <w:noWrap w:val="0"/>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农村散居居民</w:t>
                  </w:r>
                </w:p>
              </w:tc>
              <w:tc>
                <w:tcPr>
                  <w:tcW w:w="1636" w:type="dxa"/>
                  <w:noWrap w:val="0"/>
                  <w:vAlign w:val="center"/>
                </w:tcPr>
                <w:p>
                  <w:pPr>
                    <w:spacing w:line="240" w:lineRule="auto"/>
                    <w:ind w:firstLine="0" w:firstLineChars="0"/>
                    <w:jc w:val="center"/>
                    <w:rPr>
                      <w:rFonts w:hint="eastAsia"/>
                      <w:color w:val="auto"/>
                      <w:lang w:val="en-US" w:eastAsia="zh-CN"/>
                    </w:rPr>
                  </w:pPr>
                  <w:r>
                    <w:rPr>
                      <w:rFonts w:hint="eastAsia"/>
                      <w:color w:val="auto"/>
                      <w:lang w:val="en-US" w:eastAsia="zh-CN"/>
                    </w:rPr>
                    <w:t>鸣凤镇白凤村村民2</w:t>
                  </w:r>
                </w:p>
              </w:tc>
              <w:tc>
                <w:tcPr>
                  <w:tcW w:w="1991" w:type="dxa"/>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西南</w:t>
                  </w:r>
                  <w:r>
                    <w:rPr>
                      <w:rFonts w:hint="eastAsia" w:ascii="Times New Roman" w:hAnsi="Times New Roman" w:cs="Times New Roman"/>
                      <w:color w:val="auto"/>
                      <w:sz w:val="21"/>
                      <w:szCs w:val="21"/>
                      <w:highlight w:val="none"/>
                      <w:lang w:val="en-US" w:eastAsia="zh-CN"/>
                    </w:rPr>
                    <w:t>361m</w:t>
                  </w:r>
                </w:p>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（约3户）</w:t>
                  </w:r>
                </w:p>
              </w:tc>
              <w:tc>
                <w:tcPr>
                  <w:tcW w:w="1614" w:type="dxa"/>
                  <w:vMerge w:val="continue"/>
                  <w:noWrap w:val="0"/>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农村散居居民</w:t>
                  </w:r>
                </w:p>
              </w:tc>
              <w:tc>
                <w:tcPr>
                  <w:tcW w:w="1636" w:type="dxa"/>
                  <w:noWrap w:val="0"/>
                  <w:vAlign w:val="center"/>
                </w:tcPr>
                <w:p>
                  <w:pPr>
                    <w:spacing w:line="240" w:lineRule="auto"/>
                    <w:ind w:firstLine="0" w:firstLineChars="0"/>
                    <w:jc w:val="center"/>
                    <w:rPr>
                      <w:rFonts w:hint="eastAsia"/>
                      <w:color w:val="auto"/>
                      <w:lang w:val="en-US" w:eastAsia="zh-CN"/>
                    </w:rPr>
                  </w:pPr>
                  <w:r>
                    <w:rPr>
                      <w:rFonts w:hint="eastAsia"/>
                      <w:color w:val="auto"/>
                      <w:lang w:val="en-US" w:eastAsia="zh-CN"/>
                    </w:rPr>
                    <w:t>鸣凤镇白凤村村民3</w:t>
                  </w:r>
                </w:p>
              </w:tc>
              <w:tc>
                <w:tcPr>
                  <w:tcW w:w="1991" w:type="dxa"/>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东南</w:t>
                  </w:r>
                  <w:r>
                    <w:rPr>
                      <w:rFonts w:hint="eastAsia" w:ascii="Times New Roman" w:hAnsi="Times New Roman" w:cs="Times New Roman"/>
                      <w:color w:val="auto"/>
                      <w:sz w:val="21"/>
                      <w:szCs w:val="21"/>
                      <w:highlight w:val="none"/>
                      <w:lang w:val="en-US" w:eastAsia="zh-CN"/>
                    </w:rPr>
                    <w:t>436 m</w:t>
                  </w:r>
                </w:p>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（约5户）</w:t>
                  </w:r>
                </w:p>
              </w:tc>
              <w:tc>
                <w:tcPr>
                  <w:tcW w:w="1614" w:type="dxa"/>
                  <w:vMerge w:val="continue"/>
                  <w:noWrap w:val="0"/>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农村散居居民</w:t>
                  </w:r>
                </w:p>
              </w:tc>
              <w:tc>
                <w:tcPr>
                  <w:tcW w:w="1636" w:type="dxa"/>
                  <w:noWrap w:val="0"/>
                  <w:vAlign w:val="center"/>
                </w:tcPr>
                <w:p>
                  <w:pPr>
                    <w:spacing w:line="240" w:lineRule="auto"/>
                    <w:ind w:firstLine="0" w:firstLineChars="0"/>
                    <w:jc w:val="center"/>
                    <w:rPr>
                      <w:rFonts w:hint="eastAsia"/>
                      <w:color w:val="auto"/>
                      <w:lang w:val="en-US" w:eastAsia="zh-CN"/>
                    </w:rPr>
                  </w:pPr>
                  <w:r>
                    <w:rPr>
                      <w:rFonts w:hint="eastAsia"/>
                      <w:color w:val="auto"/>
                      <w:lang w:val="en-US" w:eastAsia="zh-CN"/>
                    </w:rPr>
                    <w:t>鸣凤镇白凤村村民4</w:t>
                  </w:r>
                </w:p>
              </w:tc>
              <w:tc>
                <w:tcPr>
                  <w:tcW w:w="1991" w:type="dxa"/>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东北</w:t>
                  </w:r>
                  <w:r>
                    <w:rPr>
                      <w:rFonts w:hint="eastAsia" w:ascii="Times New Roman" w:hAnsi="Times New Roman" w:cs="Times New Roman"/>
                      <w:color w:val="auto"/>
                      <w:sz w:val="21"/>
                      <w:szCs w:val="21"/>
                      <w:highlight w:val="none"/>
                      <w:lang w:val="en-US" w:eastAsia="zh-CN"/>
                    </w:rPr>
                    <w:t>268m</w:t>
                  </w:r>
                </w:p>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（约7户）</w:t>
                  </w:r>
                </w:p>
              </w:tc>
              <w:tc>
                <w:tcPr>
                  <w:tcW w:w="1614" w:type="dxa"/>
                  <w:vMerge w:val="continue"/>
                  <w:noWrap w:val="0"/>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7" w:hRule="atLeast"/>
                <w:jc w:val="center"/>
              </w:trPr>
              <w:tc>
                <w:tcPr>
                  <w:tcW w:w="177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p>
              </w:tc>
              <w:tc>
                <w:tcPr>
                  <w:tcW w:w="1162" w:type="dxa"/>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农村散居居民</w:t>
                  </w:r>
                </w:p>
              </w:tc>
              <w:tc>
                <w:tcPr>
                  <w:tcW w:w="1636" w:type="dxa"/>
                  <w:noWrap w:val="0"/>
                  <w:vAlign w:val="center"/>
                </w:tcPr>
                <w:p>
                  <w:pPr>
                    <w:spacing w:line="240" w:lineRule="auto"/>
                    <w:ind w:firstLine="0" w:firstLineChars="0"/>
                    <w:jc w:val="center"/>
                    <w:rPr>
                      <w:rFonts w:hint="eastAsia"/>
                      <w:color w:val="auto"/>
                      <w:lang w:val="en-US" w:eastAsia="zh-CN"/>
                    </w:rPr>
                  </w:pPr>
                  <w:r>
                    <w:rPr>
                      <w:rFonts w:hint="eastAsia"/>
                      <w:color w:val="auto"/>
                      <w:lang w:val="en-US" w:eastAsia="zh-CN"/>
                    </w:rPr>
                    <w:t>鸣凤镇白凤村村民5</w:t>
                  </w:r>
                </w:p>
              </w:tc>
              <w:tc>
                <w:tcPr>
                  <w:tcW w:w="1991" w:type="dxa"/>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北偏东</w:t>
                  </w:r>
                  <w:r>
                    <w:rPr>
                      <w:rFonts w:hint="eastAsia" w:ascii="Times New Roman" w:hAnsi="Times New Roman" w:cs="Times New Roman"/>
                      <w:color w:val="auto"/>
                      <w:sz w:val="21"/>
                      <w:szCs w:val="21"/>
                      <w:highlight w:val="none"/>
                      <w:lang w:val="en-US" w:eastAsia="zh-CN"/>
                    </w:rPr>
                    <w:t>375m</w:t>
                  </w:r>
                </w:p>
                <w:p>
                  <w:pPr>
                    <w:spacing w:line="240" w:lineRule="auto"/>
                    <w:ind w:firstLine="0" w:firstLineChars="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（约8户）</w:t>
                  </w:r>
                </w:p>
              </w:tc>
              <w:tc>
                <w:tcPr>
                  <w:tcW w:w="1614" w:type="dxa"/>
                  <w:vMerge w:val="continue"/>
                  <w:noWrap w:val="0"/>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声环境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范围50m</w:t>
                  </w:r>
                  <w:r>
                    <w:rPr>
                      <w:rFonts w:hint="default" w:ascii="Times New Roman" w:hAnsi="Times New Roman" w:cs="Times New Roman"/>
                      <w:bCs/>
                      <w:color w:val="auto"/>
                      <w:sz w:val="21"/>
                      <w:szCs w:val="21"/>
                      <w:lang w:eastAsia="zh-CN"/>
                    </w:rPr>
                    <w:t>）</w:t>
                  </w:r>
                </w:p>
              </w:tc>
              <w:tc>
                <w:tcPr>
                  <w:tcW w:w="6403" w:type="dxa"/>
                  <w:gridSpan w:val="4"/>
                  <w:noWrap w:val="0"/>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项目厂界外50m无声环境敏感目标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7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eastAsia="zh-CN"/>
                    </w:rPr>
                    <w:t>（调查</w:t>
                  </w:r>
                  <w:r>
                    <w:rPr>
                      <w:rFonts w:hint="default" w:ascii="Times New Roman" w:hAnsi="Times New Roman" w:cs="Times New Roman"/>
                      <w:bCs/>
                      <w:color w:val="auto"/>
                      <w:sz w:val="21"/>
                      <w:szCs w:val="21"/>
                      <w:lang w:val="en-US" w:eastAsia="zh-CN"/>
                    </w:rPr>
                    <w:t>范围500m</w:t>
                  </w:r>
                  <w:r>
                    <w:rPr>
                      <w:rFonts w:hint="default" w:ascii="Times New Roman" w:hAnsi="Times New Roman" w:cs="Times New Roman"/>
                      <w:bCs/>
                      <w:color w:val="auto"/>
                      <w:sz w:val="21"/>
                      <w:szCs w:val="21"/>
                      <w:lang w:eastAsia="zh-CN"/>
                    </w:rPr>
                    <w:t>）</w:t>
                  </w:r>
                </w:p>
              </w:tc>
              <w:tc>
                <w:tcPr>
                  <w:tcW w:w="6403" w:type="dxa"/>
                  <w:gridSpan w:val="4"/>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项目厂界外500m范围内无地下水集中式饮用水源、热水、矿泉水</w:t>
                  </w:r>
                </w:p>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温泉等地下水环境敏感目标</w:t>
                  </w:r>
                </w:p>
              </w:tc>
            </w:tr>
          </w:tbl>
          <w:p>
            <w:pPr>
              <w:pStyle w:val="2"/>
            </w:pPr>
          </w:p>
          <w:p>
            <w:pPr>
              <w:pStyle w:val="39"/>
            </w:pPr>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465" w:type="dxa"/>
            <w:noWrap w:val="0"/>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525" w:type="dxa"/>
            <w:noWrap w:val="0"/>
            <w:vAlign w:val="center"/>
          </w:tcPr>
          <w:p>
            <w:pPr>
              <w:numPr>
                <w:ilvl w:val="0"/>
                <w:numId w:val="3"/>
              </w:numPr>
              <w:spacing w:before="120" w:beforeLines="50" w:line="420" w:lineRule="auto"/>
              <w:ind w:firstLine="720" w:firstLineChars="300"/>
              <w:rPr>
                <w:rFonts w:hint="default" w:ascii="Times New Roman" w:hAnsi="Times New Roman" w:cs="Times New Roman"/>
                <w:color w:val="auto"/>
              </w:rPr>
            </w:pPr>
            <w:r>
              <w:rPr>
                <w:rFonts w:hint="eastAsia" w:cs="Times New Roman"/>
                <w:sz w:val="24"/>
                <w:lang w:eastAsia="zh-CN"/>
              </w:rPr>
              <w:t>①塑料框原料</w:t>
            </w:r>
            <w:r>
              <w:rPr>
                <w:rFonts w:hint="eastAsia" w:cs="Times New Roman"/>
                <w:sz w:val="24"/>
                <w:lang w:val="en-US" w:eastAsia="zh-CN"/>
              </w:rPr>
              <w:t>拌料过程中产生的粉尘废气执行《大气污染物综合排放标准》（GB16297-1996）；②塑料框挤出成型过程中产生的废气执行《合成树脂工业污染物排放标准》GB31572-2015表5及表9所列的行业特别排放限值标准，废塑料造粒生产废气自2024年7月1日起参照《合成树脂工业污染物排放标准》GB31572-2015执行</w:t>
            </w:r>
            <w:r>
              <w:rPr>
                <w:rFonts w:hint="default" w:ascii="Times New Roman" w:hAnsi="Times New Roman" w:cs="Times New Roman"/>
                <w:sz w:val="24"/>
              </w:rPr>
              <w:t>。</w:t>
            </w:r>
            <w:r>
              <w:rPr>
                <w:rFonts w:hint="eastAsia" w:cs="Times New Roman"/>
                <w:sz w:val="24"/>
                <w:lang w:eastAsia="zh-CN"/>
              </w:rPr>
              <w:t>③</w:t>
            </w:r>
            <w:r>
              <w:rPr>
                <w:rFonts w:hint="default" w:ascii="Times New Roman" w:hAnsi="Times New Roman" w:cs="Times New Roman"/>
                <w:color w:val="auto"/>
                <w:sz w:val="24"/>
              </w:rPr>
              <w:t>厂区内无组织有机废气执行《挥发性有机物无组织排放控制标准》（GB37822-2019）特别排放标准。</w:t>
            </w:r>
          </w:p>
          <w:p>
            <w:pPr>
              <w:pStyle w:val="60"/>
              <w:rPr>
                <w:rFonts w:hint="default" w:ascii="Times New Roman" w:hAnsi="Times New Roman"/>
              </w:rPr>
            </w:pPr>
            <w:r>
              <w:rPr>
                <w:rFonts w:hint="default" w:ascii="Times New Roman" w:hAnsi="Times New Roman"/>
              </w:rPr>
              <w:t>表3-</w:t>
            </w:r>
            <w:r>
              <w:rPr>
                <w:rFonts w:ascii="Times New Roman" w:hAnsi="Times New Roman"/>
              </w:rPr>
              <w:t>5</w:t>
            </w:r>
            <w:r>
              <w:rPr>
                <w:rFonts w:hint="default" w:ascii="Times New Roman" w:hAnsi="Times New Roman"/>
              </w:rPr>
              <w:t>本项目</w:t>
            </w:r>
            <w:r>
              <w:rPr>
                <w:rFonts w:ascii="Times New Roman" w:hAnsi="Times New Roman"/>
              </w:rPr>
              <w:t>有组织</w:t>
            </w:r>
            <w:r>
              <w:rPr>
                <w:rFonts w:hint="default" w:ascii="Times New Roman" w:hAnsi="Times New Roman"/>
              </w:rPr>
              <w:t>废气排放执行的标准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304"/>
              <w:gridCol w:w="817"/>
              <w:gridCol w:w="914"/>
              <w:gridCol w:w="1406"/>
              <w:gridCol w:w="1144"/>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4" w:type="dxa"/>
                  <w:vMerge w:val="restart"/>
                  <w:noWrap w:val="0"/>
                  <w:vAlign w:val="center"/>
                </w:tcPr>
                <w:p>
                  <w:pPr>
                    <w:adjustRightInd w:val="0"/>
                    <w:snapToGrid w:val="0"/>
                    <w:jc w:val="center"/>
                    <w:rPr>
                      <w:sz w:val="24"/>
                      <w:szCs w:val="20"/>
                    </w:rPr>
                  </w:pPr>
                  <w:r>
                    <w:rPr>
                      <w:sz w:val="24"/>
                      <w:szCs w:val="20"/>
                    </w:rPr>
                    <w:t>执行标准</w:t>
                  </w:r>
                </w:p>
              </w:tc>
              <w:tc>
                <w:tcPr>
                  <w:tcW w:w="1304" w:type="dxa"/>
                  <w:vMerge w:val="restart"/>
                  <w:noWrap w:val="0"/>
                  <w:vAlign w:val="center"/>
                </w:tcPr>
                <w:p>
                  <w:pPr>
                    <w:adjustRightInd w:val="0"/>
                    <w:snapToGrid w:val="0"/>
                    <w:jc w:val="center"/>
                    <w:rPr>
                      <w:sz w:val="24"/>
                      <w:szCs w:val="20"/>
                    </w:rPr>
                  </w:pPr>
                  <w:r>
                    <w:rPr>
                      <w:sz w:val="24"/>
                      <w:szCs w:val="20"/>
                    </w:rPr>
                    <w:t>污染物</w:t>
                  </w:r>
                </w:p>
              </w:tc>
              <w:tc>
                <w:tcPr>
                  <w:tcW w:w="817" w:type="dxa"/>
                  <w:vMerge w:val="restart"/>
                  <w:noWrap w:val="0"/>
                  <w:vAlign w:val="center"/>
                </w:tcPr>
                <w:p>
                  <w:pPr>
                    <w:adjustRightInd w:val="0"/>
                    <w:snapToGrid w:val="0"/>
                    <w:jc w:val="center"/>
                    <w:rPr>
                      <w:sz w:val="24"/>
                      <w:szCs w:val="20"/>
                    </w:rPr>
                  </w:pPr>
                  <w:r>
                    <w:rPr>
                      <w:sz w:val="24"/>
                      <w:szCs w:val="20"/>
                    </w:rPr>
                    <w:t>排气筒高度</w:t>
                  </w:r>
                  <w:r>
                    <w:rPr>
                      <w:sz w:val="18"/>
                      <w:szCs w:val="18"/>
                    </w:rPr>
                    <w:t>（m）</w:t>
                  </w:r>
                </w:p>
              </w:tc>
              <w:tc>
                <w:tcPr>
                  <w:tcW w:w="914" w:type="dxa"/>
                  <w:vMerge w:val="restart"/>
                  <w:noWrap w:val="0"/>
                  <w:vAlign w:val="center"/>
                </w:tcPr>
                <w:p>
                  <w:pPr>
                    <w:adjustRightInd w:val="0"/>
                    <w:snapToGrid w:val="0"/>
                    <w:jc w:val="center"/>
                    <w:rPr>
                      <w:sz w:val="24"/>
                      <w:szCs w:val="20"/>
                    </w:rPr>
                  </w:pPr>
                  <w:r>
                    <w:rPr>
                      <w:sz w:val="24"/>
                      <w:szCs w:val="20"/>
                    </w:rPr>
                    <w:t>最高允许排放速率</w:t>
                  </w:r>
                  <w:r>
                    <w:rPr>
                      <w:sz w:val="18"/>
                      <w:szCs w:val="18"/>
                    </w:rPr>
                    <w:t>（kg/h）</w:t>
                  </w:r>
                </w:p>
              </w:tc>
              <w:tc>
                <w:tcPr>
                  <w:tcW w:w="1406" w:type="dxa"/>
                  <w:vMerge w:val="restart"/>
                  <w:noWrap w:val="0"/>
                  <w:vAlign w:val="center"/>
                </w:tcPr>
                <w:p>
                  <w:pPr>
                    <w:adjustRightInd w:val="0"/>
                    <w:snapToGrid w:val="0"/>
                    <w:jc w:val="center"/>
                    <w:rPr>
                      <w:sz w:val="24"/>
                      <w:szCs w:val="20"/>
                    </w:rPr>
                  </w:pPr>
                  <w:r>
                    <w:rPr>
                      <w:sz w:val="24"/>
                      <w:szCs w:val="20"/>
                    </w:rPr>
                    <w:t>最高允许排放浓度</w:t>
                  </w:r>
                  <w:r>
                    <w:rPr>
                      <w:sz w:val="18"/>
                      <w:szCs w:val="18"/>
                    </w:rPr>
                    <w:t>（mg/m</w:t>
                  </w:r>
                  <w:r>
                    <w:rPr>
                      <w:sz w:val="18"/>
                      <w:szCs w:val="18"/>
                      <w:vertAlign w:val="superscript"/>
                    </w:rPr>
                    <w:t>3</w:t>
                  </w:r>
                  <w:r>
                    <w:rPr>
                      <w:sz w:val="18"/>
                      <w:szCs w:val="18"/>
                    </w:rPr>
                    <w:t>）</w:t>
                  </w:r>
                </w:p>
              </w:tc>
              <w:tc>
                <w:tcPr>
                  <w:tcW w:w="2305" w:type="dxa"/>
                  <w:gridSpan w:val="2"/>
                  <w:noWrap w:val="0"/>
                  <w:vAlign w:val="center"/>
                </w:tcPr>
                <w:p>
                  <w:pPr>
                    <w:adjustRightInd w:val="0"/>
                    <w:snapToGrid w:val="0"/>
                    <w:jc w:val="center"/>
                    <w:rPr>
                      <w:sz w:val="24"/>
                      <w:szCs w:val="20"/>
                    </w:rPr>
                  </w:pPr>
                  <w:r>
                    <w:rPr>
                      <w:sz w:val="24"/>
                      <w:szCs w:val="20"/>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4" w:type="dxa"/>
                  <w:vMerge w:val="continue"/>
                  <w:noWrap w:val="0"/>
                  <w:vAlign w:val="center"/>
                </w:tcPr>
                <w:p>
                  <w:pPr>
                    <w:adjustRightInd w:val="0"/>
                    <w:snapToGrid w:val="0"/>
                    <w:jc w:val="center"/>
                    <w:rPr>
                      <w:sz w:val="24"/>
                      <w:szCs w:val="20"/>
                    </w:rPr>
                  </w:pPr>
                </w:p>
              </w:tc>
              <w:tc>
                <w:tcPr>
                  <w:tcW w:w="1304" w:type="dxa"/>
                  <w:vMerge w:val="continue"/>
                  <w:noWrap w:val="0"/>
                  <w:vAlign w:val="center"/>
                </w:tcPr>
                <w:p>
                  <w:pPr>
                    <w:adjustRightInd w:val="0"/>
                    <w:snapToGrid w:val="0"/>
                    <w:jc w:val="center"/>
                    <w:rPr>
                      <w:sz w:val="24"/>
                      <w:szCs w:val="20"/>
                    </w:rPr>
                  </w:pPr>
                </w:p>
              </w:tc>
              <w:tc>
                <w:tcPr>
                  <w:tcW w:w="817" w:type="dxa"/>
                  <w:vMerge w:val="continue"/>
                  <w:noWrap w:val="0"/>
                  <w:vAlign w:val="center"/>
                </w:tcPr>
                <w:p>
                  <w:pPr>
                    <w:adjustRightInd w:val="0"/>
                    <w:snapToGrid w:val="0"/>
                    <w:jc w:val="center"/>
                    <w:rPr>
                      <w:sz w:val="24"/>
                      <w:szCs w:val="20"/>
                    </w:rPr>
                  </w:pPr>
                </w:p>
              </w:tc>
              <w:tc>
                <w:tcPr>
                  <w:tcW w:w="914" w:type="dxa"/>
                  <w:vMerge w:val="continue"/>
                  <w:noWrap w:val="0"/>
                  <w:vAlign w:val="center"/>
                </w:tcPr>
                <w:p>
                  <w:pPr>
                    <w:adjustRightInd w:val="0"/>
                    <w:snapToGrid w:val="0"/>
                    <w:jc w:val="center"/>
                    <w:rPr>
                      <w:sz w:val="24"/>
                      <w:szCs w:val="20"/>
                    </w:rPr>
                  </w:pPr>
                </w:p>
              </w:tc>
              <w:tc>
                <w:tcPr>
                  <w:tcW w:w="1406" w:type="dxa"/>
                  <w:vMerge w:val="continue"/>
                  <w:noWrap w:val="0"/>
                  <w:vAlign w:val="center"/>
                </w:tcPr>
                <w:p>
                  <w:pPr>
                    <w:adjustRightInd w:val="0"/>
                    <w:snapToGrid w:val="0"/>
                    <w:jc w:val="center"/>
                    <w:rPr>
                      <w:sz w:val="24"/>
                      <w:szCs w:val="20"/>
                    </w:rPr>
                  </w:pPr>
                </w:p>
              </w:tc>
              <w:tc>
                <w:tcPr>
                  <w:tcW w:w="1144" w:type="dxa"/>
                  <w:noWrap w:val="0"/>
                  <w:vAlign w:val="center"/>
                </w:tcPr>
                <w:p>
                  <w:pPr>
                    <w:adjustRightInd w:val="0"/>
                    <w:snapToGrid w:val="0"/>
                    <w:jc w:val="center"/>
                    <w:rPr>
                      <w:sz w:val="24"/>
                      <w:szCs w:val="20"/>
                    </w:rPr>
                  </w:pPr>
                  <w:r>
                    <w:rPr>
                      <w:sz w:val="24"/>
                      <w:szCs w:val="20"/>
                    </w:rPr>
                    <w:t>监控点</w:t>
                  </w:r>
                </w:p>
              </w:tc>
              <w:tc>
                <w:tcPr>
                  <w:tcW w:w="1161" w:type="dxa"/>
                  <w:noWrap w:val="0"/>
                  <w:vAlign w:val="center"/>
                </w:tcPr>
                <w:p>
                  <w:pPr>
                    <w:adjustRightInd w:val="0"/>
                    <w:snapToGrid w:val="0"/>
                    <w:jc w:val="center"/>
                    <w:rPr>
                      <w:sz w:val="24"/>
                      <w:szCs w:val="20"/>
                    </w:rPr>
                  </w:pPr>
                  <w:r>
                    <w:rPr>
                      <w:sz w:val="24"/>
                      <w:szCs w:val="20"/>
                    </w:rPr>
                    <w:t>浓度</w:t>
                  </w:r>
                  <w:r>
                    <w:rPr>
                      <w:sz w:val="18"/>
                      <w:szCs w:val="18"/>
                    </w:rPr>
                    <w:t>（mg/m</w:t>
                  </w:r>
                  <w:r>
                    <w:rPr>
                      <w:sz w:val="18"/>
                      <w:szCs w:val="18"/>
                      <w:vertAlign w:val="superscript"/>
                    </w:rPr>
                    <w:t>3</w:t>
                  </w:r>
                  <w:r>
                    <w:rPr>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474" w:type="dxa"/>
                  <w:noWrap w:val="0"/>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GB16297</w:t>
                  </w:r>
                </w:p>
                <w:p>
                  <w:pPr>
                    <w:adjustRightInd w:val="0"/>
                    <w:snapToGrid w:val="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拌料</w:t>
                  </w:r>
                  <w:r>
                    <w:rPr>
                      <w:rFonts w:hint="eastAsia" w:cs="Times New Roman"/>
                      <w:szCs w:val="21"/>
                      <w:lang w:val="en-US" w:eastAsia="zh-CN"/>
                    </w:rPr>
                    <w:t>废气</w:t>
                  </w:r>
                  <w:r>
                    <w:rPr>
                      <w:rFonts w:hint="eastAsia" w:ascii="Times New Roman" w:hAnsi="Times New Roman" w:eastAsia="宋体" w:cs="Times New Roman"/>
                      <w:szCs w:val="21"/>
                      <w:lang w:eastAsia="zh-CN"/>
                    </w:rPr>
                    <w:t>）</w:t>
                  </w:r>
                </w:p>
              </w:tc>
              <w:tc>
                <w:tcPr>
                  <w:tcW w:w="1304" w:type="dxa"/>
                  <w:noWrap w:val="0"/>
                  <w:vAlign w:val="center"/>
                </w:tcPr>
                <w:p>
                  <w:pPr>
                    <w:adjustRightInd w:val="0"/>
                    <w:snapToGrid w:val="0"/>
                    <w:jc w:val="center"/>
                    <w:rPr>
                      <w:rFonts w:hint="eastAsia" w:eastAsia="宋体"/>
                      <w:szCs w:val="21"/>
                      <w:lang w:eastAsia="zh-CN"/>
                    </w:rPr>
                  </w:pPr>
                  <w:r>
                    <w:rPr>
                      <w:rFonts w:hint="eastAsia"/>
                      <w:szCs w:val="21"/>
                      <w:lang w:eastAsia="zh-CN"/>
                    </w:rPr>
                    <w:t>颗粒物</w:t>
                  </w:r>
                </w:p>
              </w:tc>
              <w:tc>
                <w:tcPr>
                  <w:tcW w:w="817" w:type="dxa"/>
                  <w:noWrap w:val="0"/>
                  <w:vAlign w:val="center"/>
                </w:tcPr>
                <w:p>
                  <w:pPr>
                    <w:adjustRightInd w:val="0"/>
                    <w:snapToGrid w:val="0"/>
                    <w:jc w:val="center"/>
                    <w:rPr>
                      <w:szCs w:val="21"/>
                    </w:rPr>
                  </w:pPr>
                  <w:r>
                    <w:rPr>
                      <w:szCs w:val="21"/>
                    </w:rPr>
                    <w:t>15</w:t>
                  </w:r>
                </w:p>
              </w:tc>
              <w:tc>
                <w:tcPr>
                  <w:tcW w:w="914"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3.5</w:t>
                  </w:r>
                </w:p>
              </w:tc>
              <w:tc>
                <w:tcPr>
                  <w:tcW w:w="1406" w:type="dxa"/>
                  <w:noWrap w:val="0"/>
                  <w:vAlign w:val="center"/>
                </w:tcPr>
                <w:p>
                  <w:pPr>
                    <w:adjustRightInd w:val="0"/>
                    <w:snapToGrid w:val="0"/>
                    <w:jc w:val="center"/>
                    <w:rPr>
                      <w:szCs w:val="21"/>
                    </w:rPr>
                  </w:pPr>
                  <w:r>
                    <w:rPr>
                      <w:szCs w:val="21"/>
                    </w:rPr>
                    <w:t>120</w:t>
                  </w:r>
                </w:p>
              </w:tc>
              <w:tc>
                <w:tcPr>
                  <w:tcW w:w="1144" w:type="dxa"/>
                  <w:noWrap w:val="0"/>
                  <w:vAlign w:val="center"/>
                </w:tcPr>
                <w:p>
                  <w:pPr>
                    <w:adjustRightInd w:val="0"/>
                    <w:snapToGrid w:val="0"/>
                    <w:jc w:val="center"/>
                    <w:rPr>
                      <w:szCs w:val="21"/>
                    </w:rPr>
                  </w:pPr>
                  <w:r>
                    <w:rPr>
                      <w:szCs w:val="21"/>
                    </w:rPr>
                    <w:t>周界外最高浓度点</w:t>
                  </w:r>
                </w:p>
              </w:tc>
              <w:tc>
                <w:tcPr>
                  <w:tcW w:w="116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474" w:type="dxa"/>
                  <w:vMerge w:val="restart"/>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GB31572</w:t>
                  </w:r>
                </w:p>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cs="Times New Roman"/>
                      <w:szCs w:val="21"/>
                      <w:lang w:val="en-US" w:eastAsia="zh-CN"/>
                    </w:rPr>
                    <w:t>塑料框挤出成型废气、塑料熔融造粒废气</w:t>
                  </w:r>
                  <w:r>
                    <w:rPr>
                      <w:rFonts w:hint="eastAsia" w:ascii="Times New Roman" w:hAnsi="Times New Roman" w:eastAsia="宋体" w:cs="Times New Roman"/>
                      <w:szCs w:val="21"/>
                      <w:lang w:eastAsia="zh-CN"/>
                    </w:rPr>
                    <w:t>）</w:t>
                  </w:r>
                </w:p>
              </w:tc>
              <w:tc>
                <w:tcPr>
                  <w:tcW w:w="1304" w:type="dxa"/>
                  <w:noWrap w:val="0"/>
                  <w:vAlign w:val="center"/>
                </w:tcPr>
                <w:p>
                  <w:pPr>
                    <w:adjustRightInd w:val="0"/>
                    <w:snapToGrid w:val="0"/>
                    <w:jc w:val="center"/>
                    <w:rPr>
                      <w:rFonts w:hint="eastAsia"/>
                      <w:szCs w:val="21"/>
                      <w:lang w:eastAsia="zh-CN"/>
                    </w:rPr>
                  </w:pPr>
                  <w:r>
                    <w:rPr>
                      <w:rFonts w:hint="eastAsia"/>
                      <w:szCs w:val="21"/>
                      <w:lang w:val="en-US" w:eastAsia="zh-CN"/>
                    </w:rPr>
                    <w:t>颗粒物</w:t>
                  </w:r>
                </w:p>
              </w:tc>
              <w:tc>
                <w:tcPr>
                  <w:tcW w:w="81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15</w:t>
                  </w:r>
                </w:p>
              </w:tc>
              <w:tc>
                <w:tcPr>
                  <w:tcW w:w="914"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w:t>
                  </w:r>
                </w:p>
              </w:tc>
              <w:tc>
                <w:tcPr>
                  <w:tcW w:w="1406" w:type="dxa"/>
                  <w:noWrap w:val="0"/>
                  <w:vAlign w:val="center"/>
                </w:tcPr>
                <w:p>
                  <w:pPr>
                    <w:adjustRightInd w:val="0"/>
                    <w:snapToGrid w:val="0"/>
                    <w:jc w:val="center"/>
                    <w:rPr>
                      <w:rFonts w:hint="default"/>
                      <w:szCs w:val="21"/>
                      <w:lang w:val="en-US"/>
                    </w:rPr>
                  </w:pPr>
                  <w:r>
                    <w:rPr>
                      <w:rFonts w:hint="eastAsia"/>
                      <w:szCs w:val="21"/>
                      <w:lang w:val="en-US" w:eastAsia="zh-CN"/>
                    </w:rPr>
                    <w:t>20</w:t>
                  </w:r>
                </w:p>
              </w:tc>
              <w:tc>
                <w:tcPr>
                  <w:tcW w:w="1144" w:type="dxa"/>
                  <w:vMerge w:val="restart"/>
                  <w:noWrap w:val="0"/>
                  <w:vAlign w:val="center"/>
                </w:tcPr>
                <w:p>
                  <w:pPr>
                    <w:adjustRightInd w:val="0"/>
                    <w:snapToGrid w:val="0"/>
                    <w:jc w:val="center"/>
                    <w:rPr>
                      <w:rFonts w:hint="default" w:eastAsia="宋体"/>
                      <w:szCs w:val="21"/>
                      <w:lang w:val="en-US" w:eastAsia="zh-CN"/>
                    </w:rPr>
                  </w:pPr>
                  <w:r>
                    <w:rPr>
                      <w:rFonts w:hint="eastAsia"/>
                      <w:szCs w:val="21"/>
                      <w:lang w:val="en-US" w:eastAsia="zh-CN"/>
                    </w:rPr>
                    <w:t>厂界</w:t>
                  </w:r>
                </w:p>
              </w:tc>
              <w:tc>
                <w:tcPr>
                  <w:tcW w:w="116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474" w:type="dxa"/>
                  <w:vMerge w:val="continue"/>
                  <w:noWrap w:val="0"/>
                  <w:vAlign w:val="center"/>
                </w:tcPr>
                <w:p>
                  <w:pPr>
                    <w:adjustRightInd w:val="0"/>
                    <w:snapToGrid w:val="0"/>
                    <w:jc w:val="center"/>
                    <w:rPr>
                      <w:szCs w:val="21"/>
                    </w:rPr>
                  </w:pPr>
                </w:p>
              </w:tc>
              <w:tc>
                <w:tcPr>
                  <w:tcW w:w="1304" w:type="dxa"/>
                  <w:noWrap w:val="0"/>
                  <w:vAlign w:val="center"/>
                </w:tcPr>
                <w:p>
                  <w:pPr>
                    <w:adjustRightInd w:val="0"/>
                    <w:snapToGrid w:val="0"/>
                    <w:jc w:val="center"/>
                    <w:rPr>
                      <w:rFonts w:hint="default"/>
                      <w:szCs w:val="21"/>
                      <w:lang w:val="en-US" w:eastAsia="zh-CN"/>
                    </w:rPr>
                  </w:pPr>
                  <w:r>
                    <w:rPr>
                      <w:color w:val="auto"/>
                      <w:szCs w:val="21"/>
                      <w:highlight w:val="none"/>
                    </w:rPr>
                    <w:t>非甲烷总烃</w:t>
                  </w:r>
                </w:p>
              </w:tc>
              <w:tc>
                <w:tcPr>
                  <w:tcW w:w="817"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15</w:t>
                  </w:r>
                </w:p>
              </w:tc>
              <w:tc>
                <w:tcPr>
                  <w:tcW w:w="914"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w:t>
                  </w:r>
                </w:p>
              </w:tc>
              <w:tc>
                <w:tcPr>
                  <w:tcW w:w="1406" w:type="dxa"/>
                  <w:noWrap w:val="0"/>
                  <w:vAlign w:val="center"/>
                </w:tcPr>
                <w:p>
                  <w:pPr>
                    <w:adjustRightInd w:val="0"/>
                    <w:snapToGrid w:val="0"/>
                    <w:jc w:val="center"/>
                    <w:rPr>
                      <w:szCs w:val="21"/>
                    </w:rPr>
                  </w:pPr>
                  <w:r>
                    <w:rPr>
                      <w:rFonts w:hint="eastAsia"/>
                      <w:szCs w:val="21"/>
                      <w:lang w:val="en-US" w:eastAsia="zh-CN"/>
                    </w:rPr>
                    <w:t>60</w:t>
                  </w:r>
                </w:p>
              </w:tc>
              <w:tc>
                <w:tcPr>
                  <w:tcW w:w="1144" w:type="dxa"/>
                  <w:vMerge w:val="continue"/>
                  <w:noWrap w:val="0"/>
                  <w:vAlign w:val="center"/>
                </w:tcPr>
                <w:p>
                  <w:pPr>
                    <w:adjustRightInd w:val="0"/>
                    <w:snapToGrid w:val="0"/>
                    <w:jc w:val="center"/>
                    <w:rPr>
                      <w:szCs w:val="21"/>
                    </w:rPr>
                  </w:pPr>
                </w:p>
              </w:tc>
              <w:tc>
                <w:tcPr>
                  <w:tcW w:w="1161"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4.0</w:t>
                  </w:r>
                </w:p>
              </w:tc>
            </w:tr>
          </w:tbl>
          <w:p>
            <w:pPr>
              <w:spacing w:before="120" w:beforeLines="50" w:line="420" w:lineRule="auto"/>
              <w:ind w:firstLine="480" w:firstLineChars="200"/>
              <w:rPr>
                <w:rFonts w:hint="eastAsia"/>
              </w:rPr>
            </w:pPr>
            <w:r>
              <w:rPr>
                <w:sz w:val="24"/>
              </w:rPr>
              <w:t>蓬溪县属于四川省大气污染重点防治区，故厂区内无组织有机废气执行《挥发性有机物无组织排放控制标准》（GB37822-2019）特别排放标准。</w:t>
            </w:r>
          </w:p>
          <w:p>
            <w:pPr>
              <w:adjustRightInd w:val="0"/>
              <w:snapToGrid w:val="0"/>
              <w:spacing w:line="360" w:lineRule="auto"/>
              <w:ind w:firstLine="482"/>
              <w:jc w:val="center"/>
              <w:rPr>
                <w:rFonts w:hint="eastAsia"/>
                <w:b/>
                <w:bCs/>
                <w:sz w:val="24"/>
              </w:rPr>
            </w:pPr>
            <w:r>
              <w:rPr>
                <w:rFonts w:hint="eastAsia"/>
                <w:b/>
                <w:bCs/>
                <w:sz w:val="24"/>
              </w:rPr>
              <w:t>表3-6《挥发性有机物无组织排放控制标准》（GB37822-2019）</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9"/>
              <w:gridCol w:w="2060"/>
              <w:gridCol w:w="2060"/>
              <w:gridCol w:w="2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59" w:type="dxa"/>
                  <w:noWrap w:val="0"/>
                  <w:vAlign w:val="center"/>
                </w:tcPr>
                <w:p>
                  <w:pPr>
                    <w:adjustRightInd w:val="0"/>
                    <w:snapToGrid w:val="0"/>
                    <w:jc w:val="center"/>
                    <w:rPr>
                      <w:sz w:val="24"/>
                      <w:szCs w:val="20"/>
                    </w:rPr>
                  </w:pPr>
                  <w:r>
                    <w:rPr>
                      <w:rFonts w:hint="eastAsia"/>
                      <w:sz w:val="24"/>
                      <w:szCs w:val="20"/>
                    </w:rPr>
                    <w:t>污染物项目</w:t>
                  </w:r>
                </w:p>
              </w:tc>
              <w:tc>
                <w:tcPr>
                  <w:tcW w:w="2060" w:type="dxa"/>
                  <w:noWrap w:val="0"/>
                  <w:vAlign w:val="center"/>
                </w:tcPr>
                <w:p>
                  <w:pPr>
                    <w:adjustRightInd w:val="0"/>
                    <w:snapToGrid w:val="0"/>
                    <w:jc w:val="center"/>
                    <w:rPr>
                      <w:sz w:val="24"/>
                      <w:szCs w:val="20"/>
                    </w:rPr>
                  </w:pPr>
                  <w:r>
                    <w:rPr>
                      <w:rFonts w:hint="eastAsia"/>
                      <w:sz w:val="24"/>
                      <w:szCs w:val="20"/>
                    </w:rPr>
                    <w:t>特别排放限值</w:t>
                  </w:r>
                </w:p>
              </w:tc>
              <w:tc>
                <w:tcPr>
                  <w:tcW w:w="2060" w:type="dxa"/>
                  <w:noWrap w:val="0"/>
                  <w:vAlign w:val="center"/>
                </w:tcPr>
                <w:p>
                  <w:pPr>
                    <w:adjustRightInd w:val="0"/>
                    <w:snapToGrid w:val="0"/>
                    <w:jc w:val="center"/>
                    <w:rPr>
                      <w:sz w:val="24"/>
                      <w:szCs w:val="20"/>
                    </w:rPr>
                  </w:pPr>
                  <w:r>
                    <w:rPr>
                      <w:rFonts w:hint="eastAsia"/>
                      <w:sz w:val="24"/>
                      <w:szCs w:val="20"/>
                    </w:rPr>
                    <w:t>限值含义</w:t>
                  </w:r>
                </w:p>
              </w:tc>
              <w:tc>
                <w:tcPr>
                  <w:tcW w:w="2060" w:type="dxa"/>
                  <w:noWrap w:val="0"/>
                  <w:vAlign w:val="center"/>
                </w:tcPr>
                <w:p>
                  <w:pPr>
                    <w:adjustRightInd w:val="0"/>
                    <w:snapToGrid w:val="0"/>
                    <w:jc w:val="center"/>
                    <w:rPr>
                      <w:sz w:val="24"/>
                      <w:szCs w:val="20"/>
                    </w:rPr>
                  </w:pPr>
                  <w:r>
                    <w:rPr>
                      <w:rFonts w:hint="eastAsia"/>
                      <w:sz w:val="24"/>
                      <w:szCs w:val="20"/>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059" w:type="dxa"/>
                  <w:vMerge w:val="restart"/>
                  <w:noWrap w:val="0"/>
                  <w:vAlign w:val="center"/>
                </w:tcPr>
                <w:p>
                  <w:pPr>
                    <w:adjustRightInd w:val="0"/>
                    <w:snapToGrid w:val="0"/>
                    <w:jc w:val="center"/>
                    <w:rPr>
                      <w:rFonts w:hint="eastAsia"/>
                      <w:sz w:val="24"/>
                      <w:szCs w:val="20"/>
                    </w:rPr>
                  </w:pPr>
                  <w:r>
                    <w:rPr>
                      <w:rFonts w:hint="eastAsia"/>
                      <w:sz w:val="24"/>
                      <w:szCs w:val="20"/>
                    </w:rPr>
                    <w:t>NMHC</w:t>
                  </w:r>
                </w:p>
                <w:p>
                  <w:pPr>
                    <w:adjustRightInd w:val="0"/>
                    <w:snapToGrid w:val="0"/>
                    <w:jc w:val="center"/>
                    <w:rPr>
                      <w:sz w:val="24"/>
                      <w:szCs w:val="20"/>
                    </w:rPr>
                  </w:pPr>
                  <w:r>
                    <w:rPr>
                      <w:rFonts w:hint="eastAsia"/>
                      <w:sz w:val="24"/>
                      <w:szCs w:val="20"/>
                    </w:rPr>
                    <w:t>（非甲烷总烃）</w:t>
                  </w:r>
                </w:p>
              </w:tc>
              <w:tc>
                <w:tcPr>
                  <w:tcW w:w="2060" w:type="dxa"/>
                  <w:noWrap w:val="0"/>
                  <w:vAlign w:val="center"/>
                </w:tcPr>
                <w:p>
                  <w:pPr>
                    <w:adjustRightInd w:val="0"/>
                    <w:snapToGrid w:val="0"/>
                    <w:jc w:val="center"/>
                    <w:rPr>
                      <w:sz w:val="24"/>
                      <w:szCs w:val="20"/>
                    </w:rPr>
                  </w:pPr>
                  <w:r>
                    <w:rPr>
                      <w:rFonts w:hint="eastAsia"/>
                      <w:sz w:val="24"/>
                      <w:szCs w:val="20"/>
                    </w:rPr>
                    <w:t>6</w:t>
                  </w:r>
                </w:p>
              </w:tc>
              <w:tc>
                <w:tcPr>
                  <w:tcW w:w="2060" w:type="dxa"/>
                  <w:noWrap w:val="0"/>
                  <w:vAlign w:val="center"/>
                </w:tcPr>
                <w:p>
                  <w:pPr>
                    <w:adjustRightInd w:val="0"/>
                    <w:snapToGrid w:val="0"/>
                    <w:jc w:val="center"/>
                    <w:rPr>
                      <w:sz w:val="24"/>
                      <w:szCs w:val="20"/>
                    </w:rPr>
                  </w:pPr>
                  <w:r>
                    <w:rPr>
                      <w:rFonts w:hint="eastAsia"/>
                      <w:sz w:val="24"/>
                      <w:szCs w:val="20"/>
                    </w:rPr>
                    <w:t>监控点处1h平均浓度值</w:t>
                  </w:r>
                </w:p>
              </w:tc>
              <w:tc>
                <w:tcPr>
                  <w:tcW w:w="2060" w:type="dxa"/>
                  <w:vMerge w:val="restart"/>
                  <w:noWrap w:val="0"/>
                  <w:vAlign w:val="center"/>
                </w:tcPr>
                <w:p>
                  <w:pPr>
                    <w:adjustRightInd w:val="0"/>
                    <w:snapToGrid w:val="0"/>
                    <w:jc w:val="center"/>
                    <w:rPr>
                      <w:sz w:val="24"/>
                      <w:szCs w:val="20"/>
                    </w:rPr>
                  </w:pPr>
                  <w:r>
                    <w:rPr>
                      <w:rFonts w:hint="eastAsia"/>
                      <w:sz w:val="24"/>
                      <w:szCs w:val="20"/>
                    </w:rPr>
                    <w:t>厂房外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059" w:type="dxa"/>
                  <w:vMerge w:val="continue"/>
                  <w:noWrap w:val="0"/>
                  <w:vAlign w:val="center"/>
                </w:tcPr>
                <w:p>
                  <w:pPr>
                    <w:adjustRightInd w:val="0"/>
                    <w:snapToGrid w:val="0"/>
                    <w:jc w:val="center"/>
                    <w:rPr>
                      <w:sz w:val="24"/>
                      <w:szCs w:val="20"/>
                    </w:rPr>
                  </w:pPr>
                </w:p>
              </w:tc>
              <w:tc>
                <w:tcPr>
                  <w:tcW w:w="2060" w:type="dxa"/>
                  <w:noWrap w:val="0"/>
                  <w:vAlign w:val="center"/>
                </w:tcPr>
                <w:p>
                  <w:pPr>
                    <w:adjustRightInd w:val="0"/>
                    <w:snapToGrid w:val="0"/>
                    <w:jc w:val="center"/>
                    <w:rPr>
                      <w:sz w:val="24"/>
                      <w:szCs w:val="20"/>
                    </w:rPr>
                  </w:pPr>
                  <w:r>
                    <w:rPr>
                      <w:rFonts w:hint="eastAsia"/>
                      <w:sz w:val="24"/>
                      <w:szCs w:val="20"/>
                    </w:rPr>
                    <w:t>20</w:t>
                  </w:r>
                </w:p>
              </w:tc>
              <w:tc>
                <w:tcPr>
                  <w:tcW w:w="2060" w:type="dxa"/>
                  <w:noWrap w:val="0"/>
                  <w:vAlign w:val="center"/>
                </w:tcPr>
                <w:p>
                  <w:pPr>
                    <w:adjustRightInd w:val="0"/>
                    <w:snapToGrid w:val="0"/>
                    <w:jc w:val="center"/>
                    <w:rPr>
                      <w:sz w:val="24"/>
                      <w:szCs w:val="20"/>
                    </w:rPr>
                  </w:pPr>
                  <w:r>
                    <w:rPr>
                      <w:rFonts w:hint="eastAsia"/>
                      <w:sz w:val="24"/>
                      <w:szCs w:val="20"/>
                    </w:rPr>
                    <w:t>监控点处任意一次浓度值</w:t>
                  </w:r>
                </w:p>
              </w:tc>
              <w:tc>
                <w:tcPr>
                  <w:tcW w:w="2060" w:type="dxa"/>
                  <w:vMerge w:val="continue"/>
                  <w:noWrap w:val="0"/>
                  <w:vAlign w:val="center"/>
                </w:tcPr>
                <w:p>
                  <w:pPr>
                    <w:adjustRightInd w:val="0"/>
                    <w:snapToGrid w:val="0"/>
                    <w:jc w:val="center"/>
                    <w:rPr>
                      <w:sz w:val="24"/>
                      <w:szCs w:val="20"/>
                    </w:rPr>
                  </w:pPr>
                </w:p>
              </w:tc>
            </w:tr>
          </w:tbl>
          <w:p>
            <w:pPr>
              <w:adjustRightInd w:val="0"/>
              <w:snapToGrid w:val="0"/>
              <w:jc w:val="center"/>
              <w:rPr>
                <w:sz w:val="24"/>
                <w:szCs w:val="20"/>
              </w:rPr>
            </w:pPr>
          </w:p>
          <w:p>
            <w:pPr>
              <w:adjustRightInd w:val="0"/>
              <w:snapToGrid w:val="0"/>
              <w:spacing w:line="360" w:lineRule="auto"/>
              <w:ind w:firstLine="480" w:firstLineChars="200"/>
              <w:rPr>
                <w:kern w:val="0"/>
                <w:sz w:val="24"/>
                <w:szCs w:val="20"/>
              </w:rPr>
            </w:pPr>
            <w:r>
              <w:rPr>
                <w:sz w:val="24"/>
                <w:szCs w:val="20"/>
              </w:rPr>
              <w:t>2、施工期生活</w:t>
            </w:r>
            <w:r>
              <w:rPr>
                <w:rFonts w:hint="eastAsia"/>
                <w:sz w:val="24"/>
                <w:szCs w:val="20"/>
                <w:lang w:val="en-US" w:eastAsia="zh-CN"/>
              </w:rPr>
              <w:t>污水</w:t>
            </w:r>
            <w:r>
              <w:rPr>
                <w:sz w:val="24"/>
                <w:szCs w:val="20"/>
              </w:rPr>
              <w:t>、运营期</w:t>
            </w:r>
            <w:r>
              <w:rPr>
                <w:rFonts w:hint="eastAsia"/>
                <w:sz w:val="24"/>
                <w:szCs w:val="20"/>
                <w:lang w:val="en-US" w:eastAsia="zh-CN"/>
              </w:rPr>
              <w:t>生产废水及生活污水</w:t>
            </w:r>
            <w:r>
              <w:rPr>
                <w:sz w:val="24"/>
                <w:szCs w:val="20"/>
              </w:rPr>
              <w:t>经化粪池处理达到《污水综合排放标准》（GB8978-1996）中的三级排放标准后排入市政污水管网送蓬溪县经开区污水处理厂处理达到</w:t>
            </w:r>
            <w:r>
              <w:rPr>
                <w:sz w:val="24"/>
              </w:rPr>
              <w:t>。出水达《城镇污水处理厂污染物排放标准》（GB18918-2002）中一级A标准后</w:t>
            </w:r>
            <w:r>
              <w:rPr>
                <w:sz w:val="24"/>
                <w:szCs w:val="20"/>
              </w:rPr>
              <w:t>，最终排往芝溪河。具体标准见表3-</w:t>
            </w:r>
            <w:r>
              <w:rPr>
                <w:rFonts w:hint="eastAsia"/>
                <w:sz w:val="24"/>
                <w:szCs w:val="20"/>
                <w:lang w:val="en-US" w:eastAsia="zh-CN"/>
              </w:rPr>
              <w:t>7</w:t>
            </w:r>
            <w:r>
              <w:rPr>
                <w:sz w:val="24"/>
                <w:szCs w:val="20"/>
              </w:rPr>
              <w:t>。</w:t>
            </w:r>
          </w:p>
          <w:p>
            <w:pPr>
              <w:pStyle w:val="60"/>
              <w:rPr>
                <w:rFonts w:hint="default" w:ascii="Times New Roman" w:hAnsi="Times New Roman"/>
              </w:rPr>
            </w:pPr>
            <w:r>
              <w:rPr>
                <w:rFonts w:hint="default" w:ascii="Times New Roman" w:hAnsi="Times New Roman"/>
              </w:rPr>
              <w:t>表3-</w:t>
            </w:r>
            <w:r>
              <w:rPr>
                <w:rFonts w:hint="eastAsia" w:ascii="Times New Roman" w:hAnsi="Times New Roman"/>
                <w:lang w:val="en-US" w:eastAsia="zh-CN"/>
              </w:rPr>
              <w:t>7</w:t>
            </w:r>
            <w:r>
              <w:rPr>
                <w:rFonts w:hint="default" w:ascii="Times New Roman" w:hAnsi="Times New Roman"/>
              </w:rPr>
              <w:t>污水排放标准</w:t>
            </w:r>
          </w:p>
          <w:p>
            <w:pPr>
              <w:adjustRightInd w:val="0"/>
              <w:snapToGrid w:val="0"/>
              <w:spacing w:line="360" w:lineRule="auto"/>
              <w:ind w:firstLine="300" w:firstLineChars="200"/>
              <w:jc w:val="right"/>
              <w:rPr>
                <w:rFonts w:eastAsia="黑体"/>
                <w:sz w:val="15"/>
                <w:szCs w:val="15"/>
              </w:rPr>
            </w:pPr>
            <w:r>
              <w:rPr>
                <w:rFonts w:eastAsia="黑体"/>
                <w:sz w:val="15"/>
                <w:szCs w:val="15"/>
              </w:rPr>
              <w:t>（单位：mg/L，pH无量纲）</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9"/>
              <w:gridCol w:w="946"/>
              <w:gridCol w:w="890"/>
              <w:gridCol w:w="835"/>
              <w:gridCol w:w="687"/>
              <w:gridCol w:w="854"/>
              <w:gridCol w:w="760"/>
              <w:gridCol w:w="687"/>
              <w:gridCol w:w="7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1819" w:type="dxa"/>
                  <w:noWrap w:val="0"/>
                  <w:tcMar>
                    <w:left w:w="28" w:type="dxa"/>
                    <w:right w:w="28" w:type="dxa"/>
                  </w:tcMar>
                  <w:vAlign w:val="center"/>
                </w:tcPr>
                <w:p>
                  <w:pPr>
                    <w:spacing w:line="240" w:lineRule="atLeast"/>
                    <w:jc w:val="center"/>
                    <w:rPr>
                      <w:b/>
                      <w:bCs/>
                      <w:szCs w:val="21"/>
                    </w:rPr>
                  </w:pPr>
                  <w:r>
                    <w:rPr>
                      <w:b/>
                      <w:bCs/>
                      <w:szCs w:val="21"/>
                    </w:rPr>
                    <w:t>污染物</w:t>
                  </w:r>
                </w:p>
              </w:tc>
              <w:tc>
                <w:tcPr>
                  <w:tcW w:w="946" w:type="dxa"/>
                  <w:noWrap w:val="0"/>
                  <w:tcMar>
                    <w:left w:w="28" w:type="dxa"/>
                    <w:right w:w="28" w:type="dxa"/>
                  </w:tcMar>
                  <w:vAlign w:val="center"/>
                </w:tcPr>
                <w:p>
                  <w:pPr>
                    <w:spacing w:line="240" w:lineRule="atLeast"/>
                    <w:jc w:val="center"/>
                    <w:rPr>
                      <w:b/>
                      <w:bCs/>
                      <w:szCs w:val="21"/>
                    </w:rPr>
                  </w:pPr>
                  <w:r>
                    <w:rPr>
                      <w:b/>
                      <w:bCs/>
                      <w:szCs w:val="21"/>
                    </w:rPr>
                    <w:t>pH</w:t>
                  </w:r>
                </w:p>
              </w:tc>
              <w:tc>
                <w:tcPr>
                  <w:tcW w:w="890" w:type="dxa"/>
                  <w:noWrap w:val="0"/>
                  <w:tcMar>
                    <w:left w:w="28" w:type="dxa"/>
                    <w:right w:w="28" w:type="dxa"/>
                  </w:tcMar>
                  <w:vAlign w:val="center"/>
                </w:tcPr>
                <w:p>
                  <w:pPr>
                    <w:spacing w:line="240" w:lineRule="atLeast"/>
                    <w:jc w:val="center"/>
                    <w:rPr>
                      <w:b/>
                      <w:bCs/>
                      <w:szCs w:val="21"/>
                    </w:rPr>
                  </w:pPr>
                  <w:r>
                    <w:rPr>
                      <w:b/>
                      <w:bCs/>
                      <w:szCs w:val="21"/>
                    </w:rPr>
                    <w:t>COD</w:t>
                  </w:r>
                </w:p>
              </w:tc>
              <w:tc>
                <w:tcPr>
                  <w:tcW w:w="835" w:type="dxa"/>
                  <w:noWrap w:val="0"/>
                  <w:tcMar>
                    <w:left w:w="28" w:type="dxa"/>
                    <w:right w:w="28" w:type="dxa"/>
                  </w:tcMar>
                  <w:vAlign w:val="center"/>
                </w:tcPr>
                <w:p>
                  <w:pPr>
                    <w:spacing w:line="240" w:lineRule="atLeast"/>
                    <w:jc w:val="center"/>
                    <w:rPr>
                      <w:b/>
                      <w:bCs/>
                      <w:szCs w:val="21"/>
                    </w:rPr>
                  </w:pPr>
                  <w:r>
                    <w:rPr>
                      <w:b/>
                      <w:bCs/>
                      <w:szCs w:val="21"/>
                    </w:rPr>
                    <w:t>BOD</w:t>
                  </w:r>
                  <w:r>
                    <w:rPr>
                      <w:b/>
                      <w:bCs/>
                      <w:szCs w:val="21"/>
                      <w:vertAlign w:val="subscript"/>
                    </w:rPr>
                    <w:t>5</w:t>
                  </w:r>
                </w:p>
              </w:tc>
              <w:tc>
                <w:tcPr>
                  <w:tcW w:w="687" w:type="dxa"/>
                  <w:noWrap w:val="0"/>
                  <w:tcMar>
                    <w:left w:w="28" w:type="dxa"/>
                    <w:right w:w="28" w:type="dxa"/>
                  </w:tcMar>
                  <w:vAlign w:val="center"/>
                </w:tcPr>
                <w:p>
                  <w:pPr>
                    <w:spacing w:line="240" w:lineRule="atLeast"/>
                    <w:jc w:val="center"/>
                    <w:rPr>
                      <w:b/>
                      <w:bCs/>
                      <w:szCs w:val="21"/>
                    </w:rPr>
                  </w:pPr>
                  <w:r>
                    <w:rPr>
                      <w:b/>
                      <w:bCs/>
                      <w:szCs w:val="21"/>
                    </w:rPr>
                    <w:t>SS</w:t>
                  </w:r>
                </w:p>
              </w:tc>
              <w:tc>
                <w:tcPr>
                  <w:tcW w:w="854" w:type="dxa"/>
                  <w:noWrap w:val="0"/>
                  <w:tcMar>
                    <w:left w:w="28" w:type="dxa"/>
                    <w:right w:w="28" w:type="dxa"/>
                  </w:tcMar>
                  <w:vAlign w:val="center"/>
                </w:tcPr>
                <w:p>
                  <w:pPr>
                    <w:spacing w:line="240" w:lineRule="atLeast"/>
                    <w:jc w:val="center"/>
                    <w:rPr>
                      <w:b/>
                      <w:bCs/>
                      <w:szCs w:val="21"/>
                    </w:rPr>
                  </w:pPr>
                  <w:r>
                    <w:rPr>
                      <w:b/>
                      <w:bCs/>
                      <w:szCs w:val="21"/>
                    </w:rPr>
                    <w:t>石油类</w:t>
                  </w:r>
                </w:p>
              </w:tc>
              <w:tc>
                <w:tcPr>
                  <w:tcW w:w="760" w:type="dxa"/>
                  <w:noWrap w:val="0"/>
                  <w:tcMar>
                    <w:left w:w="28" w:type="dxa"/>
                    <w:right w:w="28" w:type="dxa"/>
                  </w:tcMar>
                  <w:vAlign w:val="center"/>
                </w:tcPr>
                <w:p>
                  <w:pPr>
                    <w:spacing w:line="240" w:lineRule="atLeast"/>
                    <w:jc w:val="center"/>
                    <w:rPr>
                      <w:b/>
                      <w:bCs/>
                      <w:szCs w:val="21"/>
                    </w:rPr>
                  </w:pPr>
                  <w:r>
                    <w:rPr>
                      <w:b/>
                      <w:bCs/>
                      <w:szCs w:val="21"/>
                    </w:rPr>
                    <w:t>氨氮</w:t>
                  </w:r>
                </w:p>
              </w:tc>
              <w:tc>
                <w:tcPr>
                  <w:tcW w:w="687" w:type="dxa"/>
                  <w:noWrap w:val="0"/>
                  <w:tcMar>
                    <w:left w:w="28" w:type="dxa"/>
                    <w:right w:w="28" w:type="dxa"/>
                  </w:tcMar>
                  <w:vAlign w:val="center"/>
                </w:tcPr>
                <w:p>
                  <w:pPr>
                    <w:spacing w:line="240" w:lineRule="atLeast"/>
                    <w:jc w:val="center"/>
                    <w:rPr>
                      <w:b/>
                      <w:bCs/>
                      <w:szCs w:val="21"/>
                    </w:rPr>
                  </w:pPr>
                  <w:r>
                    <w:rPr>
                      <w:b/>
                      <w:bCs/>
                      <w:szCs w:val="21"/>
                    </w:rPr>
                    <w:t>总磷</w:t>
                  </w:r>
                </w:p>
              </w:tc>
              <w:tc>
                <w:tcPr>
                  <w:tcW w:w="742" w:type="dxa"/>
                  <w:noWrap w:val="0"/>
                  <w:tcMar>
                    <w:left w:w="28" w:type="dxa"/>
                    <w:right w:w="28" w:type="dxa"/>
                  </w:tcMar>
                  <w:vAlign w:val="center"/>
                </w:tcPr>
                <w:p>
                  <w:pPr>
                    <w:spacing w:line="240" w:lineRule="atLeast"/>
                    <w:jc w:val="center"/>
                    <w:rPr>
                      <w:b/>
                      <w:bCs/>
                      <w:szCs w:val="21"/>
                    </w:rPr>
                  </w:pPr>
                  <w:r>
                    <w:rPr>
                      <w:b/>
                      <w:bCs/>
                      <w:szCs w:val="21"/>
                    </w:rPr>
                    <w:t>总氮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819" w:type="dxa"/>
                  <w:noWrap w:val="0"/>
                  <w:tcMar>
                    <w:left w:w="28" w:type="dxa"/>
                    <w:right w:w="28" w:type="dxa"/>
                  </w:tcMar>
                  <w:vAlign w:val="center"/>
                </w:tcPr>
                <w:p>
                  <w:pPr>
                    <w:spacing w:line="240" w:lineRule="atLeast"/>
                    <w:jc w:val="center"/>
                    <w:rPr>
                      <w:bCs/>
                      <w:szCs w:val="21"/>
                    </w:rPr>
                  </w:pPr>
                  <w:r>
                    <w:rPr>
                      <w:bCs/>
                      <w:szCs w:val="21"/>
                    </w:rPr>
                    <w:t>GB8978—1996</w:t>
                  </w:r>
                </w:p>
                <w:p>
                  <w:pPr>
                    <w:spacing w:line="240" w:lineRule="atLeast"/>
                    <w:jc w:val="center"/>
                    <w:rPr>
                      <w:bCs/>
                      <w:szCs w:val="21"/>
                    </w:rPr>
                  </w:pPr>
                  <w:r>
                    <w:rPr>
                      <w:bCs/>
                      <w:szCs w:val="21"/>
                    </w:rPr>
                    <w:t>三级标准</w:t>
                  </w:r>
                </w:p>
              </w:tc>
              <w:tc>
                <w:tcPr>
                  <w:tcW w:w="946" w:type="dxa"/>
                  <w:noWrap w:val="0"/>
                  <w:tcMar>
                    <w:left w:w="28" w:type="dxa"/>
                    <w:right w:w="28" w:type="dxa"/>
                  </w:tcMar>
                  <w:vAlign w:val="center"/>
                </w:tcPr>
                <w:p>
                  <w:pPr>
                    <w:spacing w:line="240" w:lineRule="atLeast"/>
                    <w:jc w:val="center"/>
                    <w:rPr>
                      <w:bCs/>
                      <w:szCs w:val="21"/>
                    </w:rPr>
                  </w:pPr>
                  <w:r>
                    <w:rPr>
                      <w:bCs/>
                      <w:szCs w:val="21"/>
                    </w:rPr>
                    <w:t>6~9</w:t>
                  </w:r>
                </w:p>
              </w:tc>
              <w:tc>
                <w:tcPr>
                  <w:tcW w:w="890" w:type="dxa"/>
                  <w:noWrap w:val="0"/>
                  <w:tcMar>
                    <w:left w:w="28" w:type="dxa"/>
                    <w:right w:w="28" w:type="dxa"/>
                  </w:tcMar>
                  <w:vAlign w:val="center"/>
                </w:tcPr>
                <w:p>
                  <w:pPr>
                    <w:spacing w:line="240" w:lineRule="atLeast"/>
                    <w:jc w:val="center"/>
                    <w:rPr>
                      <w:bCs/>
                      <w:szCs w:val="21"/>
                    </w:rPr>
                  </w:pPr>
                  <w:r>
                    <w:rPr>
                      <w:bCs/>
                      <w:szCs w:val="21"/>
                    </w:rPr>
                    <w:t>500</w:t>
                  </w:r>
                </w:p>
              </w:tc>
              <w:tc>
                <w:tcPr>
                  <w:tcW w:w="835" w:type="dxa"/>
                  <w:noWrap w:val="0"/>
                  <w:tcMar>
                    <w:left w:w="28" w:type="dxa"/>
                    <w:right w:w="28" w:type="dxa"/>
                  </w:tcMar>
                  <w:vAlign w:val="center"/>
                </w:tcPr>
                <w:p>
                  <w:pPr>
                    <w:spacing w:line="240" w:lineRule="atLeast"/>
                    <w:jc w:val="center"/>
                    <w:rPr>
                      <w:bCs/>
                      <w:szCs w:val="21"/>
                    </w:rPr>
                  </w:pPr>
                  <w:r>
                    <w:rPr>
                      <w:bCs/>
                      <w:szCs w:val="21"/>
                    </w:rPr>
                    <w:t>300</w:t>
                  </w:r>
                </w:p>
              </w:tc>
              <w:tc>
                <w:tcPr>
                  <w:tcW w:w="687" w:type="dxa"/>
                  <w:noWrap w:val="0"/>
                  <w:tcMar>
                    <w:left w:w="28" w:type="dxa"/>
                    <w:right w:w="28" w:type="dxa"/>
                  </w:tcMar>
                  <w:vAlign w:val="center"/>
                </w:tcPr>
                <w:p>
                  <w:pPr>
                    <w:spacing w:line="240" w:lineRule="atLeast"/>
                    <w:jc w:val="center"/>
                    <w:rPr>
                      <w:bCs/>
                      <w:szCs w:val="21"/>
                    </w:rPr>
                  </w:pPr>
                  <w:r>
                    <w:rPr>
                      <w:bCs/>
                      <w:szCs w:val="21"/>
                    </w:rPr>
                    <w:t>400</w:t>
                  </w:r>
                </w:p>
              </w:tc>
              <w:tc>
                <w:tcPr>
                  <w:tcW w:w="854" w:type="dxa"/>
                  <w:noWrap w:val="0"/>
                  <w:tcMar>
                    <w:left w:w="28" w:type="dxa"/>
                    <w:right w:w="28" w:type="dxa"/>
                  </w:tcMar>
                  <w:vAlign w:val="center"/>
                </w:tcPr>
                <w:p>
                  <w:pPr>
                    <w:spacing w:line="240" w:lineRule="atLeast"/>
                    <w:jc w:val="center"/>
                    <w:rPr>
                      <w:bCs/>
                      <w:szCs w:val="21"/>
                    </w:rPr>
                  </w:pPr>
                  <w:r>
                    <w:rPr>
                      <w:bCs/>
                      <w:szCs w:val="21"/>
                    </w:rPr>
                    <w:t>20</w:t>
                  </w:r>
                </w:p>
              </w:tc>
              <w:tc>
                <w:tcPr>
                  <w:tcW w:w="760" w:type="dxa"/>
                  <w:noWrap w:val="0"/>
                  <w:tcMar>
                    <w:left w:w="28" w:type="dxa"/>
                    <w:right w:w="28" w:type="dxa"/>
                  </w:tcMar>
                  <w:vAlign w:val="center"/>
                </w:tcPr>
                <w:p>
                  <w:pPr>
                    <w:spacing w:line="240" w:lineRule="atLeast"/>
                    <w:jc w:val="center"/>
                    <w:rPr>
                      <w:bCs/>
                      <w:szCs w:val="21"/>
                    </w:rPr>
                  </w:pPr>
                  <w:r>
                    <w:rPr>
                      <w:bCs/>
                      <w:szCs w:val="21"/>
                    </w:rPr>
                    <w:t>-</w:t>
                  </w:r>
                </w:p>
              </w:tc>
              <w:tc>
                <w:tcPr>
                  <w:tcW w:w="687" w:type="dxa"/>
                  <w:noWrap w:val="0"/>
                  <w:tcMar>
                    <w:left w:w="28" w:type="dxa"/>
                    <w:right w:w="28" w:type="dxa"/>
                  </w:tcMar>
                  <w:vAlign w:val="center"/>
                </w:tcPr>
                <w:p>
                  <w:pPr>
                    <w:spacing w:line="240" w:lineRule="atLeast"/>
                    <w:jc w:val="center"/>
                    <w:rPr>
                      <w:bCs/>
                      <w:szCs w:val="21"/>
                    </w:rPr>
                  </w:pPr>
                  <w:r>
                    <w:rPr>
                      <w:bCs/>
                      <w:szCs w:val="21"/>
                    </w:rPr>
                    <w:t>-</w:t>
                  </w:r>
                </w:p>
              </w:tc>
              <w:tc>
                <w:tcPr>
                  <w:tcW w:w="742" w:type="dxa"/>
                  <w:noWrap w:val="0"/>
                  <w:tcMar>
                    <w:left w:w="28" w:type="dxa"/>
                    <w:right w:w="28" w:type="dxa"/>
                  </w:tcMar>
                  <w:vAlign w:val="center"/>
                </w:tcPr>
                <w:p>
                  <w:pPr>
                    <w:spacing w:line="240" w:lineRule="atLeast"/>
                    <w:jc w:val="center"/>
                    <w:rPr>
                      <w:bCs/>
                      <w:szCs w:val="21"/>
                    </w:rPr>
                  </w:pPr>
                  <w:r>
                    <w:rPr>
                      <w:bCs/>
                      <w:szCs w:val="21"/>
                    </w:rPr>
                    <w:t>-</w:t>
                  </w:r>
                </w:p>
              </w:tc>
            </w:tr>
          </w:tbl>
          <w:p>
            <w:pPr>
              <w:spacing w:line="360" w:lineRule="auto"/>
              <w:rPr>
                <w:sz w:val="24"/>
                <w:szCs w:val="20"/>
              </w:rPr>
            </w:pPr>
          </w:p>
          <w:p>
            <w:pPr>
              <w:adjustRightInd w:val="0"/>
              <w:snapToGrid w:val="0"/>
              <w:spacing w:line="360" w:lineRule="auto"/>
              <w:ind w:firstLine="420" w:firstLineChars="175"/>
              <w:rPr>
                <w:sz w:val="24"/>
                <w:szCs w:val="22"/>
              </w:rPr>
            </w:pPr>
            <w:r>
              <w:rPr>
                <w:sz w:val="24"/>
                <w:szCs w:val="22"/>
              </w:rPr>
              <w:t>3、施工期噪声执行《建筑施工场界环境噪声排放标准》（GB12523-2011）中相应标准限值，如下表所示：</w:t>
            </w:r>
          </w:p>
          <w:p>
            <w:pPr>
              <w:pStyle w:val="60"/>
              <w:rPr>
                <w:rFonts w:hint="default" w:ascii="Times New Roman" w:hAnsi="Times New Roman"/>
              </w:rPr>
            </w:pPr>
            <w:r>
              <w:rPr>
                <w:rFonts w:hint="default" w:ascii="Times New Roman" w:hAnsi="Times New Roman"/>
              </w:rPr>
              <w:t>表3-</w:t>
            </w:r>
            <w:r>
              <w:rPr>
                <w:rFonts w:hint="eastAsia" w:ascii="Times New Roman" w:hAnsi="Times New Roman"/>
                <w:lang w:val="en-US" w:eastAsia="zh-CN"/>
              </w:rPr>
              <w:t>8</w:t>
            </w:r>
            <w:r>
              <w:rPr>
                <w:rFonts w:hint="default" w:ascii="Times New Roman" w:hAnsi="Times New Roman"/>
              </w:rPr>
              <w:t>《建筑施工场界环境噪声排放标准》GB12523-2011</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2557"/>
              <w:gridCol w:w="25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3103" w:type="dxa"/>
                  <w:vMerge w:val="restart"/>
                  <w:noWrap w:val="0"/>
                  <w:tcMar>
                    <w:left w:w="28" w:type="dxa"/>
                    <w:right w:w="28" w:type="dxa"/>
                  </w:tcMar>
                  <w:vAlign w:val="center"/>
                </w:tcPr>
                <w:p>
                  <w:pPr>
                    <w:spacing w:line="240" w:lineRule="atLeast"/>
                    <w:jc w:val="center"/>
                    <w:rPr>
                      <w:bCs/>
                      <w:szCs w:val="21"/>
                    </w:rPr>
                  </w:pPr>
                  <w:r>
                    <w:rPr>
                      <w:bCs/>
                      <w:szCs w:val="21"/>
                    </w:rPr>
                    <w:t>执行标准</w:t>
                  </w:r>
                </w:p>
              </w:tc>
              <w:tc>
                <w:tcPr>
                  <w:tcW w:w="5117" w:type="dxa"/>
                  <w:gridSpan w:val="2"/>
                  <w:noWrap w:val="0"/>
                  <w:tcMar>
                    <w:left w:w="28" w:type="dxa"/>
                    <w:right w:w="28" w:type="dxa"/>
                  </w:tcMar>
                  <w:vAlign w:val="center"/>
                </w:tcPr>
                <w:p>
                  <w:pPr>
                    <w:spacing w:line="240" w:lineRule="atLeast"/>
                    <w:jc w:val="center"/>
                    <w:rPr>
                      <w:bCs/>
                      <w:szCs w:val="21"/>
                    </w:rPr>
                  </w:pPr>
                  <w:r>
                    <w:rPr>
                      <w:bCs/>
                      <w:szCs w:val="21"/>
                    </w:rPr>
                    <w:t>标准值Le 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3103" w:type="dxa"/>
                  <w:vMerge w:val="continue"/>
                  <w:noWrap w:val="0"/>
                  <w:tcMar>
                    <w:left w:w="28" w:type="dxa"/>
                    <w:right w:w="28" w:type="dxa"/>
                  </w:tcMar>
                  <w:vAlign w:val="center"/>
                </w:tcPr>
                <w:p>
                  <w:pPr>
                    <w:spacing w:line="240" w:lineRule="atLeast"/>
                    <w:jc w:val="center"/>
                    <w:rPr>
                      <w:bCs/>
                      <w:szCs w:val="21"/>
                    </w:rPr>
                  </w:pPr>
                </w:p>
              </w:tc>
              <w:tc>
                <w:tcPr>
                  <w:tcW w:w="2557" w:type="dxa"/>
                  <w:noWrap w:val="0"/>
                  <w:tcMar>
                    <w:left w:w="28" w:type="dxa"/>
                    <w:right w:w="28" w:type="dxa"/>
                  </w:tcMar>
                  <w:vAlign w:val="center"/>
                </w:tcPr>
                <w:p>
                  <w:pPr>
                    <w:spacing w:line="240" w:lineRule="atLeast"/>
                    <w:jc w:val="center"/>
                    <w:rPr>
                      <w:bCs/>
                      <w:szCs w:val="21"/>
                    </w:rPr>
                  </w:pPr>
                  <w:r>
                    <w:rPr>
                      <w:bCs/>
                      <w:szCs w:val="21"/>
                    </w:rPr>
                    <w:t>昼间</w:t>
                  </w:r>
                </w:p>
              </w:tc>
              <w:tc>
                <w:tcPr>
                  <w:tcW w:w="2560" w:type="dxa"/>
                  <w:noWrap w:val="0"/>
                  <w:tcMar>
                    <w:left w:w="28" w:type="dxa"/>
                    <w:right w:w="28" w:type="dxa"/>
                  </w:tcMar>
                  <w:vAlign w:val="center"/>
                </w:tcPr>
                <w:p>
                  <w:pPr>
                    <w:spacing w:line="240" w:lineRule="atLeast"/>
                    <w:jc w:val="center"/>
                    <w:rPr>
                      <w:bCs/>
                      <w:szCs w:val="21"/>
                    </w:rPr>
                  </w:pPr>
                  <w:r>
                    <w:rPr>
                      <w:bCs/>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103" w:type="dxa"/>
                  <w:noWrap w:val="0"/>
                  <w:tcMar>
                    <w:left w:w="28" w:type="dxa"/>
                    <w:right w:w="28" w:type="dxa"/>
                  </w:tcMar>
                  <w:vAlign w:val="center"/>
                </w:tcPr>
                <w:p>
                  <w:pPr>
                    <w:spacing w:line="240" w:lineRule="atLeast"/>
                    <w:jc w:val="center"/>
                    <w:rPr>
                      <w:bCs/>
                      <w:szCs w:val="21"/>
                    </w:rPr>
                  </w:pPr>
                  <w:r>
                    <w:rPr>
                      <w:szCs w:val="21"/>
                    </w:rPr>
                    <w:t>GB12523-2011</w:t>
                  </w:r>
                </w:p>
              </w:tc>
              <w:tc>
                <w:tcPr>
                  <w:tcW w:w="2557" w:type="dxa"/>
                  <w:noWrap w:val="0"/>
                  <w:tcMar>
                    <w:left w:w="28" w:type="dxa"/>
                    <w:right w:w="28" w:type="dxa"/>
                  </w:tcMar>
                  <w:vAlign w:val="center"/>
                </w:tcPr>
                <w:p>
                  <w:pPr>
                    <w:spacing w:line="240" w:lineRule="atLeast"/>
                    <w:jc w:val="center"/>
                    <w:rPr>
                      <w:bCs/>
                      <w:szCs w:val="21"/>
                    </w:rPr>
                  </w:pPr>
                  <w:r>
                    <w:rPr>
                      <w:bCs/>
                      <w:szCs w:val="21"/>
                    </w:rPr>
                    <w:t>70</w:t>
                  </w:r>
                </w:p>
              </w:tc>
              <w:tc>
                <w:tcPr>
                  <w:tcW w:w="2560" w:type="dxa"/>
                  <w:noWrap w:val="0"/>
                  <w:tcMar>
                    <w:left w:w="28" w:type="dxa"/>
                    <w:right w:w="28" w:type="dxa"/>
                  </w:tcMar>
                  <w:vAlign w:val="center"/>
                </w:tcPr>
                <w:p>
                  <w:pPr>
                    <w:spacing w:line="240" w:lineRule="atLeast"/>
                    <w:jc w:val="center"/>
                    <w:rPr>
                      <w:bCs/>
                      <w:szCs w:val="21"/>
                    </w:rPr>
                  </w:pPr>
                  <w:r>
                    <w:rPr>
                      <w:bCs/>
                      <w:szCs w:val="21"/>
                    </w:rPr>
                    <w:t>55</w:t>
                  </w:r>
                </w:p>
              </w:tc>
            </w:tr>
          </w:tbl>
          <w:p>
            <w:pPr>
              <w:adjustRightInd w:val="0"/>
              <w:snapToGrid w:val="0"/>
              <w:spacing w:line="360" w:lineRule="auto"/>
              <w:ind w:firstLine="480" w:firstLineChars="200"/>
              <w:rPr>
                <w:sz w:val="24"/>
                <w:szCs w:val="20"/>
              </w:rPr>
            </w:pPr>
            <w:r>
              <w:rPr>
                <w:sz w:val="24"/>
                <w:szCs w:val="20"/>
              </w:rPr>
              <w:t>运营期执行《工业企业厂界环境噪声排放标准》（GB12348-2008）</w:t>
            </w:r>
            <w:r>
              <w:rPr>
                <w:kern w:val="28"/>
                <w:sz w:val="24"/>
                <w:szCs w:val="20"/>
              </w:rPr>
              <w:t>3</w:t>
            </w:r>
            <w:r>
              <w:rPr>
                <w:sz w:val="24"/>
                <w:szCs w:val="20"/>
              </w:rPr>
              <w:t>类标准，昼间65dB(A)，夜间55dB(A)。</w:t>
            </w:r>
          </w:p>
          <w:p>
            <w:pPr>
              <w:adjustRightInd w:val="0"/>
              <w:snapToGrid w:val="0"/>
              <w:spacing w:line="360" w:lineRule="auto"/>
              <w:ind w:firstLine="480" w:firstLineChars="200"/>
              <w:rPr>
                <w:sz w:val="24"/>
                <w:szCs w:val="20"/>
              </w:rPr>
            </w:pPr>
            <w:r>
              <w:rPr>
                <w:sz w:val="24"/>
                <w:szCs w:val="20"/>
              </w:rPr>
              <w:t>具体标准限值如下表：</w:t>
            </w:r>
          </w:p>
          <w:p>
            <w:pPr>
              <w:pStyle w:val="60"/>
              <w:rPr>
                <w:rFonts w:hint="default" w:ascii="Times New Roman" w:hAnsi="Times New Roman"/>
              </w:rPr>
            </w:pPr>
            <w:r>
              <w:rPr>
                <w:rFonts w:hint="default" w:ascii="Times New Roman" w:hAnsi="Times New Roman"/>
              </w:rPr>
              <w:t>表3-</w:t>
            </w:r>
            <w:r>
              <w:rPr>
                <w:rFonts w:hint="eastAsia" w:ascii="Times New Roman" w:hAnsi="Times New Roman"/>
                <w:lang w:val="en-US" w:eastAsia="zh-CN"/>
              </w:rPr>
              <w:t>9</w:t>
            </w:r>
            <w:r>
              <w:rPr>
                <w:rFonts w:hint="default" w:ascii="Times New Roman" w:hAnsi="Times New Roman"/>
              </w:rPr>
              <w:t>《工业企业厂界环境噪声排放标准》GB12348-2008</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469" w:type="dxa"/>
                  <w:vMerge w:val="restart"/>
                  <w:noWrap w:val="0"/>
                  <w:tcMar>
                    <w:left w:w="28" w:type="dxa"/>
                    <w:right w:w="28" w:type="dxa"/>
                  </w:tcMar>
                  <w:vAlign w:val="center"/>
                </w:tcPr>
                <w:p>
                  <w:pPr>
                    <w:spacing w:line="240" w:lineRule="atLeast"/>
                    <w:jc w:val="center"/>
                    <w:rPr>
                      <w:b/>
                      <w:bCs/>
                      <w:szCs w:val="21"/>
                    </w:rPr>
                  </w:pPr>
                  <w:r>
                    <w:rPr>
                      <w:b/>
                      <w:bCs/>
                      <w:szCs w:val="21"/>
                    </w:rPr>
                    <w:t>执行标准</w:t>
                  </w:r>
                </w:p>
              </w:tc>
              <w:tc>
                <w:tcPr>
                  <w:tcW w:w="1679" w:type="dxa"/>
                  <w:vMerge w:val="restart"/>
                  <w:noWrap w:val="0"/>
                  <w:tcMar>
                    <w:left w:w="28" w:type="dxa"/>
                    <w:right w:w="28" w:type="dxa"/>
                  </w:tcMar>
                  <w:vAlign w:val="center"/>
                </w:tcPr>
                <w:p>
                  <w:pPr>
                    <w:spacing w:line="240" w:lineRule="atLeast"/>
                    <w:jc w:val="center"/>
                    <w:rPr>
                      <w:b/>
                      <w:bCs/>
                      <w:szCs w:val="21"/>
                    </w:rPr>
                  </w:pPr>
                  <w:r>
                    <w:rPr>
                      <w:b/>
                      <w:bCs/>
                      <w:szCs w:val="21"/>
                    </w:rPr>
                    <w:t>类别</w:t>
                  </w:r>
                </w:p>
              </w:tc>
              <w:tc>
                <w:tcPr>
                  <w:tcW w:w="4072" w:type="dxa"/>
                  <w:gridSpan w:val="2"/>
                  <w:noWrap w:val="0"/>
                  <w:tcMar>
                    <w:left w:w="28" w:type="dxa"/>
                    <w:right w:w="28" w:type="dxa"/>
                  </w:tcMar>
                  <w:vAlign w:val="center"/>
                </w:tcPr>
                <w:p>
                  <w:pPr>
                    <w:spacing w:line="240" w:lineRule="atLeast"/>
                    <w:jc w:val="center"/>
                    <w:rPr>
                      <w:b/>
                      <w:bCs/>
                      <w:szCs w:val="21"/>
                    </w:rPr>
                  </w:pPr>
                  <w:r>
                    <w:rPr>
                      <w:b/>
                      <w:bCs/>
                      <w:szCs w:val="21"/>
                    </w:rPr>
                    <w:t>标准值Le q：dB(A)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469" w:type="dxa"/>
                  <w:vMerge w:val="continue"/>
                  <w:noWrap w:val="0"/>
                  <w:tcMar>
                    <w:left w:w="28" w:type="dxa"/>
                    <w:right w:w="28" w:type="dxa"/>
                  </w:tcMar>
                  <w:vAlign w:val="center"/>
                </w:tcPr>
                <w:p>
                  <w:pPr>
                    <w:spacing w:line="240" w:lineRule="atLeast"/>
                    <w:jc w:val="center"/>
                    <w:rPr>
                      <w:bCs/>
                      <w:szCs w:val="21"/>
                    </w:rPr>
                  </w:pPr>
                </w:p>
              </w:tc>
              <w:tc>
                <w:tcPr>
                  <w:tcW w:w="1679" w:type="dxa"/>
                  <w:vMerge w:val="continue"/>
                  <w:noWrap w:val="0"/>
                  <w:tcMar>
                    <w:left w:w="28" w:type="dxa"/>
                    <w:right w:w="28" w:type="dxa"/>
                  </w:tcMar>
                  <w:vAlign w:val="center"/>
                </w:tcPr>
                <w:p>
                  <w:pPr>
                    <w:spacing w:line="240" w:lineRule="atLeast"/>
                    <w:jc w:val="center"/>
                    <w:rPr>
                      <w:bCs/>
                      <w:szCs w:val="21"/>
                    </w:rPr>
                  </w:pPr>
                </w:p>
              </w:tc>
              <w:tc>
                <w:tcPr>
                  <w:tcW w:w="2035" w:type="dxa"/>
                  <w:noWrap w:val="0"/>
                  <w:tcMar>
                    <w:left w:w="28" w:type="dxa"/>
                    <w:right w:w="28" w:type="dxa"/>
                  </w:tcMar>
                  <w:vAlign w:val="center"/>
                </w:tcPr>
                <w:p>
                  <w:pPr>
                    <w:spacing w:line="240" w:lineRule="atLeast"/>
                    <w:jc w:val="center"/>
                    <w:rPr>
                      <w:bCs/>
                      <w:szCs w:val="21"/>
                    </w:rPr>
                  </w:pPr>
                  <w:r>
                    <w:rPr>
                      <w:bCs/>
                      <w:szCs w:val="21"/>
                    </w:rPr>
                    <w:t>昼间</w:t>
                  </w:r>
                </w:p>
              </w:tc>
              <w:tc>
                <w:tcPr>
                  <w:tcW w:w="2037" w:type="dxa"/>
                  <w:noWrap w:val="0"/>
                  <w:tcMar>
                    <w:left w:w="28" w:type="dxa"/>
                    <w:right w:w="28" w:type="dxa"/>
                  </w:tcMar>
                  <w:vAlign w:val="center"/>
                </w:tcPr>
                <w:p>
                  <w:pPr>
                    <w:spacing w:line="240" w:lineRule="atLeast"/>
                    <w:jc w:val="center"/>
                    <w:rPr>
                      <w:bCs/>
                      <w:szCs w:val="21"/>
                    </w:rPr>
                  </w:pPr>
                  <w:r>
                    <w:rPr>
                      <w:bCs/>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2469" w:type="dxa"/>
                  <w:noWrap w:val="0"/>
                  <w:tcMar>
                    <w:left w:w="28" w:type="dxa"/>
                    <w:right w:w="28" w:type="dxa"/>
                  </w:tcMar>
                  <w:vAlign w:val="center"/>
                </w:tcPr>
                <w:p>
                  <w:pPr>
                    <w:spacing w:line="240" w:lineRule="atLeast"/>
                    <w:jc w:val="center"/>
                    <w:rPr>
                      <w:bCs/>
                      <w:szCs w:val="21"/>
                    </w:rPr>
                  </w:pPr>
                  <w:r>
                    <w:rPr>
                      <w:bCs/>
                      <w:szCs w:val="21"/>
                    </w:rPr>
                    <w:t>GB12348-2008</w:t>
                  </w:r>
                </w:p>
              </w:tc>
              <w:tc>
                <w:tcPr>
                  <w:tcW w:w="1679" w:type="dxa"/>
                  <w:noWrap w:val="0"/>
                  <w:tcMar>
                    <w:left w:w="28" w:type="dxa"/>
                    <w:right w:w="28" w:type="dxa"/>
                  </w:tcMar>
                  <w:vAlign w:val="center"/>
                </w:tcPr>
                <w:p>
                  <w:pPr>
                    <w:spacing w:line="240" w:lineRule="atLeast"/>
                    <w:jc w:val="center"/>
                    <w:rPr>
                      <w:bCs/>
                      <w:szCs w:val="21"/>
                    </w:rPr>
                  </w:pPr>
                  <w:r>
                    <w:rPr>
                      <w:bCs/>
                      <w:szCs w:val="21"/>
                    </w:rPr>
                    <w:t>3类</w:t>
                  </w:r>
                </w:p>
              </w:tc>
              <w:tc>
                <w:tcPr>
                  <w:tcW w:w="2035" w:type="dxa"/>
                  <w:noWrap w:val="0"/>
                  <w:tcMar>
                    <w:left w:w="28" w:type="dxa"/>
                    <w:right w:w="28" w:type="dxa"/>
                  </w:tcMar>
                  <w:vAlign w:val="center"/>
                </w:tcPr>
                <w:p>
                  <w:pPr>
                    <w:spacing w:line="240" w:lineRule="atLeast"/>
                    <w:jc w:val="center"/>
                    <w:rPr>
                      <w:bCs/>
                      <w:szCs w:val="21"/>
                    </w:rPr>
                  </w:pPr>
                  <w:r>
                    <w:rPr>
                      <w:bCs/>
                      <w:szCs w:val="21"/>
                    </w:rPr>
                    <w:t>65</w:t>
                  </w:r>
                </w:p>
              </w:tc>
              <w:tc>
                <w:tcPr>
                  <w:tcW w:w="2037" w:type="dxa"/>
                  <w:noWrap w:val="0"/>
                  <w:tcMar>
                    <w:left w:w="28" w:type="dxa"/>
                    <w:right w:w="28" w:type="dxa"/>
                  </w:tcMar>
                  <w:vAlign w:val="center"/>
                </w:tcPr>
                <w:p>
                  <w:pPr>
                    <w:spacing w:line="240" w:lineRule="atLeast"/>
                    <w:jc w:val="center"/>
                    <w:rPr>
                      <w:bCs/>
                      <w:szCs w:val="21"/>
                    </w:rPr>
                  </w:pPr>
                  <w:r>
                    <w:rPr>
                      <w:bCs/>
                      <w:szCs w:val="21"/>
                    </w:rPr>
                    <w:t>55</w:t>
                  </w:r>
                </w:p>
              </w:tc>
            </w:tr>
          </w:tbl>
          <w:p>
            <w:pPr>
              <w:adjustRightInd w:val="0"/>
              <w:snapToGrid w:val="0"/>
              <w:spacing w:line="360" w:lineRule="auto"/>
              <w:ind w:firstLine="480" w:firstLineChars="200"/>
              <w:rPr>
                <w:sz w:val="24"/>
                <w:szCs w:val="20"/>
              </w:rPr>
            </w:pPr>
          </w:p>
          <w:p>
            <w:pPr>
              <w:adjustRightInd w:val="0"/>
              <w:snapToGrid w:val="0"/>
              <w:spacing w:line="360" w:lineRule="auto"/>
              <w:ind w:firstLine="480" w:firstLineChars="200"/>
              <w:rPr>
                <w:kern w:val="0"/>
                <w:szCs w:val="21"/>
              </w:rPr>
            </w:pPr>
            <w:r>
              <w:rPr>
                <w:sz w:val="24"/>
                <w:szCs w:val="20"/>
              </w:rPr>
              <w:t>4、危险废物贮存执行《危险废物贮存污染控制标准》GB18597－2001（2013修订）的规定。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65" w:type="dxa"/>
            <w:noWrap w:val="0"/>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8525" w:type="dxa"/>
            <w:noWrap w:val="0"/>
            <w:vAlign w:val="center"/>
          </w:tcPr>
          <w:p>
            <w:pPr>
              <w:adjustRightInd w:val="0"/>
              <w:snapToGrid w:val="0"/>
              <w:spacing w:line="420" w:lineRule="auto"/>
              <w:ind w:firstLine="480" w:firstLineChars="200"/>
              <w:jc w:val="both"/>
              <w:rPr>
                <w:rFonts w:hint="default" w:ascii="Times New Roman" w:hAnsi="Times New Roman" w:eastAsia="宋体" w:cs="Times New Roman"/>
                <w:sz w:val="24"/>
                <w:szCs w:val="20"/>
                <w:lang w:eastAsia="zh-CN"/>
              </w:rPr>
            </w:pPr>
            <w:r>
              <w:rPr>
                <w:rFonts w:hint="default" w:ascii="Times New Roman" w:hAnsi="Times New Roman" w:eastAsia="宋体" w:cs="Times New Roman"/>
                <w:sz w:val="24"/>
                <w:szCs w:val="20"/>
                <w:lang w:val="en-US" w:eastAsia="zh-CN"/>
              </w:rPr>
              <w:t>根据后文计算，</w:t>
            </w:r>
            <w:r>
              <w:rPr>
                <w:rFonts w:hint="default" w:ascii="Times New Roman" w:hAnsi="Times New Roman" w:eastAsia="宋体" w:cs="Times New Roman"/>
                <w:sz w:val="24"/>
                <w:szCs w:val="20"/>
                <w:lang w:eastAsia="zh-CN"/>
              </w:rPr>
              <w:t>建议指标如下：</w:t>
            </w:r>
          </w:p>
          <w:p>
            <w:pPr>
              <w:adjustRightInd w:val="0"/>
              <w:snapToGrid w:val="0"/>
              <w:spacing w:line="420" w:lineRule="auto"/>
              <w:ind w:firstLine="480" w:firstLineChars="200"/>
              <w:jc w:val="both"/>
              <w:rPr>
                <w:rFonts w:hint="default" w:ascii="Times New Roman" w:hAnsi="Times New Roman" w:eastAsia="宋体" w:cs="Times New Roman"/>
                <w:color w:val="auto"/>
                <w:sz w:val="24"/>
                <w:szCs w:val="20"/>
                <w:highlight w:val="none"/>
                <w:lang w:eastAsia="zh-CN"/>
              </w:rPr>
            </w:pPr>
            <w:r>
              <w:rPr>
                <w:rFonts w:hint="default" w:ascii="Times New Roman" w:hAnsi="Times New Roman" w:eastAsia="宋体" w:cs="Times New Roman"/>
                <w:color w:val="auto"/>
                <w:kern w:val="2"/>
                <w:sz w:val="24"/>
                <w:szCs w:val="20"/>
                <w:highlight w:val="none"/>
                <w:lang w:val="en-US" w:eastAsia="zh-CN" w:bidi="ar-SA"/>
              </w:rPr>
              <w:fldChar w:fldCharType="begin"/>
            </w:r>
            <w:r>
              <w:rPr>
                <w:rFonts w:hint="default" w:ascii="Times New Roman" w:hAnsi="Times New Roman" w:eastAsia="宋体" w:cs="Times New Roman"/>
                <w:color w:val="auto"/>
                <w:kern w:val="2"/>
                <w:sz w:val="24"/>
                <w:szCs w:val="20"/>
                <w:highlight w:val="none"/>
                <w:lang w:val="en-US" w:eastAsia="zh-CN" w:bidi="ar-SA"/>
              </w:rPr>
              <w:instrText xml:space="preserve"> = 1 \* GB3 \* MERGEFORMAT </w:instrText>
            </w:r>
            <w:r>
              <w:rPr>
                <w:rFonts w:hint="default" w:ascii="Times New Roman" w:hAnsi="Times New Roman" w:eastAsia="宋体" w:cs="Times New Roman"/>
                <w:color w:val="auto"/>
                <w:kern w:val="2"/>
                <w:sz w:val="24"/>
                <w:szCs w:val="20"/>
                <w:highlight w:val="none"/>
                <w:lang w:val="en-US" w:eastAsia="zh-CN" w:bidi="ar-SA"/>
              </w:rPr>
              <w:fldChar w:fldCharType="separate"/>
            </w:r>
            <w:r>
              <w:rPr>
                <w:rFonts w:hint="default" w:ascii="Times New Roman" w:hAnsi="Times New Roman" w:eastAsia="宋体" w:cs="Times New Roman"/>
                <w:color w:val="auto"/>
                <w:kern w:val="2"/>
                <w:sz w:val="24"/>
                <w:szCs w:val="20"/>
                <w:highlight w:val="none"/>
                <w:lang w:val="en-US" w:eastAsia="zh-CN" w:bidi="ar-SA"/>
              </w:rPr>
              <w:t>①</w:t>
            </w:r>
            <w:r>
              <w:rPr>
                <w:rFonts w:hint="default" w:ascii="Times New Roman" w:hAnsi="Times New Roman" w:eastAsia="宋体" w:cs="Times New Roman"/>
                <w:color w:val="auto"/>
                <w:kern w:val="2"/>
                <w:sz w:val="24"/>
                <w:szCs w:val="20"/>
                <w:highlight w:val="none"/>
                <w:lang w:val="en-US" w:eastAsia="zh-CN" w:bidi="ar-SA"/>
              </w:rPr>
              <w:fldChar w:fldCharType="end"/>
            </w:r>
            <w:r>
              <w:rPr>
                <w:rFonts w:hint="default" w:ascii="Times New Roman" w:hAnsi="Times New Roman" w:eastAsia="宋体" w:cs="Times New Roman"/>
                <w:color w:val="auto"/>
                <w:sz w:val="24"/>
                <w:szCs w:val="20"/>
                <w:highlight w:val="none"/>
                <w:lang w:eastAsia="zh-CN"/>
              </w:rPr>
              <w:t>废气：</w:t>
            </w:r>
          </w:p>
          <w:p>
            <w:pPr>
              <w:adjustRightInd w:val="0"/>
              <w:snapToGrid w:val="0"/>
              <w:spacing w:line="420" w:lineRule="auto"/>
              <w:ind w:firstLine="480" w:firstLineChars="200"/>
              <w:jc w:val="both"/>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颗粒物：</w:t>
            </w:r>
            <w:r>
              <w:rPr>
                <w:rFonts w:hint="eastAsia" w:cs="Times New Roman"/>
                <w:color w:val="auto"/>
                <w:sz w:val="24"/>
                <w:szCs w:val="20"/>
                <w:highlight w:val="none"/>
                <w:lang w:val="en-US" w:eastAsia="zh-CN"/>
              </w:rPr>
              <w:t>1.2096</w:t>
            </w:r>
            <w:r>
              <w:rPr>
                <w:rFonts w:hint="default" w:ascii="Times New Roman" w:hAnsi="Times New Roman" w:eastAsia="宋体" w:cs="Times New Roman"/>
                <w:color w:val="auto"/>
                <w:sz w:val="24"/>
                <w:szCs w:val="20"/>
                <w:highlight w:val="none"/>
                <w:lang w:eastAsia="zh-CN"/>
              </w:rPr>
              <w:t>t/a</w:t>
            </w: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VOCs（</w:t>
            </w:r>
            <w:r>
              <w:rPr>
                <w:rFonts w:hint="default" w:ascii="Times New Roman" w:hAnsi="Times New Roman" w:eastAsia="宋体" w:cs="Times New Roman"/>
                <w:color w:val="auto"/>
                <w:sz w:val="24"/>
                <w:szCs w:val="20"/>
                <w:highlight w:val="none"/>
                <w:lang w:eastAsia="zh-CN"/>
              </w:rPr>
              <w:t>非甲烷总烃</w:t>
            </w:r>
            <w:r>
              <w:rPr>
                <w:rFonts w:hint="eastAsia" w:cs="Times New Roman"/>
                <w:color w:val="auto"/>
                <w:sz w:val="24"/>
                <w:szCs w:val="20"/>
                <w:highlight w:val="none"/>
                <w:lang w:eastAsia="zh-CN"/>
              </w:rPr>
              <w:t>计</w:t>
            </w:r>
            <w:r>
              <w:rPr>
                <w:rFonts w:hint="eastAsia"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2.4420</w:t>
            </w:r>
            <w:r>
              <w:rPr>
                <w:rFonts w:hint="default" w:ascii="Times New Roman" w:hAnsi="Times New Roman" w:eastAsia="宋体" w:cs="Times New Roman"/>
                <w:color w:val="auto"/>
                <w:sz w:val="24"/>
                <w:szCs w:val="20"/>
                <w:highlight w:val="none"/>
                <w:lang w:eastAsia="zh-CN"/>
              </w:rPr>
              <w:t>t/a。</w:t>
            </w:r>
          </w:p>
          <w:p>
            <w:pPr>
              <w:pStyle w:val="2"/>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sz w:val="24"/>
                <w:szCs w:val="20"/>
                <w:highlight w:val="none"/>
                <w:lang w:val="en-US" w:eastAsia="zh-CN"/>
              </w:rPr>
              <w:t xml:space="preserve">    </w:t>
            </w:r>
            <w:r>
              <w:rPr>
                <w:rFonts w:hint="default" w:ascii="Times New Roman" w:hAnsi="Times New Roman" w:eastAsia="宋体" w:cs="Times New Roman"/>
                <w:color w:val="auto"/>
                <w:kern w:val="2"/>
                <w:sz w:val="24"/>
                <w:szCs w:val="20"/>
                <w:highlight w:val="none"/>
                <w:lang w:val="en-US" w:eastAsia="zh-CN" w:bidi="ar-SA"/>
              </w:rPr>
              <w:fldChar w:fldCharType="begin"/>
            </w:r>
            <w:r>
              <w:rPr>
                <w:rFonts w:hint="default" w:ascii="Times New Roman" w:hAnsi="Times New Roman" w:eastAsia="宋体" w:cs="Times New Roman"/>
                <w:color w:val="auto"/>
                <w:kern w:val="2"/>
                <w:sz w:val="24"/>
                <w:szCs w:val="20"/>
                <w:highlight w:val="none"/>
                <w:lang w:val="en-US" w:eastAsia="zh-CN" w:bidi="ar-SA"/>
              </w:rPr>
              <w:instrText xml:space="preserve"> = 2 \* GB3 \* MERGEFORMAT </w:instrText>
            </w:r>
            <w:r>
              <w:rPr>
                <w:rFonts w:hint="default" w:ascii="Times New Roman" w:hAnsi="Times New Roman" w:eastAsia="宋体" w:cs="Times New Roman"/>
                <w:color w:val="auto"/>
                <w:kern w:val="2"/>
                <w:sz w:val="24"/>
                <w:szCs w:val="20"/>
                <w:highlight w:val="none"/>
                <w:lang w:val="en-US" w:eastAsia="zh-CN" w:bidi="ar-SA"/>
              </w:rPr>
              <w:fldChar w:fldCharType="separate"/>
            </w:r>
            <w:r>
              <w:rPr>
                <w:rFonts w:hint="default" w:ascii="Times New Roman" w:hAnsi="Times New Roman" w:eastAsia="宋体" w:cs="Times New Roman"/>
                <w:color w:val="auto"/>
                <w:kern w:val="2"/>
                <w:sz w:val="24"/>
                <w:szCs w:val="20"/>
                <w:highlight w:val="none"/>
                <w:lang w:val="en-US" w:eastAsia="zh-CN" w:bidi="ar-SA"/>
              </w:rPr>
              <w:t>②</w:t>
            </w:r>
            <w:r>
              <w:rPr>
                <w:rFonts w:hint="default" w:ascii="Times New Roman" w:hAnsi="Times New Roman" w:eastAsia="宋体" w:cs="Times New Roman"/>
                <w:color w:val="auto"/>
                <w:kern w:val="2"/>
                <w:sz w:val="24"/>
                <w:szCs w:val="20"/>
                <w:highlight w:val="none"/>
                <w:lang w:val="en-US" w:eastAsia="zh-CN" w:bidi="ar-SA"/>
              </w:rPr>
              <w:fldChar w:fldCharType="end"/>
            </w:r>
            <w:r>
              <w:rPr>
                <w:rFonts w:hint="default" w:ascii="Times New Roman" w:hAnsi="Times New Roman" w:eastAsia="宋体" w:cs="Times New Roman"/>
                <w:color w:val="auto"/>
                <w:kern w:val="2"/>
                <w:sz w:val="24"/>
                <w:szCs w:val="20"/>
                <w:highlight w:val="none"/>
                <w:lang w:val="en-US" w:eastAsia="zh-CN" w:bidi="ar-SA"/>
              </w:rPr>
              <w:t>废水</w:t>
            </w: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厂区废水排放口建议总量控制指标如下：</w:t>
            </w: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COD：</w:t>
            </w:r>
            <w:r>
              <w:rPr>
                <w:rFonts w:hint="eastAsia" w:cs="Times New Roman"/>
                <w:color w:val="auto"/>
                <w:kern w:val="2"/>
                <w:sz w:val="24"/>
                <w:szCs w:val="20"/>
                <w:highlight w:val="none"/>
                <w:lang w:val="en-US" w:eastAsia="zh-CN" w:bidi="ar-SA"/>
              </w:rPr>
              <w:t>3.3060</w:t>
            </w:r>
            <w:r>
              <w:rPr>
                <w:rFonts w:hint="default" w:ascii="Times New Roman" w:hAnsi="Times New Roman" w:eastAsia="宋体" w:cs="Times New Roman"/>
                <w:color w:val="auto"/>
                <w:kern w:val="2"/>
                <w:sz w:val="24"/>
                <w:szCs w:val="20"/>
                <w:highlight w:val="none"/>
                <w:lang w:val="en-US" w:eastAsia="zh-CN" w:bidi="ar-SA"/>
              </w:rPr>
              <w:t>t/a；氨氮：</w:t>
            </w:r>
            <w:r>
              <w:rPr>
                <w:rFonts w:hint="eastAsia" w:cs="Times New Roman"/>
                <w:color w:val="auto"/>
                <w:kern w:val="2"/>
                <w:sz w:val="24"/>
                <w:szCs w:val="20"/>
                <w:highlight w:val="none"/>
                <w:lang w:val="en-US" w:eastAsia="zh-CN" w:bidi="ar-SA"/>
              </w:rPr>
              <w:t>0.2975</w:t>
            </w:r>
            <w:r>
              <w:rPr>
                <w:rFonts w:hint="default" w:ascii="Times New Roman" w:hAnsi="Times New Roman" w:eastAsia="宋体" w:cs="Times New Roman"/>
                <w:color w:val="auto"/>
                <w:kern w:val="2"/>
                <w:sz w:val="24"/>
                <w:szCs w:val="20"/>
                <w:highlight w:val="none"/>
                <w:lang w:val="en-US" w:eastAsia="zh-CN" w:bidi="ar-SA"/>
              </w:rPr>
              <w:t xml:space="preserve">t/a </w:t>
            </w: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480" w:firstLineChars="200"/>
              <w:rPr>
                <w:rFonts w:hint="default" w:ascii="Times New Roman" w:hAnsi="Times New Roman" w:eastAsia="宋体" w:cs="Times New Roman"/>
                <w:color w:val="auto"/>
                <w:kern w:val="2"/>
                <w:sz w:val="24"/>
                <w:szCs w:val="20"/>
                <w:highlight w:val="none"/>
                <w:lang w:val="en-US" w:eastAsia="zh-CN" w:bidi="ar-SA"/>
              </w:rPr>
            </w:pPr>
          </w:p>
          <w:p>
            <w:pPr>
              <w:pStyle w:val="2"/>
              <w:ind w:firstLine="360" w:firstLineChars="200"/>
              <w:rPr>
                <w:rFonts w:hint="default"/>
                <w:kern w:val="0"/>
                <w:szCs w:val="21"/>
                <w:lang w:val="en-US"/>
              </w:rPr>
            </w:pPr>
          </w:p>
        </w:tc>
      </w:tr>
    </w:tbl>
    <w:p>
      <w:pPr>
        <w:pStyle w:val="21"/>
        <w:spacing w:before="0" w:beforeAutospacing="0" w:after="0" w:afterAutospacing="0"/>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507" w:type="dxa"/>
            <w:noWrap w:val="0"/>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pPr>
              <w:pStyle w:val="2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401" w:type="dxa"/>
            <w:noWrap w:val="0"/>
            <w:vAlign w:val="center"/>
          </w:tcPr>
          <w:p>
            <w:pPr>
              <w:spacing w:line="420" w:lineRule="auto"/>
              <w:ind w:firstLine="480" w:firstLineChars="200"/>
              <w:rPr>
                <w:color w:val="auto"/>
                <w:sz w:val="24"/>
                <w:szCs w:val="20"/>
              </w:rPr>
            </w:pPr>
            <w:r>
              <w:rPr>
                <w:color w:val="auto"/>
                <w:sz w:val="24"/>
                <w:szCs w:val="20"/>
              </w:rPr>
              <w:t>（1）废气</w:t>
            </w:r>
          </w:p>
          <w:p>
            <w:pPr>
              <w:spacing w:line="420" w:lineRule="auto"/>
              <w:ind w:firstLine="480" w:firstLineChars="200"/>
              <w:rPr>
                <w:color w:val="auto"/>
                <w:sz w:val="24"/>
                <w:szCs w:val="20"/>
              </w:rPr>
            </w:pPr>
            <w:r>
              <w:rPr>
                <w:color w:val="auto"/>
                <w:sz w:val="24"/>
                <w:szCs w:val="20"/>
              </w:rPr>
              <w:t>施工期对大气环境的影响主要为施工扬尘、运输车辆汽车尾气。施工扬尘主要是车辆运输过程中引起的地面扬尘和材料搬运过程中的扬尘，扬尘经降低车速，轻拿轻放材料，保持地面</w:t>
            </w:r>
            <w:r>
              <w:rPr>
                <w:rFonts w:hint="eastAsia"/>
                <w:color w:val="auto"/>
                <w:sz w:val="24"/>
                <w:szCs w:val="20"/>
                <w:lang w:eastAsia="zh-CN"/>
              </w:rPr>
              <w:t>清洁</w:t>
            </w:r>
            <w:r>
              <w:rPr>
                <w:color w:val="auto"/>
                <w:sz w:val="24"/>
                <w:szCs w:val="20"/>
              </w:rPr>
              <w:t>措施处理后，可有效降低扬尘浓度；运输车辆的汽车尾气其特点是排放量小，且属间断性无组织排放，项目施工期主要在已建的车间内施工，车间结构降低施工粉尘对外环境的影响，</w:t>
            </w:r>
            <w:r>
              <w:rPr>
                <w:color w:val="auto"/>
                <w:sz w:val="24"/>
                <w:szCs w:val="22"/>
              </w:rPr>
              <w:t>项目施工期在严格按照《四川省打赢蓝天保卫战实施方案》和《四川省施工场地扬尘排放标准》 （DB51/2682-2020）中对施工场地采取扬尘治理措施降低施工粉尘对外环境影响。</w:t>
            </w:r>
          </w:p>
          <w:p>
            <w:pPr>
              <w:spacing w:line="420" w:lineRule="auto"/>
              <w:ind w:firstLine="480" w:firstLineChars="200"/>
              <w:rPr>
                <w:color w:val="auto"/>
                <w:sz w:val="24"/>
                <w:szCs w:val="20"/>
              </w:rPr>
            </w:pPr>
            <w:r>
              <w:rPr>
                <w:color w:val="auto"/>
                <w:sz w:val="24"/>
                <w:szCs w:val="20"/>
              </w:rPr>
              <w:t>（2）废水</w:t>
            </w:r>
          </w:p>
          <w:p>
            <w:pPr>
              <w:spacing w:line="420" w:lineRule="auto"/>
              <w:ind w:firstLine="480" w:firstLineChars="200"/>
              <w:rPr>
                <w:color w:val="auto"/>
                <w:sz w:val="24"/>
                <w:szCs w:val="20"/>
              </w:rPr>
            </w:pPr>
            <w:r>
              <w:rPr>
                <w:color w:val="auto"/>
                <w:sz w:val="24"/>
                <w:szCs w:val="20"/>
              </w:rPr>
              <w:t>施工期产生的废水主要是施工人员产生的生活污水。生活废水经过既有的</w:t>
            </w:r>
            <w:r>
              <w:rPr>
                <w:rFonts w:hint="eastAsia"/>
                <w:color w:val="auto"/>
                <w:sz w:val="24"/>
                <w:szCs w:val="20"/>
                <w:lang w:eastAsia="zh-CN"/>
              </w:rPr>
              <w:t>生活污水</w:t>
            </w:r>
            <w:r>
              <w:rPr>
                <w:color w:val="auto"/>
                <w:sz w:val="24"/>
                <w:szCs w:val="20"/>
              </w:rPr>
              <w:t>预处理池处理后排入市政污水管网，本项目不涉及装修工具、设备安装工具的清洗水，故不产生生产废水的排放。</w:t>
            </w:r>
            <w:r>
              <w:rPr>
                <w:rFonts w:hint="eastAsia"/>
                <w:color w:val="auto"/>
                <w:sz w:val="24"/>
                <w:szCs w:val="20"/>
                <w:lang w:eastAsia="zh-CN"/>
              </w:rPr>
              <w:t>生活污水</w:t>
            </w:r>
            <w:r>
              <w:rPr>
                <w:color w:val="auto"/>
                <w:sz w:val="24"/>
                <w:szCs w:val="20"/>
              </w:rPr>
              <w:t>经过预处理池收集后排入市政污水管网送蓬溪县经开区污水处理厂处理。</w:t>
            </w:r>
          </w:p>
          <w:p>
            <w:pPr>
              <w:spacing w:line="420" w:lineRule="auto"/>
              <w:ind w:firstLine="480" w:firstLineChars="200"/>
              <w:rPr>
                <w:color w:val="auto"/>
                <w:sz w:val="24"/>
                <w:szCs w:val="20"/>
              </w:rPr>
            </w:pPr>
            <w:r>
              <w:rPr>
                <w:color w:val="auto"/>
                <w:sz w:val="24"/>
                <w:szCs w:val="20"/>
              </w:rPr>
              <w:t>（3）噪声</w:t>
            </w:r>
          </w:p>
          <w:p>
            <w:pPr>
              <w:spacing w:line="420" w:lineRule="auto"/>
              <w:ind w:firstLine="480" w:firstLineChars="200"/>
              <w:rPr>
                <w:color w:val="auto"/>
                <w:sz w:val="24"/>
                <w:szCs w:val="20"/>
              </w:rPr>
            </w:pPr>
            <w:r>
              <w:rPr>
                <w:color w:val="auto"/>
                <w:sz w:val="24"/>
                <w:szCs w:val="20"/>
              </w:rPr>
              <w:t>本项目施工期的噪声主要是设备安装时产生的噪声，源强为 70~100dB，通过采取厂房隔声、距离衰减、加强管理、合理安排作业时段等措施后，产生的噪声不会对周围环境产生明显不利影响。</w:t>
            </w:r>
          </w:p>
          <w:p>
            <w:pPr>
              <w:spacing w:line="420" w:lineRule="auto"/>
              <w:ind w:firstLine="480" w:firstLineChars="200"/>
              <w:rPr>
                <w:color w:val="auto"/>
                <w:sz w:val="24"/>
                <w:szCs w:val="20"/>
              </w:rPr>
            </w:pPr>
            <w:r>
              <w:rPr>
                <w:color w:val="auto"/>
                <w:sz w:val="24"/>
                <w:szCs w:val="20"/>
              </w:rPr>
              <w:t>（4）固废</w:t>
            </w:r>
          </w:p>
          <w:p>
            <w:pPr>
              <w:spacing w:line="420" w:lineRule="auto"/>
              <w:ind w:firstLine="480" w:firstLineChars="200"/>
              <w:rPr>
                <w:bCs/>
                <w:color w:val="auto"/>
                <w:sz w:val="24"/>
                <w:szCs w:val="20"/>
              </w:rPr>
            </w:pPr>
            <w:r>
              <w:rPr>
                <w:bCs/>
                <w:color w:val="auto"/>
                <w:sz w:val="24"/>
                <w:szCs w:val="20"/>
              </w:rPr>
              <w:t>施工期固废主要来源于设备的废包装材料、施工人员产生的生活垃圾。废包装材料经收集后出售给废品回收站回收；生活垃圾经集中收集后由蓬溪县市政环卫部门统一处置。</w:t>
            </w:r>
          </w:p>
          <w:p>
            <w:pPr>
              <w:spacing w:line="420" w:lineRule="auto"/>
              <w:ind w:firstLine="480" w:firstLineChars="200"/>
              <w:jc w:val="left"/>
              <w:rPr>
                <w:color w:val="auto"/>
                <w:sz w:val="24"/>
                <w:szCs w:val="20"/>
              </w:rPr>
            </w:pPr>
            <w:r>
              <w:rPr>
                <w:color w:val="auto"/>
                <w:sz w:val="24"/>
                <w:szCs w:val="20"/>
              </w:rPr>
              <w:t>（5）生态环境防治措施</w:t>
            </w:r>
          </w:p>
          <w:p>
            <w:pPr>
              <w:spacing w:line="420" w:lineRule="auto"/>
              <w:ind w:firstLine="480" w:firstLineChars="200"/>
              <w:rPr>
                <w:color w:val="auto"/>
                <w:sz w:val="24"/>
                <w:szCs w:val="20"/>
              </w:rPr>
            </w:pPr>
            <w:r>
              <w:rPr>
                <w:color w:val="auto"/>
                <w:sz w:val="24"/>
                <w:szCs w:val="20"/>
              </w:rPr>
              <w:t>本项目在蓬溪县上游工业园</w:t>
            </w:r>
            <w:r>
              <w:rPr>
                <w:rFonts w:hint="eastAsia"/>
                <w:color w:val="auto"/>
                <w:sz w:val="24"/>
                <w:szCs w:val="20"/>
                <w:lang w:eastAsia="zh-CN"/>
              </w:rPr>
              <w:t>既有工业建筑内</w:t>
            </w:r>
            <w:r>
              <w:rPr>
                <w:color w:val="auto"/>
                <w:sz w:val="24"/>
                <w:szCs w:val="20"/>
              </w:rPr>
              <w:t>布设生产线，安装设备。不涉及新增占地和植被破坏，故本项目不会对生态环境造成影响。</w:t>
            </w:r>
          </w:p>
          <w:p>
            <w:pPr>
              <w:adjustRightInd w:val="0"/>
              <w:snapToGrid w:val="0"/>
              <w:rPr>
                <w:rFonts w:hint="eastAsia"/>
                <w:bCs/>
                <w:spacing w:val="-10"/>
                <w:szCs w:val="21"/>
              </w:rPr>
            </w:pPr>
          </w:p>
          <w:p>
            <w:pPr>
              <w:adjustRightInd w:val="0"/>
              <w:snapToGrid w:val="0"/>
              <w:rPr>
                <w:rFonts w:hint="eastAsia"/>
                <w:bCs/>
                <w:spacing w:val="-10"/>
                <w:szCs w:val="21"/>
              </w:rPr>
            </w:pPr>
          </w:p>
          <w:p>
            <w:pPr>
              <w:adjustRightInd w:val="0"/>
              <w:snapToGrid w:val="0"/>
              <w:rPr>
                <w:rFonts w:hint="eastAsia"/>
                <w:bCs/>
                <w:spacing w:val="-10"/>
                <w:szCs w:val="21"/>
              </w:rPr>
            </w:pPr>
          </w:p>
          <w:p>
            <w:pPr>
              <w:adjustRightInd w:val="0"/>
              <w:snapToGrid w:val="0"/>
              <w:rPr>
                <w:rFonts w:hint="eastAsia"/>
                <w:bCs/>
                <w:spacing w:val="-10"/>
                <w:szCs w:val="21"/>
              </w:rPr>
            </w:pPr>
          </w:p>
          <w:p>
            <w:pPr>
              <w:adjustRightInd w:val="0"/>
              <w:snapToGrid w:val="0"/>
              <w:rPr>
                <w:rFonts w:hint="eastAsia"/>
                <w:bCs/>
                <w:spacing w:val="-10"/>
                <w:szCs w:val="21"/>
              </w:rPr>
            </w:pPr>
          </w:p>
          <w:p>
            <w:pPr>
              <w:adjustRightInd w:val="0"/>
              <w:snapToGrid w:val="0"/>
              <w:rPr>
                <w:rFonts w:hint="eastAsia"/>
                <w:bCs/>
                <w:spacing w:val="-10"/>
                <w:szCs w:val="21"/>
              </w:rPr>
            </w:pPr>
          </w:p>
          <w:p>
            <w:pPr>
              <w:adjustRightInd w:val="0"/>
              <w:snapToGrid w:val="0"/>
              <w:rPr>
                <w:rFonts w:hint="eastAsia"/>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07" w:type="dxa"/>
            <w:noWrap w:val="0"/>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tc>
        <w:tc>
          <w:tcPr>
            <w:tcW w:w="8401" w:type="dxa"/>
            <w:noWrap w:val="0"/>
            <w:vAlign w:val="center"/>
          </w:tcPr>
          <w:p>
            <w:pPr>
              <w:spacing w:line="420" w:lineRule="auto"/>
              <w:ind w:firstLine="482" w:firstLineChars="200"/>
              <w:rPr>
                <w:b/>
                <w:bCs/>
                <w:sz w:val="24"/>
                <w:szCs w:val="20"/>
              </w:rPr>
            </w:pPr>
            <w:r>
              <w:rPr>
                <w:b/>
                <w:bCs/>
                <w:sz w:val="24"/>
                <w:szCs w:val="20"/>
              </w:rPr>
              <w:t>1、废气排放及治理措施</w:t>
            </w:r>
          </w:p>
          <w:p>
            <w:pPr>
              <w:spacing w:line="420" w:lineRule="auto"/>
              <w:ind w:firstLine="511" w:firstLineChars="212"/>
              <w:rPr>
                <w:b/>
                <w:bCs/>
                <w:snapToGrid w:val="0"/>
                <w:kern w:val="0"/>
                <w:sz w:val="24"/>
                <w:szCs w:val="22"/>
              </w:rPr>
            </w:pPr>
            <w:r>
              <w:rPr>
                <w:b/>
                <w:bCs/>
                <w:snapToGrid w:val="0"/>
                <w:kern w:val="0"/>
                <w:sz w:val="24"/>
                <w:szCs w:val="22"/>
              </w:rPr>
              <w:t>（1）产污与治理</w:t>
            </w:r>
          </w:p>
          <w:p>
            <w:pPr>
              <w:spacing w:line="420" w:lineRule="auto"/>
              <w:ind w:firstLine="508" w:firstLineChars="212"/>
              <w:rPr>
                <w:snapToGrid w:val="0"/>
                <w:color w:val="auto"/>
                <w:kern w:val="0"/>
                <w:sz w:val="24"/>
                <w:szCs w:val="22"/>
                <w:highlight w:val="none"/>
              </w:rPr>
            </w:pPr>
            <w:r>
              <w:rPr>
                <w:snapToGrid w:val="0"/>
                <w:color w:val="auto"/>
                <w:kern w:val="0"/>
                <w:sz w:val="24"/>
                <w:szCs w:val="22"/>
                <w:highlight w:val="none"/>
              </w:rPr>
              <w:t>本项目营运期主要废气产污环节为</w:t>
            </w:r>
            <w:r>
              <w:rPr>
                <w:b/>
                <w:bCs/>
                <w:snapToGrid w:val="0"/>
                <w:color w:val="auto"/>
                <w:kern w:val="0"/>
                <w:sz w:val="24"/>
                <w:szCs w:val="22"/>
                <w:highlight w:val="none"/>
              </w:rPr>
              <w:t>：</w:t>
            </w:r>
            <w:r>
              <w:rPr>
                <w:rFonts w:hint="eastAsia"/>
                <w:snapToGrid w:val="0"/>
                <w:color w:val="auto"/>
                <w:kern w:val="0"/>
                <w:sz w:val="24"/>
                <w:szCs w:val="22"/>
                <w:highlight w:val="none"/>
                <w:lang w:val="en-US" w:eastAsia="zh-CN"/>
              </w:rPr>
              <w:t>拌料粉尘</w:t>
            </w:r>
            <w:r>
              <w:rPr>
                <w:snapToGrid w:val="0"/>
                <w:color w:val="auto"/>
                <w:kern w:val="0"/>
                <w:sz w:val="24"/>
                <w:szCs w:val="22"/>
                <w:highlight w:val="none"/>
              </w:rPr>
              <w:t>、</w:t>
            </w:r>
            <w:r>
              <w:rPr>
                <w:rFonts w:hint="eastAsia"/>
                <w:snapToGrid w:val="0"/>
                <w:color w:val="auto"/>
                <w:kern w:val="0"/>
                <w:sz w:val="24"/>
                <w:szCs w:val="22"/>
                <w:highlight w:val="none"/>
                <w:lang w:eastAsia="zh-CN"/>
              </w:rPr>
              <w:t>塑料框挤出成型</w:t>
            </w:r>
            <w:r>
              <w:rPr>
                <w:snapToGrid w:val="0"/>
                <w:color w:val="auto"/>
                <w:kern w:val="0"/>
                <w:sz w:val="24"/>
                <w:szCs w:val="22"/>
                <w:highlight w:val="none"/>
              </w:rPr>
              <w:t>废气</w:t>
            </w:r>
            <w:r>
              <w:rPr>
                <w:rFonts w:hint="eastAsia"/>
                <w:snapToGrid w:val="0"/>
                <w:color w:val="auto"/>
                <w:kern w:val="0"/>
                <w:sz w:val="24"/>
                <w:szCs w:val="22"/>
                <w:highlight w:val="none"/>
                <w:lang w:eastAsia="zh-CN"/>
              </w:rPr>
              <w:t>，塑料框不良品及边角料破碎粉尘，塑料热熔造粒废气</w:t>
            </w:r>
            <w:r>
              <w:rPr>
                <w:snapToGrid w:val="0"/>
                <w:color w:val="auto"/>
                <w:kern w:val="0"/>
                <w:sz w:val="24"/>
                <w:szCs w:val="22"/>
                <w:highlight w:val="none"/>
              </w:rPr>
              <w:t>。</w:t>
            </w:r>
          </w:p>
          <w:p>
            <w:pPr>
              <w:pStyle w:val="23"/>
              <w:spacing w:line="360" w:lineRule="auto"/>
              <w:ind w:left="0" w:leftChars="0" w:firstLine="482" w:firstLineChars="200"/>
              <w:rPr>
                <w:b/>
                <w:bCs/>
                <w:color w:val="auto"/>
                <w:highlight w:val="none"/>
              </w:rPr>
            </w:pPr>
            <w:r>
              <w:rPr>
                <w:rFonts w:hint="eastAsia"/>
                <w:b/>
                <w:bCs/>
                <w:snapToGrid w:val="0"/>
                <w:kern w:val="0"/>
                <w:sz w:val="24"/>
                <w:szCs w:val="22"/>
              </w:rPr>
              <w:t>①拌料粉尘</w:t>
            </w:r>
          </w:p>
          <w:p>
            <w:pPr>
              <w:pStyle w:val="66"/>
              <w:ind w:firstLine="480"/>
              <w:jc w:val="both"/>
              <w:rPr>
                <w:rFonts w:hint="default" w:ascii="Times New Roman" w:hAnsi="Times New Roman" w:cs="Times New Roman"/>
                <w:color w:val="auto"/>
                <w:szCs w:val="24"/>
                <w:highlight w:val="none"/>
              </w:rPr>
            </w:pPr>
            <w:r>
              <w:rPr>
                <w:rFonts w:hint="eastAsia" w:ascii="Times New Roman" w:hAnsi="Times New Roman" w:cs="Times New Roman"/>
                <w:b/>
                <w:bCs/>
                <w:color w:val="auto"/>
                <w:kern w:val="0"/>
                <w:sz w:val="24"/>
                <w:highlight w:val="none"/>
                <w:lang w:val="en-US" w:eastAsia="zh-CN" w:bidi="ar"/>
              </w:rPr>
              <w:t xml:space="preserve"> </w:t>
            </w:r>
            <w:r>
              <w:rPr>
                <w:rFonts w:hint="default" w:ascii="Times New Roman" w:hAnsi="Times New Roman" w:cs="Times New Roman"/>
                <w:color w:val="auto"/>
                <w:szCs w:val="24"/>
                <w:highlight w:val="none"/>
              </w:rPr>
              <w:t>根据建设单位提供的数据，项目</w:t>
            </w:r>
            <w:r>
              <w:rPr>
                <w:rFonts w:hint="eastAsia" w:ascii="Times New Roman" w:hAnsi="Times New Roman" w:cs="Times New Roman"/>
                <w:color w:val="auto"/>
                <w:szCs w:val="24"/>
                <w:highlight w:val="none"/>
                <w:lang w:val="en-US" w:eastAsia="zh-CN"/>
              </w:rPr>
              <w:t>碳酸钙</w:t>
            </w:r>
            <w:r>
              <w:rPr>
                <w:rFonts w:hint="eastAsia" w:ascii="Times New Roman" w:hAnsi="Times New Roman" w:cs="Times New Roman"/>
                <w:color w:val="auto"/>
                <w:szCs w:val="24"/>
                <w:highlight w:val="none"/>
                <w:lang w:eastAsia="zh-CN"/>
              </w:rPr>
              <w:t>粉末原料用量</w:t>
            </w:r>
            <w:r>
              <w:rPr>
                <w:rFonts w:hint="default" w:ascii="Times New Roman" w:hAnsi="Times New Roman" w:cs="Times New Roman"/>
                <w:color w:val="auto"/>
                <w:szCs w:val="24"/>
                <w:highlight w:val="none"/>
              </w:rPr>
              <w:t>约</w:t>
            </w:r>
            <w:r>
              <w:rPr>
                <w:rFonts w:hint="eastAsia" w:ascii="Times New Roman" w:hAnsi="Times New Roman" w:cs="Times New Roman"/>
                <w:color w:val="auto"/>
                <w:szCs w:val="24"/>
                <w:highlight w:val="none"/>
                <w:lang w:val="en-US" w:eastAsia="zh-CN"/>
              </w:rPr>
              <w:t>600</w:t>
            </w:r>
            <w:r>
              <w:rPr>
                <w:rFonts w:hint="default" w:ascii="Times New Roman" w:hAnsi="Times New Roman" w:cs="Times New Roman"/>
                <w:color w:val="auto"/>
                <w:szCs w:val="24"/>
                <w:highlight w:val="none"/>
              </w:rPr>
              <w:t>t</w:t>
            </w:r>
            <w:r>
              <w:rPr>
                <w:rFonts w:hint="eastAsia" w:ascii="Times New Roman" w:hAnsi="Times New Roman" w:cs="Times New Roman"/>
                <w:color w:val="auto"/>
                <w:szCs w:val="24"/>
                <w:highlight w:val="none"/>
                <w:lang w:val="en-US" w:eastAsia="zh-CN"/>
              </w:rPr>
              <w:t>/a</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eastAsia="zh-CN"/>
              </w:rPr>
              <w:t>项目设置混料机</w:t>
            </w:r>
            <w:r>
              <w:rPr>
                <w:rFonts w:hint="eastAsia" w:ascii="Times New Roman" w:hAnsi="Times New Roman" w:cs="Times New Roman"/>
                <w:color w:val="auto"/>
                <w:szCs w:val="24"/>
                <w:highlight w:val="none"/>
                <w:lang w:val="en-US" w:eastAsia="zh-CN"/>
              </w:rPr>
              <w:t>2台，在每台混料机两个侧方向设置粉尘集气罩对混料粉尘进行收集，收集后汇入布袋除尘器处理后离地15m排放</w:t>
            </w:r>
            <w:r>
              <w:rPr>
                <w:rFonts w:hint="default" w:ascii="Times New Roman" w:hAnsi="Times New Roman" w:cs="Times New Roman"/>
                <w:color w:val="auto"/>
                <w:szCs w:val="24"/>
                <w:highlight w:val="none"/>
              </w:rPr>
              <w:t>。</w:t>
            </w:r>
          </w:p>
          <w:p>
            <w:pPr>
              <w:pStyle w:val="66"/>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项目在每个上料口侧方向设置2个集气罩，尺寸0.6m×0.6m，集气罩边缘风速按照1.0m/s设计，冗余系数按照1.2计算，则本项目粉尘除尘系统风量核算如下：</w:t>
            </w:r>
          </w:p>
          <w:p>
            <w:pPr>
              <w:pStyle w:val="60"/>
              <w:bidi w:val="0"/>
              <w:rPr>
                <w:rFonts w:hint="default"/>
                <w:lang w:val="en-US" w:eastAsia="zh-CN"/>
              </w:rPr>
            </w:pPr>
            <w:r>
              <w:rPr>
                <w:rFonts w:hint="eastAsia"/>
                <w:lang w:val="en-US" w:eastAsia="zh-CN"/>
              </w:rPr>
              <w:t>表4-1 塑料筐生产拌料粉尘除尘系统风量核算</w:t>
            </w:r>
          </w:p>
          <w:tbl>
            <w:tblPr>
              <w:tblStyle w:val="24"/>
              <w:tblW w:w="8092"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0"/>
              <w:gridCol w:w="1027"/>
              <w:gridCol w:w="1730"/>
              <w:gridCol w:w="1743"/>
              <w:gridCol w:w="981"/>
              <w:gridCol w:w="1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100"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设置位置</w:t>
                  </w:r>
                </w:p>
              </w:tc>
              <w:tc>
                <w:tcPr>
                  <w:tcW w:w="102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730"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集气罩尺寸（</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eastAsia" w:ascii="宋体" w:hAnsi="宋体" w:eastAsia="宋体" w:cs="宋体"/>
                      <w:b/>
                      <w:bCs/>
                      <w:i w:val="0"/>
                      <w:iCs w:val="0"/>
                      <w:color w:val="000000"/>
                      <w:kern w:val="0"/>
                      <w:sz w:val="21"/>
                      <w:szCs w:val="21"/>
                      <w:u w:val="none"/>
                      <w:lang w:val="en-US" w:eastAsia="zh-CN" w:bidi="ar"/>
                    </w:rPr>
                    <w:t>）</w:t>
                  </w:r>
                </w:p>
              </w:tc>
              <w:tc>
                <w:tcPr>
                  <w:tcW w:w="1743"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集气罩边缘设计风速</w:t>
                  </w:r>
                  <w:r>
                    <w:rPr>
                      <w:rFonts w:hint="default" w:ascii="Times New Roman" w:hAnsi="Times New Roman" w:eastAsia="宋体" w:cs="Times New Roman"/>
                      <w:b/>
                      <w:bCs/>
                      <w:i w:val="0"/>
                      <w:iCs w:val="0"/>
                      <w:color w:val="000000"/>
                      <w:kern w:val="0"/>
                      <w:sz w:val="21"/>
                      <w:szCs w:val="21"/>
                      <w:u w:val="none"/>
                      <w:lang w:val="en-US" w:eastAsia="zh-CN" w:bidi="ar"/>
                    </w:rPr>
                    <w:t>(m/s)</w:t>
                  </w:r>
                </w:p>
              </w:tc>
              <w:tc>
                <w:tcPr>
                  <w:tcW w:w="981"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冗余系数</w:t>
                  </w:r>
                </w:p>
              </w:tc>
              <w:tc>
                <w:tcPr>
                  <w:tcW w:w="1511" w:type="dxa"/>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设计排气量（</w:t>
                  </w:r>
                  <w:r>
                    <w:rPr>
                      <w:rFonts w:hint="default" w:ascii="Times New Roman" w:hAnsi="Times New Roman" w:eastAsia="宋体" w:cs="Times New Roman"/>
                      <w:b/>
                      <w:bCs/>
                      <w:i w:val="0"/>
                      <w:iCs w:val="0"/>
                      <w:color w:val="000000"/>
                      <w:kern w:val="0"/>
                      <w:sz w:val="21"/>
                      <w:szCs w:val="21"/>
                      <w:u w:val="none"/>
                      <w:lang w:val="en-US" w:eastAsia="zh-CN" w:bidi="ar"/>
                    </w:rPr>
                    <w:t>m³/h</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100" w:type="dxa"/>
                  <w:tcBorders>
                    <w:top w:val="single" w:color="000000" w:sz="8" w:space="0"/>
                    <w:left w:val="nil"/>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上料区</w:t>
                  </w:r>
                </w:p>
              </w:tc>
              <w:tc>
                <w:tcPr>
                  <w:tcW w:w="102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73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0.6×0.6</w:t>
                  </w:r>
                </w:p>
              </w:tc>
              <w:tc>
                <w:tcPr>
                  <w:tcW w:w="174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.0</w:t>
                  </w:r>
                </w:p>
              </w:tc>
              <w:tc>
                <w:tcPr>
                  <w:tcW w:w="981"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511" w:type="dxa"/>
                  <w:tcBorders>
                    <w:top w:val="single" w:color="000000" w:sz="8" w:space="0"/>
                    <w:left w:val="single" w:color="000000" w:sz="8" w:space="0"/>
                    <w:bottom w:val="single" w:color="000000" w:sz="12"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6220.8</w:t>
                  </w:r>
                </w:p>
              </w:tc>
            </w:tr>
          </w:tbl>
          <w:p>
            <w:pPr>
              <w:pStyle w:val="66"/>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根据以上计算，本项目粉尘收集系统风量取整为7000m³/h。</w:t>
            </w:r>
          </w:p>
          <w:p>
            <w:pPr>
              <w:pStyle w:val="66"/>
              <w:ind w:firstLine="480"/>
              <w:jc w:val="both"/>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rPr>
              <w:t>根据</w:t>
            </w:r>
            <w:r>
              <w:rPr>
                <w:rFonts w:ascii="Times New Roman" w:hAnsi="Times New Roman" w:cs="Times New Roman"/>
                <w:color w:val="auto"/>
                <w:szCs w:val="24"/>
                <w:highlight w:val="none"/>
              </w:rPr>
              <w:t>《排放源统计调查产排污核算方法和系数手册2021》</w:t>
            </w:r>
            <w:r>
              <w:rPr>
                <w:rFonts w:hint="default" w:ascii="Times New Roman" w:hAnsi="Times New Roman" w:cs="Times New Roman"/>
                <w:color w:val="auto"/>
                <w:szCs w:val="24"/>
                <w:highlight w:val="none"/>
              </w:rPr>
              <w:t>-292塑料制品业系数手册塑料板、管、型材制造行业系数表的产排污数据，</w:t>
            </w:r>
            <w:r>
              <w:rPr>
                <w:rFonts w:hint="eastAsia" w:ascii="Times New Roman" w:hAnsi="Times New Roman" w:cs="Times New Roman"/>
                <w:color w:val="auto"/>
                <w:szCs w:val="24"/>
                <w:highlight w:val="none"/>
                <w:lang w:eastAsia="zh-CN"/>
              </w:rPr>
              <w:t>混料配料过程中颗粒物的产污系数为</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6.0</w:t>
            </w:r>
            <w:r>
              <w:rPr>
                <w:rFonts w:hint="default" w:ascii="Times New Roman" w:hAnsi="Times New Roman" w:cs="Times New Roman"/>
                <w:color w:val="auto"/>
                <w:szCs w:val="24"/>
                <w:highlight w:val="none"/>
              </w:rPr>
              <w:t>kg/t-产品</w:t>
            </w:r>
            <w:r>
              <w:rPr>
                <w:rFonts w:hint="eastAsia" w:ascii="Times New Roman" w:hAnsi="Times New Roman" w:cs="Times New Roman"/>
                <w:color w:val="auto"/>
                <w:szCs w:val="24"/>
                <w:highlight w:val="none"/>
                <w:lang w:eastAsia="zh-CN"/>
              </w:rPr>
              <w:t>，本项目塑料框生产搅拌与该系数工艺过程类似，因此本环评对塑料混料过程中的粉尘参考此参数核算</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eastAsia="zh-CN"/>
              </w:rPr>
              <w:t>布袋除尘器的处理效率本项目取值</w:t>
            </w:r>
            <w:r>
              <w:rPr>
                <w:rFonts w:hint="eastAsia" w:ascii="Times New Roman" w:hAnsi="Times New Roman" w:cs="Times New Roman"/>
                <w:color w:val="auto"/>
                <w:szCs w:val="24"/>
                <w:highlight w:val="none"/>
                <w:lang w:val="en-US" w:eastAsia="zh-CN"/>
              </w:rPr>
              <w:t>80%，收集效率99%。无组织粉尘在车间内沉降按80%。</w:t>
            </w:r>
          </w:p>
          <w:p>
            <w:pPr>
              <w:pStyle w:val="66"/>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则本项目混料上料粉尘产排污情况如下：</w:t>
            </w:r>
          </w:p>
          <w:p>
            <w:pPr>
              <w:pStyle w:val="66"/>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粉尘产生量：3500</w:t>
            </w:r>
            <w:r>
              <w:rPr>
                <w:rFonts w:hint="default" w:ascii="Times New Roman" w:hAnsi="Times New Roman" w:cs="Times New Roman"/>
                <w:color w:val="auto"/>
                <w:szCs w:val="24"/>
                <w:highlight w:val="none"/>
              </w:rPr>
              <w:t>t</w:t>
            </w:r>
            <w:r>
              <w:rPr>
                <w:rFonts w:hint="eastAsia" w:ascii="Times New Roman" w:hAnsi="Times New Roman" w:cs="Times New Roman"/>
                <w:color w:val="auto"/>
                <w:szCs w:val="24"/>
                <w:highlight w:val="none"/>
                <w:lang w:val="en-US" w:eastAsia="zh-CN"/>
              </w:rPr>
              <w:t>/a×6.0</w:t>
            </w:r>
            <w:r>
              <w:rPr>
                <w:rFonts w:hint="default" w:ascii="Times New Roman" w:hAnsi="Times New Roman" w:cs="Times New Roman"/>
                <w:color w:val="auto"/>
                <w:szCs w:val="24"/>
                <w:highlight w:val="none"/>
              </w:rPr>
              <w:t>kg/t</w:t>
            </w:r>
            <w:r>
              <w:rPr>
                <w:rFonts w:hint="eastAsia" w:ascii="Times New Roman" w:hAnsi="Times New Roman" w:cs="Times New Roman"/>
                <w:color w:val="auto"/>
                <w:szCs w:val="24"/>
                <w:highlight w:val="none"/>
                <w:lang w:val="en-US" w:eastAsia="zh-CN"/>
              </w:rPr>
              <w:t>=21t/a</w:t>
            </w:r>
          </w:p>
          <w:p>
            <w:pPr>
              <w:pStyle w:val="66"/>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粉尘收集处理后排放量：3500</w:t>
            </w:r>
            <w:r>
              <w:rPr>
                <w:rFonts w:hint="default" w:ascii="Times New Roman" w:hAnsi="Times New Roman" w:cs="Times New Roman"/>
                <w:color w:val="auto"/>
                <w:szCs w:val="24"/>
                <w:highlight w:val="none"/>
              </w:rPr>
              <w:t>t</w:t>
            </w:r>
            <w:r>
              <w:rPr>
                <w:rFonts w:hint="eastAsia" w:ascii="Times New Roman" w:hAnsi="Times New Roman" w:cs="Times New Roman"/>
                <w:color w:val="auto"/>
                <w:szCs w:val="24"/>
                <w:highlight w:val="none"/>
                <w:lang w:val="en-US" w:eastAsia="zh-CN"/>
              </w:rPr>
              <w:t>/a×6.0</w:t>
            </w:r>
            <w:r>
              <w:rPr>
                <w:rFonts w:hint="default" w:ascii="Times New Roman" w:hAnsi="Times New Roman" w:cs="Times New Roman"/>
                <w:color w:val="auto"/>
                <w:szCs w:val="24"/>
                <w:highlight w:val="none"/>
              </w:rPr>
              <w:t>kg/</w:t>
            </w:r>
            <w:r>
              <w:rPr>
                <w:rFonts w:hint="eastAsia" w:ascii="Times New Roman" w:hAnsi="Times New Roman" w:cs="Times New Roman"/>
                <w:color w:val="auto"/>
                <w:szCs w:val="24"/>
                <w:highlight w:val="none"/>
                <w:lang w:val="en-US" w:eastAsia="zh-CN"/>
              </w:rPr>
              <w:t>t×80%×（1-99%）=0.168t/a</w:t>
            </w:r>
          </w:p>
          <w:p>
            <w:pPr>
              <w:pStyle w:val="66"/>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 xml:space="preserve">粉尘有组织排放速率：0.168t/a÷4800h/a=0.035kg/h </w:t>
            </w:r>
          </w:p>
          <w:p>
            <w:pPr>
              <w:pStyle w:val="66"/>
              <w:ind w:firstLine="480"/>
              <w:jc w:val="both"/>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粉尘有组织排放浓度：0.035kg/h÷7000m³/h=5.0mg/m³</w:t>
            </w:r>
          </w:p>
          <w:p>
            <w:pPr>
              <w:pStyle w:val="66"/>
              <w:ind w:firstLine="480"/>
              <w:rPr>
                <w:rFonts w:hint="eastAsia" w:ascii="Times New Roman" w:hAnsi="Times New Roman" w:eastAsia="宋体" w:cs="Times New Roman"/>
                <w:b w:val="0"/>
                <w:bCs w:val="0"/>
                <w:snapToGrid w:val="0"/>
                <w:color w:val="auto"/>
                <w:kern w:val="0"/>
                <w:szCs w:val="22"/>
                <w:lang w:val="en-US" w:eastAsia="zh-CN"/>
              </w:rPr>
            </w:pPr>
            <w:r>
              <w:rPr>
                <w:rFonts w:hint="eastAsia" w:ascii="Times New Roman" w:hAnsi="Times New Roman" w:cs="Times New Roman"/>
                <w:color w:val="auto"/>
                <w:szCs w:val="24"/>
                <w:highlight w:val="none"/>
                <w:lang w:val="en-US" w:eastAsia="zh-CN"/>
              </w:rPr>
              <w:t>粉尘无组织排放速率：</w:t>
            </w:r>
            <w:r>
              <w:rPr>
                <w:rFonts w:hint="eastAsia" w:ascii="Times New Roman" w:hAnsi="Times New Roman" w:cs="Times New Roman"/>
                <w:b w:val="0"/>
                <w:bCs w:val="0"/>
                <w:snapToGrid w:val="0"/>
                <w:color w:val="auto"/>
                <w:kern w:val="0"/>
                <w:szCs w:val="22"/>
                <w:lang w:val="en-US" w:eastAsia="zh-CN"/>
              </w:rPr>
              <w:t>21</w:t>
            </w:r>
            <w:r>
              <w:rPr>
                <w:rFonts w:hint="eastAsia" w:ascii="Times New Roman" w:hAnsi="Times New Roman" w:eastAsia="宋体" w:cs="Times New Roman"/>
                <w:b w:val="0"/>
                <w:bCs w:val="0"/>
                <w:snapToGrid w:val="0"/>
                <w:color w:val="auto"/>
                <w:kern w:val="0"/>
                <w:szCs w:val="22"/>
                <w:lang w:val="en-US" w:eastAsia="zh-CN"/>
              </w:rPr>
              <w:t>t/a×（1-</w:t>
            </w:r>
            <w:r>
              <w:rPr>
                <w:rFonts w:hint="eastAsia" w:ascii="Times New Roman" w:hAnsi="Times New Roman" w:cs="Times New Roman"/>
                <w:b w:val="0"/>
                <w:bCs w:val="0"/>
                <w:snapToGrid w:val="0"/>
                <w:color w:val="auto"/>
                <w:kern w:val="0"/>
                <w:szCs w:val="22"/>
                <w:lang w:val="en-US" w:eastAsia="zh-CN"/>
              </w:rPr>
              <w:t>80</w:t>
            </w:r>
            <w:r>
              <w:rPr>
                <w:rFonts w:hint="eastAsia" w:ascii="Times New Roman" w:hAnsi="Times New Roman" w:eastAsia="宋体" w:cs="Times New Roman"/>
                <w:b w:val="0"/>
                <w:bCs w:val="0"/>
                <w:snapToGrid w:val="0"/>
                <w:color w:val="auto"/>
                <w:kern w:val="0"/>
                <w:szCs w:val="22"/>
                <w:lang w:val="en-US" w:eastAsia="zh-CN"/>
              </w:rPr>
              <w:t>%）×</w:t>
            </w:r>
            <w:r>
              <w:rPr>
                <w:rFonts w:hint="eastAsia" w:ascii="Times New Roman" w:hAnsi="Times New Roman" w:cs="Times New Roman"/>
                <w:b w:val="0"/>
                <w:bCs w:val="0"/>
                <w:snapToGrid w:val="0"/>
                <w:color w:val="auto"/>
                <w:kern w:val="0"/>
                <w:szCs w:val="22"/>
                <w:lang w:val="en-US" w:eastAsia="zh-CN"/>
              </w:rPr>
              <w:t>2</w:t>
            </w:r>
            <w:r>
              <w:rPr>
                <w:rFonts w:hint="eastAsia" w:ascii="Times New Roman" w:hAnsi="Times New Roman" w:eastAsia="宋体" w:cs="Times New Roman"/>
                <w:b w:val="0"/>
                <w:bCs w:val="0"/>
                <w:snapToGrid w:val="0"/>
                <w:color w:val="auto"/>
                <w:kern w:val="0"/>
                <w:szCs w:val="22"/>
                <w:lang w:val="en-US" w:eastAsia="zh-CN"/>
              </w:rPr>
              <w:t>0%÷</w:t>
            </w:r>
            <w:r>
              <w:rPr>
                <w:rFonts w:hint="eastAsia" w:ascii="Times New Roman" w:hAnsi="Times New Roman" w:cs="Times New Roman"/>
                <w:b w:val="0"/>
                <w:bCs w:val="0"/>
                <w:snapToGrid w:val="0"/>
                <w:color w:val="auto"/>
                <w:kern w:val="0"/>
                <w:szCs w:val="22"/>
                <w:lang w:val="en-US" w:eastAsia="zh-CN"/>
              </w:rPr>
              <w:t>4800</w:t>
            </w:r>
            <w:r>
              <w:rPr>
                <w:rFonts w:hint="eastAsia" w:ascii="Times New Roman" w:hAnsi="Times New Roman" w:eastAsia="宋体" w:cs="Times New Roman"/>
                <w:b w:val="0"/>
                <w:bCs w:val="0"/>
                <w:snapToGrid w:val="0"/>
                <w:color w:val="auto"/>
                <w:kern w:val="0"/>
                <w:szCs w:val="22"/>
                <w:lang w:val="en-US" w:eastAsia="zh-CN"/>
              </w:rPr>
              <w:t>h/a=0.</w:t>
            </w:r>
            <w:r>
              <w:rPr>
                <w:rFonts w:hint="eastAsia" w:ascii="Times New Roman" w:hAnsi="Times New Roman" w:cs="Times New Roman"/>
                <w:b w:val="0"/>
                <w:bCs w:val="0"/>
                <w:snapToGrid w:val="0"/>
                <w:color w:val="auto"/>
                <w:kern w:val="0"/>
                <w:szCs w:val="22"/>
                <w:lang w:val="en-US" w:eastAsia="zh-CN"/>
              </w:rPr>
              <w:t>1750</w:t>
            </w:r>
            <w:r>
              <w:rPr>
                <w:rFonts w:hint="eastAsia" w:ascii="Times New Roman" w:hAnsi="Times New Roman" w:eastAsia="宋体" w:cs="Times New Roman"/>
                <w:b w:val="0"/>
                <w:bCs w:val="0"/>
                <w:snapToGrid w:val="0"/>
                <w:color w:val="auto"/>
                <w:kern w:val="0"/>
                <w:szCs w:val="22"/>
                <w:lang w:val="en-US" w:eastAsia="zh-CN"/>
              </w:rPr>
              <w:t>kg/h</w:t>
            </w:r>
          </w:p>
          <w:p>
            <w:pPr>
              <w:pStyle w:val="66"/>
              <w:ind w:firstLine="480"/>
              <w:rPr>
                <w:rFonts w:hint="eastAsia" w:ascii="Times New Roman" w:hAnsi="Times New Roman" w:eastAsia="宋体" w:cs="Times New Roman"/>
                <w:b w:val="0"/>
                <w:bCs w:val="0"/>
                <w:snapToGrid w:val="0"/>
                <w:color w:val="auto"/>
                <w:kern w:val="0"/>
                <w:szCs w:val="22"/>
                <w:lang w:val="en-US" w:eastAsia="zh-CN"/>
              </w:rPr>
            </w:pPr>
            <w:r>
              <w:rPr>
                <w:rFonts w:hint="eastAsia" w:ascii="Times New Roman" w:hAnsi="Times New Roman" w:cs="Times New Roman"/>
                <w:b w:val="0"/>
                <w:bCs w:val="0"/>
                <w:snapToGrid w:val="0"/>
                <w:color w:val="auto"/>
                <w:kern w:val="0"/>
                <w:szCs w:val="22"/>
                <w:lang w:val="en-US" w:eastAsia="zh-CN"/>
              </w:rPr>
              <w:t>粉尘无组织排量为：</w:t>
            </w:r>
            <w:r>
              <w:rPr>
                <w:rFonts w:hint="eastAsia" w:ascii="Times New Roman" w:hAnsi="Times New Roman" w:eastAsia="宋体" w:cs="Times New Roman"/>
                <w:b w:val="0"/>
                <w:bCs w:val="0"/>
                <w:snapToGrid w:val="0"/>
                <w:color w:val="auto"/>
                <w:kern w:val="0"/>
                <w:szCs w:val="22"/>
                <w:lang w:val="en-US" w:eastAsia="zh-CN"/>
              </w:rPr>
              <w:t xml:space="preserve"> </w:t>
            </w:r>
            <w:r>
              <w:rPr>
                <w:rFonts w:hint="eastAsia" w:ascii="Times New Roman" w:hAnsi="Times New Roman" w:cs="Times New Roman"/>
                <w:b w:val="0"/>
                <w:bCs w:val="0"/>
                <w:snapToGrid w:val="0"/>
                <w:color w:val="auto"/>
                <w:kern w:val="0"/>
                <w:szCs w:val="22"/>
                <w:lang w:val="en-US" w:eastAsia="zh-CN"/>
              </w:rPr>
              <w:t>21</w:t>
            </w:r>
            <w:r>
              <w:rPr>
                <w:rFonts w:hint="eastAsia" w:ascii="Times New Roman" w:hAnsi="Times New Roman" w:eastAsia="宋体" w:cs="Times New Roman"/>
                <w:b w:val="0"/>
                <w:bCs w:val="0"/>
                <w:snapToGrid w:val="0"/>
                <w:color w:val="auto"/>
                <w:kern w:val="0"/>
                <w:szCs w:val="22"/>
                <w:lang w:val="en-US" w:eastAsia="zh-CN"/>
              </w:rPr>
              <w:t>t/a×（1-</w:t>
            </w:r>
            <w:r>
              <w:rPr>
                <w:rFonts w:hint="eastAsia" w:ascii="Times New Roman" w:hAnsi="Times New Roman" w:cs="Times New Roman"/>
                <w:b w:val="0"/>
                <w:bCs w:val="0"/>
                <w:snapToGrid w:val="0"/>
                <w:color w:val="auto"/>
                <w:kern w:val="0"/>
                <w:szCs w:val="22"/>
                <w:lang w:val="en-US" w:eastAsia="zh-CN"/>
              </w:rPr>
              <w:t>80</w:t>
            </w:r>
            <w:r>
              <w:rPr>
                <w:rFonts w:hint="eastAsia" w:ascii="Times New Roman" w:hAnsi="Times New Roman" w:eastAsia="宋体" w:cs="Times New Roman"/>
                <w:b w:val="0"/>
                <w:bCs w:val="0"/>
                <w:snapToGrid w:val="0"/>
                <w:color w:val="auto"/>
                <w:kern w:val="0"/>
                <w:szCs w:val="22"/>
                <w:lang w:val="en-US" w:eastAsia="zh-CN"/>
              </w:rPr>
              <w:t>%）×</w:t>
            </w:r>
            <w:r>
              <w:rPr>
                <w:rFonts w:hint="eastAsia" w:ascii="Times New Roman" w:hAnsi="Times New Roman" w:cs="Times New Roman"/>
                <w:b w:val="0"/>
                <w:bCs w:val="0"/>
                <w:snapToGrid w:val="0"/>
                <w:color w:val="auto"/>
                <w:kern w:val="0"/>
                <w:szCs w:val="22"/>
                <w:lang w:val="en-US" w:eastAsia="zh-CN"/>
              </w:rPr>
              <w:t>2</w:t>
            </w:r>
            <w:r>
              <w:rPr>
                <w:rFonts w:hint="eastAsia" w:ascii="Times New Roman" w:hAnsi="Times New Roman" w:eastAsia="宋体" w:cs="Times New Roman"/>
                <w:b w:val="0"/>
                <w:bCs w:val="0"/>
                <w:snapToGrid w:val="0"/>
                <w:color w:val="auto"/>
                <w:kern w:val="0"/>
                <w:szCs w:val="22"/>
                <w:lang w:val="en-US" w:eastAsia="zh-CN"/>
              </w:rPr>
              <w:t>0%=0.</w:t>
            </w:r>
            <w:r>
              <w:rPr>
                <w:rFonts w:hint="eastAsia" w:ascii="Times New Roman" w:hAnsi="Times New Roman" w:cs="Times New Roman"/>
                <w:b w:val="0"/>
                <w:bCs w:val="0"/>
                <w:snapToGrid w:val="0"/>
                <w:color w:val="auto"/>
                <w:kern w:val="0"/>
                <w:szCs w:val="22"/>
                <w:lang w:val="en-US" w:eastAsia="zh-CN"/>
              </w:rPr>
              <w:t>84</w:t>
            </w:r>
            <w:r>
              <w:rPr>
                <w:rFonts w:hint="eastAsia" w:ascii="Times New Roman" w:hAnsi="Times New Roman" w:eastAsia="宋体" w:cs="Times New Roman"/>
                <w:b w:val="0"/>
                <w:bCs w:val="0"/>
                <w:snapToGrid w:val="0"/>
                <w:color w:val="auto"/>
                <w:kern w:val="0"/>
                <w:szCs w:val="22"/>
                <w:lang w:val="en-US" w:eastAsia="zh-CN"/>
              </w:rPr>
              <w:t>t/a</w:t>
            </w:r>
          </w:p>
          <w:p>
            <w:pPr>
              <w:pStyle w:val="66"/>
              <w:ind w:firstLine="480"/>
              <w:rPr>
                <w:rFonts w:hint="eastAsia" w:ascii="Times New Roman" w:hAnsi="Times New Roman" w:eastAsia="宋体" w:cs="Times New Roman"/>
                <w:b w:val="0"/>
                <w:bCs w:val="0"/>
                <w:snapToGrid w:val="0"/>
                <w:color w:val="auto"/>
                <w:kern w:val="0"/>
                <w:szCs w:val="22"/>
                <w:lang w:val="en-US" w:eastAsia="zh-CN"/>
              </w:rPr>
            </w:pPr>
            <w:r>
              <w:rPr>
                <w:rFonts w:hint="eastAsia" w:ascii="Times New Roman" w:hAnsi="Times New Roman" w:eastAsia="宋体" w:cs="Times New Roman"/>
                <w:b w:val="0"/>
                <w:bCs w:val="0"/>
                <w:snapToGrid w:val="0"/>
                <w:color w:val="auto"/>
                <w:kern w:val="0"/>
                <w:szCs w:val="22"/>
                <w:lang w:val="en-US" w:eastAsia="zh-CN"/>
              </w:rPr>
              <w:t>据此本项目粉尘除尘系统排放信息如下：</w:t>
            </w:r>
          </w:p>
          <w:p>
            <w:pPr>
              <w:pStyle w:val="60"/>
              <w:bidi w:val="0"/>
              <w:rPr>
                <w:rFonts w:hint="default"/>
                <w:lang w:val="en-US" w:eastAsia="zh-CN"/>
              </w:rPr>
            </w:pPr>
            <w:r>
              <w:rPr>
                <w:rFonts w:hint="eastAsia"/>
                <w:lang w:val="en-US" w:eastAsia="zh-CN"/>
              </w:rPr>
              <w:t>表4-2  塑料筐生产拌料粉尘除尘系统排放情况表</w:t>
            </w:r>
          </w:p>
          <w:tbl>
            <w:tblPr>
              <w:tblStyle w:val="24"/>
              <w:tblW w:w="808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7"/>
              <w:gridCol w:w="934"/>
              <w:gridCol w:w="1200"/>
              <w:gridCol w:w="1131"/>
              <w:gridCol w:w="992"/>
              <w:gridCol w:w="1062"/>
              <w:gridCol w:w="958"/>
              <w:gridCol w:w="8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927"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污染源</w:t>
                  </w:r>
                </w:p>
              </w:tc>
              <w:tc>
                <w:tcPr>
                  <w:tcW w:w="934"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排放口编号</w:t>
                  </w:r>
                </w:p>
              </w:tc>
              <w:tc>
                <w:tcPr>
                  <w:tcW w:w="1200"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风机风量（m³/h）</w:t>
                  </w:r>
                </w:p>
              </w:tc>
              <w:tc>
                <w:tcPr>
                  <w:tcW w:w="1131"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排气口直径（m）</w:t>
                  </w:r>
                </w:p>
              </w:tc>
              <w:tc>
                <w:tcPr>
                  <w:tcW w:w="99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排风风速（m/s）</w:t>
                  </w:r>
                </w:p>
              </w:tc>
              <w:tc>
                <w:tcPr>
                  <w:tcW w:w="106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排放浓度</w:t>
                  </w:r>
                  <w:r>
                    <w:rPr>
                      <w:rFonts w:hint="default" w:ascii="Times New Roman" w:hAnsi="Times New Roman" w:eastAsia="宋体" w:cs="Times New Roman"/>
                      <w:i w:val="0"/>
                      <w:iCs w:val="0"/>
                      <w:color w:val="000000"/>
                      <w:kern w:val="0"/>
                      <w:sz w:val="21"/>
                      <w:szCs w:val="21"/>
                      <w:u w:val="none"/>
                      <w:lang w:val="en-US" w:eastAsia="zh-CN" w:bidi="ar"/>
                    </w:rPr>
                    <w:t>mg/m³</w:t>
                  </w:r>
                </w:p>
              </w:tc>
              <w:tc>
                <w:tcPr>
                  <w:tcW w:w="958"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排放速率</w:t>
                  </w:r>
                  <w:r>
                    <w:rPr>
                      <w:rFonts w:hint="default" w:ascii="Times New Roman" w:hAnsi="Times New Roman" w:eastAsia="宋体" w:cs="Times New Roman"/>
                      <w:i w:val="0"/>
                      <w:iCs w:val="0"/>
                      <w:color w:val="000000"/>
                      <w:kern w:val="0"/>
                      <w:sz w:val="21"/>
                      <w:szCs w:val="21"/>
                      <w:u w:val="none"/>
                      <w:lang w:val="en-US" w:eastAsia="zh-CN" w:bidi="ar"/>
                    </w:rPr>
                    <w:t>kg/h</w:t>
                  </w:r>
                </w:p>
              </w:tc>
              <w:tc>
                <w:tcPr>
                  <w:tcW w:w="876"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年排放量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927"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tabs>
                      <w:tab w:val="right" w:pos="1453"/>
                    </w:tabs>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拌料粉尘</w:t>
                  </w:r>
                </w:p>
              </w:tc>
              <w:tc>
                <w:tcPr>
                  <w:tcW w:w="934"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DA001</w:t>
                  </w:r>
                </w:p>
              </w:tc>
              <w:tc>
                <w:tcPr>
                  <w:tcW w:w="120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7000</w:t>
                  </w:r>
                </w:p>
              </w:tc>
              <w:tc>
                <w:tcPr>
                  <w:tcW w:w="1131"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9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r>
                    <w:rPr>
                      <w:rFonts w:hint="eastAsia" w:ascii="Times New Roman" w:hAnsi="Times New Roman" w:eastAsia="宋体" w:cs="Times New Roman"/>
                      <w:i w:val="0"/>
                      <w:iCs w:val="0"/>
                      <w:color w:val="000000"/>
                      <w:kern w:val="0"/>
                      <w:sz w:val="21"/>
                      <w:szCs w:val="21"/>
                      <w:u w:val="none"/>
                      <w:lang w:val="en-US" w:eastAsia="zh-CN" w:bidi="ar"/>
                    </w:rPr>
                    <w:t>1</w:t>
                  </w:r>
                </w:p>
              </w:tc>
              <w:tc>
                <w:tcPr>
                  <w:tcW w:w="106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5.0000 </w:t>
                  </w:r>
                </w:p>
              </w:tc>
              <w:tc>
                <w:tcPr>
                  <w:tcW w:w="958"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0.0350 </w:t>
                  </w:r>
                </w:p>
              </w:tc>
              <w:tc>
                <w:tcPr>
                  <w:tcW w:w="876"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0.1680 </w:t>
                  </w:r>
                </w:p>
              </w:tc>
            </w:tr>
          </w:tbl>
          <w:p>
            <w:pPr>
              <w:pStyle w:val="66"/>
              <w:keepNext w:val="0"/>
              <w:keepLines w:val="0"/>
              <w:pageBreakBefore w:val="0"/>
              <w:widowControl w:val="0"/>
              <w:kinsoku/>
              <w:wordWrap/>
              <w:overflowPunct/>
              <w:topLinePunct w:val="0"/>
              <w:autoSpaceDE/>
              <w:autoSpaceDN/>
              <w:bidi w:val="0"/>
              <w:adjustRightInd w:val="0"/>
              <w:snapToGrid w:val="0"/>
              <w:spacing w:before="313" w:beforeLines="100"/>
              <w:ind w:firstLine="480"/>
              <w:jc w:val="both"/>
              <w:textAlignment w:val="auto"/>
              <w:rPr>
                <w:rFonts w:hint="eastAsia" w:ascii="Times New Roman" w:hAnsi="Times New Roman" w:eastAsia="宋体" w:cs="Times New Roman"/>
                <w:b/>
                <w:bCs/>
                <w:snapToGrid w:val="0"/>
                <w:kern w:val="0"/>
                <w:sz w:val="24"/>
                <w:szCs w:val="22"/>
                <w:lang w:eastAsia="zh-CN"/>
              </w:rPr>
            </w:pPr>
            <w:r>
              <w:rPr>
                <w:rFonts w:hint="eastAsia" w:ascii="Times New Roman" w:hAnsi="Times New Roman" w:eastAsia="宋体" w:cs="Times New Roman"/>
                <w:b/>
                <w:bCs/>
                <w:snapToGrid w:val="0"/>
                <w:kern w:val="0"/>
                <w:sz w:val="24"/>
                <w:szCs w:val="22"/>
                <w:lang w:eastAsia="zh-CN"/>
              </w:rPr>
              <w:t>②塑料框挤出成型废气</w:t>
            </w:r>
          </w:p>
          <w:p>
            <w:pPr>
              <w:pStyle w:val="66"/>
              <w:ind w:firstLine="480"/>
              <w:jc w:val="both"/>
              <w:rPr>
                <w:rFonts w:hint="eastAsia"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rPr>
              <w:t>项目设计年生产</w:t>
            </w:r>
            <w:r>
              <w:rPr>
                <w:rFonts w:hint="eastAsia" w:ascii="Times New Roman" w:hAnsi="Times New Roman" w:cs="Times New Roman"/>
                <w:color w:val="auto"/>
                <w:szCs w:val="24"/>
                <w:highlight w:val="none"/>
                <w:lang w:val="en-US" w:eastAsia="zh-CN"/>
              </w:rPr>
              <w:t>300</w:t>
            </w:r>
            <w:r>
              <w:rPr>
                <w:rFonts w:hint="default" w:ascii="Times New Roman" w:hAnsi="Times New Roman" w:cs="Times New Roman"/>
                <w:color w:val="auto"/>
                <w:szCs w:val="24"/>
                <w:highlight w:val="none"/>
              </w:rPr>
              <w:t>天，每天生产</w:t>
            </w:r>
            <w:r>
              <w:rPr>
                <w:rFonts w:hint="eastAsia" w:ascii="Times New Roman" w:hAnsi="Times New Roman" w:cs="Times New Roman"/>
                <w:color w:val="auto"/>
                <w:szCs w:val="24"/>
                <w:highlight w:val="none"/>
                <w:lang w:val="en-US" w:eastAsia="zh-CN"/>
              </w:rPr>
              <w:t>16</w:t>
            </w:r>
            <w:r>
              <w:rPr>
                <w:rFonts w:hint="default" w:ascii="Times New Roman" w:hAnsi="Times New Roman" w:cs="Times New Roman"/>
                <w:color w:val="auto"/>
                <w:szCs w:val="24"/>
                <w:highlight w:val="none"/>
              </w:rPr>
              <w:t>h，项目在每台挤出</w:t>
            </w:r>
            <w:r>
              <w:rPr>
                <w:rFonts w:hint="eastAsia" w:ascii="Times New Roman" w:hAnsi="Times New Roman" w:cs="Times New Roman"/>
                <w:color w:val="auto"/>
                <w:szCs w:val="24"/>
                <w:highlight w:val="none"/>
                <w:lang w:val="en-US" w:eastAsia="zh-CN"/>
              </w:rPr>
              <w:t>机挤出压片</w:t>
            </w:r>
            <w:r>
              <w:rPr>
                <w:rFonts w:hint="default" w:ascii="Times New Roman" w:hAnsi="Times New Roman" w:cs="Times New Roman"/>
                <w:color w:val="auto"/>
                <w:szCs w:val="24"/>
                <w:highlight w:val="none"/>
              </w:rPr>
              <w:t>口上方0.3</w:t>
            </w:r>
            <w:r>
              <w:rPr>
                <w:rFonts w:hint="eastAsia" w:ascii="Times New Roman" w:hAnsi="Times New Roman" w:cs="Times New Roman"/>
                <w:color w:val="auto"/>
                <w:szCs w:val="24"/>
                <w:highlight w:val="none"/>
                <w:lang w:val="en-US" w:eastAsia="zh-CN"/>
              </w:rPr>
              <w:t>-0.5</w:t>
            </w:r>
            <w:r>
              <w:rPr>
                <w:rFonts w:hint="default" w:ascii="Times New Roman" w:hAnsi="Times New Roman" w:cs="Times New Roman"/>
                <w:color w:val="auto"/>
                <w:szCs w:val="24"/>
                <w:highlight w:val="none"/>
              </w:rPr>
              <w:t>m的高度设置</w:t>
            </w:r>
            <w:r>
              <w:rPr>
                <w:rFonts w:hint="eastAsia"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m×</w:t>
            </w:r>
            <w:r>
              <w:rPr>
                <w:rFonts w:hint="eastAsia"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m的集气罩收集项目</w:t>
            </w:r>
            <w:r>
              <w:rPr>
                <w:rFonts w:hint="eastAsia" w:ascii="Times New Roman" w:hAnsi="Times New Roman" w:cs="Times New Roman"/>
                <w:color w:val="auto"/>
                <w:szCs w:val="24"/>
                <w:highlight w:val="none"/>
                <w:lang w:val="en-US" w:eastAsia="zh-CN"/>
              </w:rPr>
              <w:t>挤出成型</w:t>
            </w:r>
            <w:r>
              <w:rPr>
                <w:rFonts w:hint="default" w:ascii="Times New Roman" w:hAnsi="Times New Roman" w:cs="Times New Roman"/>
                <w:color w:val="auto"/>
                <w:szCs w:val="24"/>
                <w:highlight w:val="none"/>
              </w:rPr>
              <w:t>废气。集气罩下沿的风速按</w:t>
            </w:r>
            <w:r>
              <w:rPr>
                <w:rFonts w:hint="eastAsia"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m/s设计，系统总风量富余</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0%</w:t>
            </w:r>
            <w:r>
              <w:rPr>
                <w:rFonts w:hint="eastAsia" w:ascii="Times New Roman" w:hAnsi="Times New Roman" w:cs="Times New Roman"/>
                <w:color w:val="auto"/>
                <w:szCs w:val="24"/>
                <w:highlight w:val="none"/>
                <w:lang w:val="en-US" w:eastAsia="zh-CN"/>
              </w:rPr>
              <w:t>，则本项目</w:t>
            </w:r>
            <w:r>
              <w:rPr>
                <w:rFonts w:hint="eastAsia"/>
                <w:lang w:val="en-US" w:eastAsia="zh-CN"/>
              </w:rPr>
              <w:t>挤出成型废气处理</w:t>
            </w:r>
            <w:r>
              <w:rPr>
                <w:rFonts w:hint="eastAsia" w:ascii="Times New Roman" w:hAnsi="Times New Roman" w:cs="Times New Roman"/>
                <w:color w:val="auto"/>
                <w:szCs w:val="24"/>
                <w:highlight w:val="none"/>
                <w:lang w:val="en-US" w:eastAsia="zh-CN"/>
              </w:rPr>
              <w:t>系统风量核算如下：</w:t>
            </w:r>
          </w:p>
          <w:p>
            <w:pPr>
              <w:pStyle w:val="60"/>
              <w:bidi w:val="0"/>
              <w:rPr>
                <w:rFonts w:hint="default"/>
                <w:lang w:val="en-US" w:eastAsia="zh-CN"/>
              </w:rPr>
            </w:pPr>
            <w:r>
              <w:rPr>
                <w:rFonts w:hint="eastAsia"/>
                <w:lang w:val="en-US" w:eastAsia="zh-CN"/>
              </w:rPr>
              <w:t xml:space="preserve">表4-3 </w:t>
            </w:r>
            <w:r>
              <w:rPr>
                <w:rFonts w:hint="eastAsia" w:ascii="Times New Roman" w:hAnsi="Times New Roman" w:eastAsia="宋体" w:cs="Times New Roman"/>
                <w:b/>
                <w:bCs/>
                <w:snapToGrid w:val="0"/>
                <w:kern w:val="0"/>
                <w:sz w:val="24"/>
                <w:szCs w:val="22"/>
                <w:lang w:eastAsia="zh-CN"/>
              </w:rPr>
              <w:t>塑料框挤出成型</w:t>
            </w:r>
            <w:r>
              <w:rPr>
                <w:rFonts w:hint="eastAsia"/>
                <w:lang w:val="en-US" w:eastAsia="zh-CN"/>
              </w:rPr>
              <w:t>废气收集系统风量核算</w:t>
            </w:r>
          </w:p>
          <w:tbl>
            <w:tblPr>
              <w:tblStyle w:val="24"/>
              <w:tblW w:w="8092"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0"/>
              <w:gridCol w:w="1027"/>
              <w:gridCol w:w="1730"/>
              <w:gridCol w:w="1743"/>
              <w:gridCol w:w="981"/>
              <w:gridCol w:w="1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100"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设置位置</w:t>
                  </w:r>
                </w:p>
              </w:tc>
              <w:tc>
                <w:tcPr>
                  <w:tcW w:w="102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730"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集气罩尺寸（</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eastAsia" w:ascii="宋体" w:hAnsi="宋体" w:eastAsia="宋体" w:cs="宋体"/>
                      <w:b/>
                      <w:bCs/>
                      <w:i w:val="0"/>
                      <w:iCs w:val="0"/>
                      <w:color w:val="000000"/>
                      <w:kern w:val="0"/>
                      <w:sz w:val="21"/>
                      <w:szCs w:val="21"/>
                      <w:u w:val="none"/>
                      <w:lang w:val="en-US" w:eastAsia="zh-CN" w:bidi="ar"/>
                    </w:rPr>
                    <w:t>）</w:t>
                  </w:r>
                </w:p>
              </w:tc>
              <w:tc>
                <w:tcPr>
                  <w:tcW w:w="1743"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集气罩边缘设计风速</w:t>
                  </w:r>
                  <w:r>
                    <w:rPr>
                      <w:rFonts w:hint="default" w:ascii="Times New Roman" w:hAnsi="Times New Roman" w:eastAsia="宋体" w:cs="Times New Roman"/>
                      <w:b/>
                      <w:bCs/>
                      <w:i w:val="0"/>
                      <w:iCs w:val="0"/>
                      <w:color w:val="000000"/>
                      <w:kern w:val="0"/>
                      <w:sz w:val="21"/>
                      <w:szCs w:val="21"/>
                      <w:u w:val="none"/>
                      <w:lang w:val="en-US" w:eastAsia="zh-CN" w:bidi="ar"/>
                    </w:rPr>
                    <w:t>(m/s)</w:t>
                  </w:r>
                </w:p>
              </w:tc>
              <w:tc>
                <w:tcPr>
                  <w:tcW w:w="981"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冗余系数</w:t>
                  </w:r>
                </w:p>
              </w:tc>
              <w:tc>
                <w:tcPr>
                  <w:tcW w:w="1511" w:type="dxa"/>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设计排气量（</w:t>
                  </w:r>
                  <w:r>
                    <w:rPr>
                      <w:rFonts w:hint="default" w:ascii="Times New Roman" w:hAnsi="Times New Roman" w:eastAsia="宋体" w:cs="Times New Roman"/>
                      <w:b/>
                      <w:bCs/>
                      <w:i w:val="0"/>
                      <w:iCs w:val="0"/>
                      <w:color w:val="000000"/>
                      <w:kern w:val="0"/>
                      <w:sz w:val="21"/>
                      <w:szCs w:val="21"/>
                      <w:u w:val="none"/>
                      <w:lang w:val="en-US" w:eastAsia="zh-CN" w:bidi="ar"/>
                    </w:rPr>
                    <w:t>m³/h</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100" w:type="dxa"/>
                  <w:tcBorders>
                    <w:top w:val="single" w:color="000000" w:sz="8" w:space="0"/>
                    <w:left w:val="nil"/>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挤出</w:t>
                  </w:r>
                  <w:r>
                    <w:rPr>
                      <w:rFonts w:hint="eastAsia" w:ascii="宋体" w:hAnsi="宋体" w:cs="宋体"/>
                      <w:i w:val="0"/>
                      <w:iCs w:val="0"/>
                      <w:color w:val="000000"/>
                      <w:kern w:val="0"/>
                      <w:sz w:val="21"/>
                      <w:szCs w:val="21"/>
                      <w:u w:val="none"/>
                      <w:lang w:val="en-US" w:eastAsia="zh-CN" w:bidi="ar"/>
                    </w:rPr>
                    <w:t>成型</w:t>
                  </w:r>
                </w:p>
              </w:tc>
              <w:tc>
                <w:tcPr>
                  <w:tcW w:w="102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73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1.0</w:t>
                  </w:r>
                </w:p>
              </w:tc>
              <w:tc>
                <w:tcPr>
                  <w:tcW w:w="174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.0</w:t>
                  </w:r>
                </w:p>
              </w:tc>
              <w:tc>
                <w:tcPr>
                  <w:tcW w:w="981"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511" w:type="dxa"/>
                  <w:tcBorders>
                    <w:top w:val="single" w:color="000000" w:sz="8" w:space="0"/>
                    <w:left w:val="single" w:color="000000" w:sz="8" w:space="0"/>
                    <w:bottom w:val="single" w:color="000000" w:sz="12"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8640</w:t>
                  </w:r>
                </w:p>
              </w:tc>
            </w:tr>
          </w:tbl>
          <w:p>
            <w:pPr>
              <w:pStyle w:val="66"/>
              <w:ind w:firstLine="480"/>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根据以上计算，本项目挤出压片废气系统收集系统风量取整为9000m³/h。项目废气收集后经过滤棉过滤+二级活性炭吸附单元处理后经离地15m的排气筒排放，则</w:t>
            </w:r>
            <w:r>
              <w:rPr>
                <w:rFonts w:hint="eastAsia"/>
                <w:lang w:val="en-US" w:eastAsia="zh-CN"/>
              </w:rPr>
              <w:t>挤出压片废气</w:t>
            </w:r>
            <w:r>
              <w:rPr>
                <w:rFonts w:hint="eastAsia" w:ascii="Times New Roman" w:hAnsi="Times New Roman" w:cs="Times New Roman"/>
                <w:color w:val="auto"/>
                <w:szCs w:val="24"/>
                <w:highlight w:val="none"/>
                <w:lang w:val="en-US" w:eastAsia="zh-CN"/>
              </w:rPr>
              <w:t>处理系统设计参数如下：</w:t>
            </w:r>
          </w:p>
          <w:p>
            <w:pPr>
              <w:pStyle w:val="60"/>
              <w:bidi w:val="0"/>
              <w:rPr>
                <w:rFonts w:hint="default"/>
                <w:lang w:val="en-US" w:eastAsia="zh-CN"/>
              </w:rPr>
            </w:pPr>
            <w:r>
              <w:rPr>
                <w:rFonts w:hint="eastAsia"/>
                <w:lang w:val="en-US" w:eastAsia="zh-CN"/>
              </w:rPr>
              <w:t xml:space="preserve">表4-4 </w:t>
            </w:r>
            <w:r>
              <w:rPr>
                <w:rFonts w:hint="eastAsia" w:ascii="Times New Roman" w:hAnsi="Times New Roman" w:eastAsia="宋体" w:cs="Times New Roman"/>
                <w:b/>
                <w:bCs/>
                <w:snapToGrid w:val="0"/>
                <w:kern w:val="0"/>
                <w:sz w:val="24"/>
                <w:szCs w:val="22"/>
                <w:lang w:eastAsia="zh-CN"/>
              </w:rPr>
              <w:t>塑料框挤出成型</w:t>
            </w:r>
            <w:r>
              <w:rPr>
                <w:rFonts w:hint="eastAsia"/>
                <w:lang w:val="en-US" w:eastAsia="zh-CN"/>
              </w:rPr>
              <w:t>废气</w:t>
            </w:r>
            <w:r>
              <w:rPr>
                <w:rFonts w:hint="eastAsia" w:ascii="Times New Roman" w:hAnsi="Times New Roman" w:cs="Times New Roman"/>
                <w:color w:val="auto"/>
                <w:szCs w:val="24"/>
                <w:highlight w:val="none"/>
                <w:lang w:val="en-US" w:eastAsia="zh-CN"/>
              </w:rPr>
              <w:t>处理系统设计参数</w:t>
            </w:r>
          </w:p>
          <w:tbl>
            <w:tblPr>
              <w:tblStyle w:val="24"/>
              <w:tblW w:w="81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7"/>
              <w:gridCol w:w="1200"/>
              <w:gridCol w:w="1327"/>
              <w:gridCol w:w="1153"/>
              <w:gridCol w:w="1032"/>
              <w:gridCol w:w="1191"/>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7"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污染源</w:t>
                  </w:r>
                </w:p>
              </w:tc>
              <w:tc>
                <w:tcPr>
                  <w:tcW w:w="1200"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排放口编号</w:t>
                  </w:r>
                </w:p>
              </w:tc>
              <w:tc>
                <w:tcPr>
                  <w:tcW w:w="132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风机风量（</w:t>
                  </w:r>
                  <w:r>
                    <w:rPr>
                      <w:rFonts w:hint="default" w:ascii="Times New Roman" w:hAnsi="Times New Roman" w:eastAsia="宋体" w:cs="Times New Roman"/>
                      <w:b/>
                      <w:bCs/>
                      <w:i w:val="0"/>
                      <w:iCs w:val="0"/>
                      <w:color w:val="000000"/>
                      <w:kern w:val="0"/>
                      <w:sz w:val="21"/>
                      <w:szCs w:val="21"/>
                      <w:u w:val="none"/>
                      <w:lang w:val="en-US" w:eastAsia="zh-CN" w:bidi="ar"/>
                    </w:rPr>
                    <w:t>m³/h</w:t>
                  </w:r>
                  <w:r>
                    <w:rPr>
                      <w:rFonts w:hint="eastAsia" w:ascii="宋体" w:hAnsi="宋体" w:eastAsia="宋体" w:cs="宋体"/>
                      <w:b/>
                      <w:bCs/>
                      <w:i w:val="0"/>
                      <w:iCs w:val="0"/>
                      <w:color w:val="000000"/>
                      <w:kern w:val="0"/>
                      <w:sz w:val="22"/>
                      <w:szCs w:val="22"/>
                      <w:u w:val="none"/>
                      <w:lang w:val="en-US" w:eastAsia="zh-CN" w:bidi="ar"/>
                    </w:rPr>
                    <w:t>）</w:t>
                  </w:r>
                </w:p>
              </w:tc>
              <w:tc>
                <w:tcPr>
                  <w:tcW w:w="1153"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排气口直径（</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eastAsia" w:ascii="宋体" w:hAnsi="宋体" w:eastAsia="宋体" w:cs="宋体"/>
                      <w:b/>
                      <w:bCs/>
                      <w:i w:val="0"/>
                      <w:iCs w:val="0"/>
                      <w:color w:val="000000"/>
                      <w:kern w:val="0"/>
                      <w:sz w:val="22"/>
                      <w:szCs w:val="22"/>
                      <w:u w:val="none"/>
                      <w:lang w:val="en-US" w:eastAsia="zh-CN" w:bidi="ar"/>
                    </w:rPr>
                    <w:t>）</w:t>
                  </w:r>
                </w:p>
              </w:tc>
              <w:tc>
                <w:tcPr>
                  <w:tcW w:w="103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排风风速（</w:t>
                  </w:r>
                  <w:r>
                    <w:rPr>
                      <w:rFonts w:hint="default" w:ascii="Times New Roman" w:hAnsi="Times New Roman" w:eastAsia="宋体" w:cs="Times New Roman"/>
                      <w:b/>
                      <w:bCs/>
                      <w:i w:val="0"/>
                      <w:iCs w:val="0"/>
                      <w:color w:val="000000"/>
                      <w:kern w:val="0"/>
                      <w:sz w:val="21"/>
                      <w:szCs w:val="21"/>
                      <w:u w:val="none"/>
                      <w:lang w:val="en-US" w:eastAsia="zh-CN" w:bidi="ar"/>
                    </w:rPr>
                    <w:t>m/s</w:t>
                  </w:r>
                  <w:r>
                    <w:rPr>
                      <w:rFonts w:hint="eastAsia" w:ascii="宋体" w:hAnsi="宋体" w:eastAsia="宋体" w:cs="宋体"/>
                      <w:b/>
                      <w:bCs/>
                      <w:i w:val="0"/>
                      <w:iCs w:val="0"/>
                      <w:color w:val="000000"/>
                      <w:kern w:val="0"/>
                      <w:sz w:val="22"/>
                      <w:szCs w:val="22"/>
                      <w:u w:val="none"/>
                      <w:lang w:val="en-US" w:eastAsia="zh-CN" w:bidi="ar"/>
                    </w:rPr>
                    <w:t>）</w:t>
                  </w:r>
                </w:p>
              </w:tc>
              <w:tc>
                <w:tcPr>
                  <w:tcW w:w="1191"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活性炭填充量（</w:t>
                  </w:r>
                  <w:r>
                    <w:rPr>
                      <w:rFonts w:hint="default" w:ascii="Times New Roman" w:hAnsi="Times New Roman" w:eastAsia="宋体" w:cs="Times New Roman"/>
                      <w:b/>
                      <w:bCs/>
                      <w:i w:val="0"/>
                      <w:iCs w:val="0"/>
                      <w:color w:val="000000"/>
                      <w:kern w:val="0"/>
                      <w:sz w:val="21"/>
                      <w:szCs w:val="21"/>
                      <w:u w:val="none"/>
                      <w:lang w:val="en-US" w:eastAsia="zh-CN" w:bidi="ar"/>
                    </w:rPr>
                    <w:t>m³</w:t>
                  </w:r>
                  <w:r>
                    <w:rPr>
                      <w:rFonts w:hint="eastAsia" w:ascii="宋体" w:hAnsi="宋体" w:eastAsia="宋体" w:cs="宋体"/>
                      <w:b/>
                      <w:bCs/>
                      <w:i w:val="0"/>
                      <w:iCs w:val="0"/>
                      <w:color w:val="000000"/>
                      <w:kern w:val="0"/>
                      <w:sz w:val="22"/>
                      <w:szCs w:val="22"/>
                      <w:u w:val="none"/>
                      <w:lang w:val="en-US" w:eastAsia="zh-CN" w:bidi="ar"/>
                    </w:rPr>
                    <w:t>）</w:t>
                  </w:r>
                </w:p>
              </w:tc>
              <w:tc>
                <w:tcPr>
                  <w:tcW w:w="1285" w:type="dxa"/>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排放口坐标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7"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挤出</w:t>
                  </w:r>
                  <w:r>
                    <w:rPr>
                      <w:rFonts w:hint="eastAsia" w:ascii="宋体" w:hAnsi="宋体" w:cs="宋体"/>
                      <w:i w:val="0"/>
                      <w:iCs w:val="0"/>
                      <w:color w:val="000000"/>
                      <w:kern w:val="0"/>
                      <w:sz w:val="22"/>
                      <w:szCs w:val="22"/>
                      <w:u w:val="none"/>
                      <w:lang w:val="en-US" w:eastAsia="zh-CN" w:bidi="ar"/>
                    </w:rPr>
                    <w:t>成型</w:t>
                  </w:r>
                  <w:r>
                    <w:rPr>
                      <w:rFonts w:hint="eastAsia" w:ascii="宋体" w:hAnsi="宋体" w:eastAsia="宋体" w:cs="宋体"/>
                      <w:i w:val="0"/>
                      <w:iCs w:val="0"/>
                      <w:color w:val="000000"/>
                      <w:kern w:val="0"/>
                      <w:sz w:val="22"/>
                      <w:szCs w:val="22"/>
                      <w:u w:val="none"/>
                      <w:lang w:val="en-US" w:eastAsia="zh-CN" w:bidi="ar"/>
                    </w:rPr>
                    <w:t>废气</w:t>
                  </w:r>
                </w:p>
              </w:tc>
              <w:tc>
                <w:tcPr>
                  <w:tcW w:w="120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DA002</w:t>
                  </w:r>
                </w:p>
              </w:tc>
              <w:tc>
                <w:tcPr>
                  <w:tcW w:w="132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cs="Times New Roman"/>
                      <w:i w:val="0"/>
                      <w:iCs w:val="0"/>
                      <w:color w:val="000000"/>
                      <w:kern w:val="0"/>
                      <w:sz w:val="22"/>
                      <w:szCs w:val="22"/>
                      <w:u w:val="none"/>
                      <w:lang w:val="en-US" w:eastAsia="zh-CN" w:bidi="ar"/>
                    </w:rPr>
                    <w:t>9</w:t>
                  </w:r>
                  <w:r>
                    <w:rPr>
                      <w:rFonts w:hint="default" w:ascii="Times New Roman" w:hAnsi="Times New Roman" w:eastAsia="宋体" w:cs="Times New Roman"/>
                      <w:i w:val="0"/>
                      <w:iCs w:val="0"/>
                      <w:color w:val="000000"/>
                      <w:kern w:val="0"/>
                      <w:sz w:val="22"/>
                      <w:szCs w:val="22"/>
                      <w:u w:val="none"/>
                      <w:lang w:val="en-US" w:eastAsia="zh-CN" w:bidi="ar"/>
                    </w:rPr>
                    <w:t>000</w:t>
                  </w:r>
                </w:p>
              </w:tc>
              <w:tc>
                <w:tcPr>
                  <w:tcW w:w="115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0.5</w:t>
                  </w:r>
                </w:p>
              </w:tc>
              <w:tc>
                <w:tcPr>
                  <w:tcW w:w="103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lang w:val="en-US"/>
                    </w:rPr>
                  </w:pPr>
                  <w:r>
                    <w:rPr>
                      <w:rFonts w:hint="eastAsia" w:cs="Times New Roman"/>
                      <w:i w:val="0"/>
                      <w:iCs w:val="0"/>
                      <w:color w:val="000000"/>
                      <w:kern w:val="0"/>
                      <w:sz w:val="22"/>
                      <w:szCs w:val="22"/>
                      <w:u w:val="none"/>
                      <w:lang w:val="en-US" w:eastAsia="zh-CN" w:bidi="ar"/>
                    </w:rPr>
                    <w:t>12.73</w:t>
                  </w:r>
                </w:p>
              </w:tc>
              <w:tc>
                <w:tcPr>
                  <w:tcW w:w="1191"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0.</w:t>
                  </w:r>
                  <w:r>
                    <w:rPr>
                      <w:rFonts w:hint="eastAsia" w:cs="Times New Roman"/>
                      <w:i w:val="0"/>
                      <w:iCs w:val="0"/>
                      <w:color w:val="000000"/>
                      <w:kern w:val="0"/>
                      <w:sz w:val="22"/>
                      <w:szCs w:val="22"/>
                      <w:u w:val="none"/>
                      <w:lang w:val="en-US" w:eastAsia="zh-CN" w:bidi="ar"/>
                    </w:rPr>
                    <w:t>45</w:t>
                  </w:r>
                </w:p>
              </w:tc>
              <w:tc>
                <w:tcPr>
                  <w:tcW w:w="1285" w:type="dxa"/>
                  <w:tcBorders>
                    <w:top w:val="single" w:color="000000" w:sz="8" w:space="0"/>
                    <w:left w:val="single" w:color="000000" w:sz="8" w:space="0"/>
                    <w:bottom w:val="single" w:color="000000" w:sz="12"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i w:val="0"/>
                      <w:iCs w:val="0"/>
                      <w:color w:val="000000"/>
                      <w:sz w:val="18"/>
                      <w:szCs w:val="18"/>
                      <w:u w:val="none"/>
                      <w:lang w:val="en-US" w:eastAsia="zh-CN"/>
                    </w:rPr>
                  </w:pPr>
                  <w:r>
                    <w:rPr>
                      <w:rFonts w:hint="default" w:ascii="Times New Roman" w:hAnsi="Times New Roman" w:cs="Times New Roman"/>
                      <w:i w:val="0"/>
                      <w:iCs w:val="0"/>
                      <w:color w:val="000000"/>
                      <w:sz w:val="18"/>
                      <w:szCs w:val="18"/>
                      <w:u w:val="none"/>
                      <w:lang w:val="en-US" w:eastAsia="zh-CN"/>
                    </w:rPr>
                    <w:t>105.698567°E</w:t>
                  </w:r>
                </w:p>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cs="Times New Roman"/>
                      <w:i w:val="0"/>
                      <w:iCs w:val="0"/>
                      <w:color w:val="000000"/>
                      <w:sz w:val="18"/>
                      <w:szCs w:val="18"/>
                      <w:u w:val="none"/>
                      <w:lang w:val="en-US" w:eastAsia="zh-CN"/>
                    </w:rPr>
                    <w:t>30.731686°N</w:t>
                  </w:r>
                </w:p>
              </w:tc>
            </w:tr>
          </w:tbl>
          <w:p>
            <w:pPr>
              <w:pStyle w:val="66"/>
              <w:ind w:firstLine="480"/>
              <w:rPr>
                <w:rFonts w:hint="eastAsia"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rPr>
              <w:t>根据建设单位提供的数据，项目塑料件生产年用塑料原料约</w:t>
            </w:r>
            <w:r>
              <w:rPr>
                <w:rFonts w:hint="eastAsia" w:ascii="Times New Roman" w:hAnsi="Times New Roman" w:cs="Times New Roman"/>
                <w:color w:val="auto"/>
                <w:szCs w:val="24"/>
                <w:highlight w:val="none"/>
                <w:lang w:val="en-US" w:eastAsia="zh-CN"/>
              </w:rPr>
              <w:t>1500</w:t>
            </w:r>
            <w:r>
              <w:rPr>
                <w:rFonts w:hint="default" w:ascii="Times New Roman" w:hAnsi="Times New Roman" w:cs="Times New Roman"/>
                <w:color w:val="auto"/>
                <w:szCs w:val="24"/>
                <w:highlight w:val="none"/>
              </w:rPr>
              <w:t>t。在生产过程中，因塑料颗粒熔化挤出会产生一定量的挥发性有机物。根据</w:t>
            </w:r>
            <w:r>
              <w:rPr>
                <w:rFonts w:ascii="Times New Roman" w:hAnsi="Times New Roman" w:cs="Times New Roman"/>
                <w:color w:val="auto"/>
                <w:szCs w:val="24"/>
                <w:highlight w:val="none"/>
              </w:rPr>
              <w:t>《排放源统计调查产排污核算方法和系数手册2021》</w:t>
            </w:r>
            <w:r>
              <w:rPr>
                <w:rFonts w:hint="default" w:ascii="Times New Roman" w:hAnsi="Times New Roman" w:cs="Times New Roman"/>
                <w:color w:val="auto"/>
                <w:szCs w:val="24"/>
                <w:highlight w:val="none"/>
              </w:rPr>
              <w:t>-292塑料制品业系数手册</w:t>
            </w:r>
            <w:r>
              <w:rPr>
                <w:rFonts w:hint="eastAsia" w:ascii="Times New Roman" w:hAnsi="Times New Roman" w:cs="Times New Roman"/>
                <w:color w:val="auto"/>
                <w:szCs w:val="24"/>
                <w:highlight w:val="none"/>
                <w:lang w:eastAsia="zh-CN"/>
              </w:rPr>
              <w:t>中的相关数据并结合本项目实际情况</w:t>
            </w:r>
            <w:r>
              <w:rPr>
                <w:rFonts w:hint="default" w:ascii="Times New Roman" w:hAnsi="Times New Roman" w:cs="Times New Roman"/>
                <w:color w:val="auto"/>
                <w:szCs w:val="24"/>
                <w:highlight w:val="none"/>
              </w:rPr>
              <w:t>，本项目塑料挤出生产过程中挥发性有机物的产生系数取值：</w:t>
            </w:r>
            <w:r>
              <w:rPr>
                <w:rFonts w:hint="eastAsia" w:ascii="Times New Roman" w:hAnsi="Times New Roman" w:cs="Times New Roman"/>
                <w:color w:val="auto"/>
                <w:szCs w:val="24"/>
                <w:highlight w:val="none"/>
                <w:lang w:val="en-US" w:eastAsia="zh-CN"/>
              </w:rPr>
              <w:t>1.5</w:t>
            </w:r>
            <w:r>
              <w:rPr>
                <w:rFonts w:hint="default" w:ascii="Times New Roman" w:hAnsi="Times New Roman" w:cs="Times New Roman"/>
                <w:color w:val="auto"/>
                <w:szCs w:val="24"/>
                <w:highlight w:val="none"/>
              </w:rPr>
              <w:t>kg/t-产品。</w:t>
            </w:r>
            <w:r>
              <w:rPr>
                <w:rFonts w:hint="eastAsia" w:ascii="Times New Roman" w:hAnsi="Times New Roman" w:cs="Times New Roman"/>
                <w:color w:val="auto"/>
                <w:szCs w:val="24"/>
                <w:highlight w:val="none"/>
                <w:lang w:val="en-US" w:eastAsia="zh-CN"/>
              </w:rPr>
              <w:t>类比同类项目挤出过程中颗粒物产生量按原料用量的0.1‰计算。废气处理系统收集效率约80%，活性炭吸附处理效率约50%，过滤棉对粉尘过滤效率按99%计算，则挤出压片废气处理系统污染物排放情况如下表所示：</w:t>
            </w:r>
          </w:p>
          <w:p>
            <w:pPr>
              <w:pStyle w:val="6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表4-</w:t>
            </w:r>
            <w:r>
              <w:rPr>
                <w:rFonts w:hint="eastAsia" w:ascii="Times New Roman" w:hAnsi="Times New Roman"/>
                <w:snapToGrid w:val="0"/>
                <w:color w:val="000000" w:themeColor="text1"/>
                <w:kern w:val="0"/>
                <w:szCs w:val="22"/>
                <w:highlight w:val="none"/>
                <w:lang w:val="en-US" w:eastAsia="zh-CN"/>
                <w14:textFill>
                  <w14:solidFill>
                    <w14:schemeClr w14:val="tx1"/>
                  </w14:solidFill>
                </w14:textFill>
              </w:rPr>
              <w:t>5 塑料筐生产</w:t>
            </w:r>
            <w:r>
              <w:rPr>
                <w:rFonts w:ascii="Times New Roman" w:hAnsi="Times New Roman"/>
                <w:color w:val="000000" w:themeColor="text1"/>
                <w:highlight w:val="none"/>
                <w14:textFill>
                  <w14:solidFill>
                    <w14:schemeClr w14:val="tx1"/>
                  </w14:solidFill>
                </w14:textFill>
              </w:rPr>
              <w:t>有机废气处理系统</w:t>
            </w:r>
            <w:r>
              <w:rPr>
                <w:rFonts w:hint="default" w:ascii="Times New Roman" w:hAnsi="Times New Roman"/>
                <w:color w:val="000000" w:themeColor="text1"/>
                <w:highlight w:val="none"/>
                <w14:textFill>
                  <w14:solidFill>
                    <w14:schemeClr w14:val="tx1"/>
                  </w14:solidFill>
                </w14:textFill>
              </w:rPr>
              <w:t>污染源</w:t>
            </w:r>
            <w:r>
              <w:rPr>
                <w:rFonts w:ascii="Times New Roman" w:hAnsi="Times New Roman"/>
                <w:color w:val="000000" w:themeColor="text1"/>
                <w:highlight w:val="none"/>
                <w14:textFill>
                  <w14:solidFill>
                    <w14:schemeClr w14:val="tx1"/>
                  </w14:solidFill>
                </w14:textFill>
              </w:rPr>
              <w:t>排污</w:t>
            </w:r>
            <w:r>
              <w:rPr>
                <w:rFonts w:hint="default" w:ascii="Times New Roman" w:hAnsi="Times New Roman"/>
                <w:color w:val="000000" w:themeColor="text1"/>
                <w:highlight w:val="none"/>
                <w14:textFill>
                  <w14:solidFill>
                    <w14:schemeClr w14:val="tx1"/>
                  </w14:solidFill>
                </w14:textFill>
              </w:rPr>
              <w:t>信息表</w:t>
            </w:r>
          </w:p>
          <w:tbl>
            <w:tblPr>
              <w:tblStyle w:val="2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3"/>
              <w:gridCol w:w="1174"/>
              <w:gridCol w:w="1175"/>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3"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污染物</w:t>
                  </w:r>
                </w:p>
              </w:tc>
              <w:tc>
                <w:tcPr>
                  <w:tcW w:w="1173"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排放浓度</w:t>
                  </w:r>
                  <w:r>
                    <w:rPr>
                      <w:rFonts w:hint="default" w:ascii="Times New Roman" w:hAnsi="Times New Roman" w:cs="Times New Roman"/>
                      <w:color w:val="000000" w:themeColor="text1"/>
                      <w:kern w:val="0"/>
                      <w:sz w:val="21"/>
                      <w:highlight w:val="none"/>
                      <w:lang w:bidi="ar"/>
                      <w14:textFill>
                        <w14:solidFill>
                          <w14:schemeClr w14:val="tx1"/>
                        </w14:solidFill>
                      </w14:textFill>
                    </w:rPr>
                    <w:t>mg/m³</w:t>
                  </w:r>
                </w:p>
              </w:tc>
              <w:tc>
                <w:tcPr>
                  <w:tcW w:w="1174"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排放速率</w:t>
                  </w:r>
                  <w:r>
                    <w:rPr>
                      <w:rFonts w:hint="default" w:ascii="Times New Roman" w:hAnsi="Times New Roman" w:cs="Times New Roman"/>
                      <w:color w:val="000000" w:themeColor="text1"/>
                      <w:kern w:val="0"/>
                      <w:sz w:val="21"/>
                      <w:highlight w:val="none"/>
                      <w:lang w:bidi="ar"/>
                      <w14:textFill>
                        <w14:solidFill>
                          <w14:schemeClr w14:val="tx1"/>
                        </w14:solidFill>
                      </w14:textFill>
                    </w:rPr>
                    <w:t>kg/h</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 xml:space="preserve"> 有</w:t>
                  </w:r>
                  <w:r>
                    <w:rPr>
                      <w:rFonts w:hint="default" w:ascii="Times New Roman" w:hAnsi="Times New Roman" w:cs="Times New Roman"/>
                      <w:b/>
                      <w:bCs/>
                      <w:color w:val="000000" w:themeColor="text1"/>
                      <w:sz w:val="21"/>
                      <w:highlight w:val="none"/>
                      <w14:textFill>
                        <w14:solidFill>
                          <w14:schemeClr w14:val="tx1"/>
                        </w14:solidFill>
                      </w14:textFill>
                    </w:rPr>
                    <w:t>组织</w:t>
                  </w:r>
                  <w:r>
                    <w:rPr>
                      <w:rFonts w:ascii="Times New Roman" w:hAnsi="Times New Roman" w:cs="Times New Roman"/>
                      <w:b/>
                      <w:bCs/>
                      <w:color w:val="000000" w:themeColor="text1"/>
                      <w:sz w:val="21"/>
                      <w:highlight w:val="none"/>
                      <w14:textFill>
                        <w14:solidFill>
                          <w14:schemeClr w14:val="tx1"/>
                        </w14:solidFill>
                      </w14:textFill>
                    </w:rPr>
                    <w:t>年排放量</w:t>
                  </w:r>
                </w:p>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t/a</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 xml:space="preserve"> </w:t>
                  </w:r>
                  <w:r>
                    <w:rPr>
                      <w:rFonts w:hint="default" w:ascii="Times New Roman" w:hAnsi="Times New Roman" w:cs="Times New Roman"/>
                      <w:b/>
                      <w:bCs/>
                      <w:color w:val="000000" w:themeColor="text1"/>
                      <w:sz w:val="21"/>
                      <w:highlight w:val="none"/>
                      <w14:textFill>
                        <w14:solidFill>
                          <w14:schemeClr w14:val="tx1"/>
                        </w14:solidFill>
                      </w14:textFill>
                    </w:rPr>
                    <w:t>无组织排放</w:t>
                  </w:r>
                  <w:r>
                    <w:rPr>
                      <w:rFonts w:ascii="Times New Roman" w:hAnsi="Times New Roman" w:cs="Times New Roman"/>
                      <w:b/>
                      <w:bCs/>
                      <w:color w:val="000000" w:themeColor="text1"/>
                      <w:sz w:val="21"/>
                      <w:highlight w:val="none"/>
                      <w14:textFill>
                        <w14:solidFill>
                          <w14:schemeClr w14:val="tx1"/>
                        </w14:solidFill>
                      </w14:textFill>
                    </w:rPr>
                    <w:t>速率</w:t>
                  </w:r>
                  <w:r>
                    <w:rPr>
                      <w:rFonts w:hint="default" w:ascii="Times New Roman" w:hAnsi="Times New Roman" w:cs="Times New Roman"/>
                      <w:color w:val="000000" w:themeColor="text1"/>
                      <w:kern w:val="0"/>
                      <w:sz w:val="21"/>
                      <w:highlight w:val="none"/>
                      <w:lang w:bidi="ar"/>
                      <w14:textFill>
                        <w14:solidFill>
                          <w14:schemeClr w14:val="tx1"/>
                        </w14:solidFill>
                      </w14:textFill>
                    </w:rPr>
                    <w:t>kg/h</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无</w:t>
                  </w:r>
                  <w:r>
                    <w:rPr>
                      <w:rFonts w:hint="default" w:ascii="Times New Roman" w:hAnsi="Times New Roman" w:cs="Times New Roman"/>
                      <w:b/>
                      <w:bCs/>
                      <w:color w:val="000000" w:themeColor="text1"/>
                      <w:sz w:val="21"/>
                      <w:highlight w:val="none"/>
                      <w14:textFill>
                        <w14:solidFill>
                          <w14:schemeClr w14:val="tx1"/>
                        </w14:solidFill>
                      </w14:textFill>
                    </w:rPr>
                    <w:t>组织</w:t>
                  </w:r>
                  <w:r>
                    <w:rPr>
                      <w:rFonts w:ascii="Times New Roman" w:hAnsi="Times New Roman" w:cs="Times New Roman"/>
                      <w:b/>
                      <w:bCs/>
                      <w:color w:val="000000" w:themeColor="text1"/>
                      <w:sz w:val="21"/>
                      <w:highlight w:val="none"/>
                      <w14:textFill>
                        <w14:solidFill>
                          <w14:schemeClr w14:val="tx1"/>
                        </w14:solidFill>
                      </w14:textFill>
                    </w:rPr>
                    <w:t>年排放量</w:t>
                  </w:r>
                </w:p>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t/a</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73" w:type="dxa"/>
                  <w:tcBorders>
                    <w:tl2br w:val="nil"/>
                    <w:tr2bl w:val="nil"/>
                  </w:tcBorders>
                  <w:vAlign w:val="center"/>
                </w:tcPr>
                <w:p>
                  <w:pPr>
                    <w:keepNext w:val="0"/>
                    <w:keepLines w:val="0"/>
                    <w:widowControl/>
                    <w:suppressLineNumbers w:val="0"/>
                    <w:jc w:val="center"/>
                    <w:textAlignment w:val="center"/>
                    <w:rPr>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20.833 </w:t>
                  </w:r>
                </w:p>
              </w:tc>
              <w:tc>
                <w:tcPr>
                  <w:tcW w:w="11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0.1875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0.9000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0.0938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0.4500 </w:t>
                  </w:r>
                </w:p>
              </w:tc>
              <w:tc>
                <w:tcPr>
                  <w:tcW w:w="1175" w:type="dxa"/>
                  <w:tcBorders>
                    <w:tl2br w:val="nil"/>
                    <w:tr2bl w:val="nil"/>
                  </w:tcBorders>
                  <w:vAlign w:val="center"/>
                </w:tcPr>
                <w:p>
                  <w:pPr>
                    <w:keepNext w:val="0"/>
                    <w:keepLines w:val="0"/>
                    <w:widowControl/>
                    <w:suppressLineNumbers w:val="0"/>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产排污系数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73" w:type="dxa"/>
                  <w:tcBorders>
                    <w:tl2br w:val="nil"/>
                    <w:tr2bl w:val="nil"/>
                  </w:tcBorders>
                  <w:vAlign w:val="center"/>
                </w:tcPr>
                <w:p>
                  <w:pPr>
                    <w:keepNext w:val="0"/>
                    <w:keepLines w:val="0"/>
                    <w:widowControl/>
                    <w:suppressLineNumbers w:val="0"/>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0.1333 </w:t>
                  </w:r>
                </w:p>
              </w:tc>
              <w:tc>
                <w:tcPr>
                  <w:tcW w:w="11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0.0012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0.0576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0.0300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0.1440 </w:t>
                  </w:r>
                </w:p>
              </w:tc>
              <w:tc>
                <w:tcPr>
                  <w:tcW w:w="1175" w:type="dxa"/>
                  <w:tcBorders>
                    <w:tl2br w:val="nil"/>
                    <w:tr2bl w:val="nil"/>
                  </w:tcBorders>
                  <w:vAlign w:val="center"/>
                </w:tcPr>
                <w:p>
                  <w:pPr>
                    <w:keepNext w:val="0"/>
                    <w:keepLines w:val="0"/>
                    <w:widowControl/>
                    <w:suppressLineNumbers w:val="0"/>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类比法</w:t>
                  </w:r>
                </w:p>
              </w:tc>
            </w:tr>
          </w:tbl>
          <w:p>
            <w:pPr>
              <w:pStyle w:val="66"/>
              <w:ind w:firstLine="480"/>
              <w:jc w:val="both"/>
              <w:rPr>
                <w:rFonts w:hint="eastAsia" w:ascii="Times New Roman" w:hAnsi="Times New Roman" w:cs="Times New Roman"/>
                <w:b/>
                <w:bCs/>
                <w:color w:val="auto"/>
                <w:szCs w:val="24"/>
                <w:highlight w:val="none"/>
                <w:lang w:val="en-US" w:eastAsia="zh-CN"/>
              </w:rPr>
            </w:pPr>
          </w:p>
          <w:p>
            <w:pPr>
              <w:pStyle w:val="66"/>
              <w:ind w:firstLine="480"/>
              <w:jc w:val="both"/>
              <w:rPr>
                <w:rFonts w:hint="eastAsia" w:ascii="Times New Roman" w:hAnsi="Times New Roman" w:cs="Times New Roman"/>
                <w:b/>
                <w:bCs/>
                <w:color w:val="auto"/>
                <w:szCs w:val="24"/>
                <w:highlight w:val="none"/>
                <w:lang w:val="en-US" w:eastAsia="zh-CN"/>
              </w:rPr>
            </w:pPr>
            <w:r>
              <w:rPr>
                <w:rFonts w:hint="eastAsia" w:ascii="Times New Roman" w:hAnsi="Times New Roman" w:cs="Times New Roman"/>
                <w:b/>
                <w:bCs/>
                <w:color w:val="auto"/>
                <w:szCs w:val="24"/>
                <w:highlight w:val="none"/>
                <w:lang w:val="en-US" w:eastAsia="zh-CN"/>
              </w:rPr>
              <w:t>③塑料框不良品及边角料破碎粉尘</w:t>
            </w:r>
          </w:p>
          <w:p>
            <w:pPr>
              <w:pStyle w:val="23"/>
              <w:keepNext w:val="0"/>
              <w:keepLines w:val="0"/>
              <w:pageBreakBefore w:val="0"/>
              <w:widowControl w:val="0"/>
              <w:kinsoku/>
              <w:wordWrap/>
              <w:overflowPunct/>
              <w:topLinePunct w:val="0"/>
              <w:autoSpaceDE/>
              <w:autoSpaceDN/>
              <w:bidi w:val="0"/>
              <w:adjustRightInd/>
              <w:snapToGrid/>
              <w:spacing w:after="0" w:line="420" w:lineRule="auto"/>
              <w:ind w:left="0" w:leftChars="0" w:firstLine="480" w:firstLineChars="200"/>
              <w:textAlignment w:val="auto"/>
              <w:rPr>
                <w:rFonts w:hint="eastAsia" w:ascii="Times New Roman" w:hAnsi="Times New Roman" w:eastAsia="宋体" w:cs="Times New Roman"/>
                <w:color w:val="auto"/>
                <w:highlight w:val="none"/>
                <w:lang w:val="en-US" w:eastAsia="zh-CN"/>
              </w:rPr>
            </w:pPr>
            <w:r>
              <w:rPr>
                <w:color w:val="auto"/>
                <w:highlight w:val="none"/>
              </w:rPr>
              <w:t>根据同类型企业调研，塑料破碎（将塑料破碎为5mm-10mm的细料）过程中产生的粉尘非常轻微且肉眼不可见，项目破碎工序设置在封闭的房间内，</w:t>
            </w:r>
            <w:r>
              <w:rPr>
                <w:rFonts w:hint="eastAsia"/>
                <w:color w:val="auto"/>
                <w:highlight w:val="none"/>
                <w:lang w:eastAsia="zh-CN"/>
              </w:rPr>
              <w:t>参考《</w:t>
            </w:r>
            <w:r>
              <w:rPr>
                <w:rFonts w:hint="eastAsia"/>
                <w:color w:val="auto"/>
                <w:highlight w:val="none"/>
              </w:rPr>
              <w:t>排放源统计调查产排</w:t>
            </w:r>
            <w:r>
              <w:rPr>
                <w:rFonts w:hint="eastAsia" w:ascii="Times New Roman" w:hAnsi="Times New Roman" w:eastAsia="宋体" w:cs="Times New Roman"/>
                <w:color w:val="auto"/>
                <w:highlight w:val="none"/>
              </w:rPr>
              <w:t>污核算方法和系数手册2021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42废弃资源综合利用行业系数手册，本项目塑料破碎</w:t>
            </w:r>
            <w:r>
              <w:rPr>
                <w:rFonts w:hint="eastAsia" w:ascii="Times New Roman" w:hAnsi="Times New Roman" w:eastAsia="宋体" w:cs="Times New Roman"/>
                <w:color w:val="auto"/>
                <w:highlight w:val="none"/>
              </w:rPr>
              <w:t>粉尘</w:t>
            </w:r>
            <w:r>
              <w:rPr>
                <w:rFonts w:hint="eastAsia" w:ascii="Times New Roman" w:hAnsi="Times New Roman" w:eastAsia="宋体" w:cs="Times New Roman"/>
                <w:color w:val="auto"/>
                <w:highlight w:val="none"/>
                <w:lang w:eastAsia="zh-CN"/>
              </w:rPr>
              <w:t>产污源强约为</w:t>
            </w:r>
            <w:r>
              <w:rPr>
                <w:rFonts w:hint="eastAsia" w:ascii="Times New Roman" w:hAnsi="Times New Roman" w:eastAsia="宋体" w:cs="Times New Roman"/>
                <w:color w:val="auto"/>
                <w:highlight w:val="none"/>
                <w:lang w:val="en-US" w:eastAsia="zh-CN"/>
              </w:rPr>
              <w:t>450g/t。</w:t>
            </w:r>
          </w:p>
          <w:p>
            <w:pPr>
              <w:pStyle w:val="23"/>
              <w:keepNext w:val="0"/>
              <w:keepLines w:val="0"/>
              <w:pageBreakBefore w:val="0"/>
              <w:widowControl w:val="0"/>
              <w:kinsoku/>
              <w:wordWrap/>
              <w:overflowPunct/>
              <w:topLinePunct w:val="0"/>
              <w:autoSpaceDE/>
              <w:autoSpaceDN/>
              <w:bidi w:val="0"/>
              <w:adjustRightInd/>
              <w:snapToGrid/>
              <w:spacing w:after="0" w:line="420" w:lineRule="auto"/>
              <w:ind w:left="0" w:leftChars="0" w:firstLine="480" w:firstLineChars="200"/>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因此破碎工序粉尘</w:t>
            </w:r>
            <w:r>
              <w:rPr>
                <w:rFonts w:hint="eastAsia" w:ascii="Times New Roman" w:hAnsi="Times New Roman" w:eastAsia="宋体" w:cs="Times New Roman"/>
                <w:color w:val="auto"/>
                <w:highlight w:val="none"/>
              </w:rPr>
              <w:t>产生量相对较小，环评通过</w:t>
            </w:r>
            <w:r>
              <w:rPr>
                <w:rFonts w:hint="eastAsia" w:ascii="Times New Roman" w:hAnsi="Times New Roman" w:eastAsia="宋体" w:cs="Times New Roman"/>
                <w:color w:val="auto"/>
                <w:highlight w:val="none"/>
                <w:lang w:eastAsia="zh-CN"/>
              </w:rPr>
              <w:t>将破碎工序设置在封闭房间内并</w:t>
            </w:r>
            <w:r>
              <w:rPr>
                <w:rFonts w:hint="eastAsia" w:ascii="Times New Roman" w:hAnsi="Times New Roman" w:eastAsia="宋体" w:cs="Times New Roman"/>
                <w:color w:val="auto"/>
                <w:highlight w:val="none"/>
              </w:rPr>
              <w:t>设置布袋除尘器收集处理后无组织排放</w:t>
            </w:r>
            <w:r>
              <w:rPr>
                <w:rFonts w:ascii="Times New Roman" w:hAnsi="Times New Roman" w:eastAsia="宋体" w:cs="Times New Roman"/>
                <w:color w:val="auto"/>
                <w:highlight w:val="none"/>
              </w:rPr>
              <w:t>。</w:t>
            </w:r>
          </w:p>
          <w:p>
            <w:pPr>
              <w:pStyle w:val="23"/>
              <w:keepNext w:val="0"/>
              <w:keepLines w:val="0"/>
              <w:pageBreakBefore w:val="0"/>
              <w:widowControl w:val="0"/>
              <w:kinsoku/>
              <w:wordWrap/>
              <w:overflowPunct/>
              <w:topLinePunct w:val="0"/>
              <w:autoSpaceDE/>
              <w:autoSpaceDN/>
              <w:bidi w:val="0"/>
              <w:adjustRightInd/>
              <w:snapToGrid/>
              <w:spacing w:after="0" w:line="420" w:lineRule="auto"/>
              <w:ind w:left="0" w:leftChars="0" w:firstLine="480" w:firstLineChars="200"/>
              <w:textAlignment w:val="auto"/>
              <w:rPr>
                <w:rFonts w:hint="default" w:ascii="Times New Roman" w:hAnsi="Times New Roman" w:cs="Times New Roman"/>
                <w:color w:val="auto"/>
                <w:szCs w:val="24"/>
                <w:highlight w:val="none"/>
              </w:rPr>
            </w:pPr>
            <w:r>
              <w:rPr>
                <w:rFonts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lang w:eastAsia="zh-CN"/>
              </w:rPr>
              <w:t>塑料框产品产量约</w:t>
            </w:r>
            <w:r>
              <w:rPr>
                <w:rFonts w:hint="eastAsia" w:ascii="Times New Roman" w:hAnsi="Times New Roman" w:eastAsia="宋体" w:cs="Times New Roman"/>
                <w:color w:val="auto"/>
                <w:highlight w:val="none"/>
                <w:lang w:val="en-US" w:eastAsia="zh-CN"/>
              </w:rPr>
              <w:t>5</w:t>
            </w:r>
            <w:r>
              <w:rPr>
                <w:rFonts w:ascii="Times New Roman" w:hAnsi="Times New Roman" w:cs="Times New Roman"/>
                <w:color w:val="auto"/>
                <w:highlight w:val="none"/>
              </w:rPr>
              <w:t>000t</w:t>
            </w:r>
            <w:r>
              <w:rPr>
                <w:rFonts w:hint="eastAsia" w:ascii="Times New Roman" w:hAnsi="Times New Roman" w:cs="Times New Roman"/>
                <w:color w:val="auto"/>
                <w:highlight w:val="none"/>
                <w:lang w:val="en-US" w:eastAsia="zh-CN"/>
              </w:rPr>
              <w:t>/a</w:t>
            </w:r>
            <w:r>
              <w:rPr>
                <w:rFonts w:ascii="Times New Roman" w:hAnsi="Times New Roman" w:cs="Times New Roman"/>
                <w:color w:val="auto"/>
                <w:highlight w:val="none"/>
              </w:rPr>
              <w:t>，根据建设单位提供的数据，不良品率（含边角料）约1%，则不良品产生量约</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rPr>
              <w:t>0t/a。不良品经破碎后回用于生产。</w:t>
            </w:r>
            <w:r>
              <w:rPr>
                <w:rFonts w:hint="eastAsia" w:ascii="Times New Roman" w:hAnsi="Times New Roman" w:cs="Times New Roman"/>
                <w:color w:val="auto"/>
                <w:highlight w:val="none"/>
                <w:lang w:eastAsia="zh-CN"/>
              </w:rPr>
              <w:t>参考</w:t>
            </w:r>
            <w:r>
              <w:rPr>
                <w:rFonts w:ascii="Times New Roman" w:hAnsi="Times New Roman" w:cs="Times New Roman"/>
                <w:color w:val="auto"/>
                <w:szCs w:val="24"/>
                <w:highlight w:val="none"/>
              </w:rPr>
              <w:t>《排放源统计调查产排污核算方法和系数手册2021》</w:t>
            </w:r>
            <w:r>
              <w:rPr>
                <w:rFonts w:hint="default" w:ascii="Times New Roman" w:hAnsi="Times New Roman" w:cs="Times New Roman"/>
                <w:color w:val="auto"/>
                <w:szCs w:val="24"/>
                <w:highlight w:val="none"/>
              </w:rPr>
              <w:t>-</w:t>
            </w:r>
            <w:r>
              <w:rPr>
                <w:rFonts w:ascii="Times New Roman" w:hAnsi="Times New Roman" w:cs="Times New Roman"/>
                <w:color w:val="auto"/>
                <w:szCs w:val="24"/>
                <w:highlight w:val="none"/>
              </w:rPr>
              <w:t>42废弃资源综合利用业</w:t>
            </w:r>
            <w:r>
              <w:rPr>
                <w:rFonts w:hint="default" w:ascii="Times New Roman" w:hAnsi="Times New Roman" w:cs="Times New Roman"/>
                <w:color w:val="auto"/>
                <w:szCs w:val="24"/>
                <w:highlight w:val="none"/>
              </w:rPr>
              <w:t>系数手册</w:t>
            </w:r>
            <w:r>
              <w:rPr>
                <w:rFonts w:ascii="Times New Roman" w:hAnsi="Times New Roman" w:cs="Times New Roman"/>
                <w:color w:val="auto"/>
                <w:szCs w:val="24"/>
                <w:highlight w:val="none"/>
              </w:rPr>
              <w:t>，塑料干法破碎过程中粉尘产生系数为450g/t-原料，破碎工序年生产约500h，</w:t>
            </w:r>
            <w:r>
              <w:rPr>
                <w:rFonts w:hint="default" w:ascii="Times New Roman" w:hAnsi="Times New Roman" w:cs="Times New Roman"/>
                <w:color w:val="auto"/>
                <w:szCs w:val="24"/>
                <w:highlight w:val="none"/>
              </w:rPr>
              <w:t>项目</w:t>
            </w:r>
            <w:r>
              <w:rPr>
                <w:rFonts w:ascii="Times New Roman" w:hAnsi="Times New Roman" w:cs="Times New Roman"/>
                <w:color w:val="auto"/>
                <w:szCs w:val="24"/>
                <w:highlight w:val="none"/>
              </w:rPr>
              <w:t>破碎工序设置在封闭房间内且</w:t>
            </w:r>
            <w:r>
              <w:rPr>
                <w:rFonts w:hint="default" w:ascii="Times New Roman" w:hAnsi="Times New Roman" w:cs="Times New Roman"/>
                <w:color w:val="auto"/>
                <w:szCs w:val="24"/>
                <w:highlight w:val="none"/>
              </w:rPr>
              <w:t>采用</w:t>
            </w:r>
            <w:r>
              <w:rPr>
                <w:rFonts w:ascii="Times New Roman" w:hAnsi="Times New Roman" w:cs="Times New Roman"/>
                <w:color w:val="auto"/>
                <w:szCs w:val="24"/>
                <w:highlight w:val="none"/>
              </w:rPr>
              <w:t>布袋除尘器收集粉尘处理后无组织排放</w:t>
            </w:r>
            <w:r>
              <w:rPr>
                <w:rFonts w:hint="default" w:ascii="Times New Roman" w:hAnsi="Times New Roman" w:cs="Times New Roman"/>
                <w:color w:val="auto"/>
                <w:szCs w:val="24"/>
                <w:highlight w:val="none"/>
              </w:rPr>
              <w:t>，</w:t>
            </w:r>
            <w:r>
              <w:rPr>
                <w:rFonts w:ascii="Times New Roman" w:hAnsi="Times New Roman" w:cs="Times New Roman"/>
                <w:color w:val="auto"/>
                <w:szCs w:val="24"/>
                <w:highlight w:val="none"/>
              </w:rPr>
              <w:t>布袋除尘器</w:t>
            </w:r>
            <w:r>
              <w:rPr>
                <w:rFonts w:hint="default" w:ascii="Times New Roman" w:hAnsi="Times New Roman" w:cs="Times New Roman"/>
                <w:color w:val="auto"/>
                <w:szCs w:val="24"/>
                <w:highlight w:val="none"/>
              </w:rPr>
              <w:t>收集效率约70%，处理效率约95%</w:t>
            </w:r>
            <w:r>
              <w:rPr>
                <w:rFonts w:hint="eastAsia" w:ascii="Times New Roman" w:hAnsi="Times New Roman" w:cs="Times New Roman"/>
                <w:color w:val="auto"/>
                <w:szCs w:val="24"/>
                <w:highlight w:val="none"/>
                <w:lang w:val="en-US" w:eastAsia="zh-CN"/>
              </w:rPr>
              <w:t>，据此</w:t>
            </w:r>
            <w:r>
              <w:rPr>
                <w:rFonts w:hint="default" w:ascii="Times New Roman" w:hAnsi="Times New Roman" w:cs="Times New Roman"/>
                <w:color w:val="auto"/>
                <w:szCs w:val="24"/>
                <w:highlight w:val="none"/>
              </w:rPr>
              <w:t>项目</w:t>
            </w:r>
            <w:r>
              <w:rPr>
                <w:rFonts w:ascii="Times New Roman" w:hAnsi="Times New Roman" w:cs="Times New Roman"/>
                <w:color w:val="auto"/>
                <w:szCs w:val="24"/>
                <w:highlight w:val="none"/>
              </w:rPr>
              <w:t>废塑料破碎回收工序</w:t>
            </w:r>
            <w:r>
              <w:rPr>
                <w:rFonts w:hint="default" w:ascii="Times New Roman" w:hAnsi="Times New Roman" w:cs="Times New Roman"/>
                <w:color w:val="auto"/>
                <w:szCs w:val="24"/>
                <w:highlight w:val="none"/>
              </w:rPr>
              <w:t>产排污情况如下：</w:t>
            </w:r>
          </w:p>
          <w:p>
            <w:pPr>
              <w:pStyle w:val="66"/>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产生量：</w:t>
            </w:r>
            <w:r>
              <w:rPr>
                <w:rFonts w:hint="eastAsia" w:ascii="Times New Roman" w:hAnsi="Times New Roman" w:cs="Times New Roman"/>
                <w:color w:val="auto"/>
                <w:highlight w:val="none"/>
                <w:lang w:val="en-US" w:eastAsia="zh-CN"/>
              </w:rPr>
              <w:t>450</w:t>
            </w:r>
            <w:r>
              <w:rPr>
                <w:rFonts w:ascii="Times New Roman" w:hAnsi="Times New Roman" w:cs="Times New Roman"/>
                <w:color w:val="auto"/>
                <w:highlight w:val="none"/>
              </w:rPr>
              <w:t>g/t</w:t>
            </w:r>
            <w:r>
              <w:rPr>
                <w:rFonts w:hint="default" w:ascii="Times New Roman" w:hAnsi="Times New Roman" w:cs="Times New Roman"/>
                <w:color w:val="auto"/>
                <w:highlight w:val="none"/>
              </w:rPr>
              <w:t>×</w:t>
            </w:r>
            <w:r>
              <w:rPr>
                <w:rFonts w:hint="eastAsia" w:ascii="Times New Roman" w:hAnsi="Times New Roman" w:cs="Times New Roman"/>
                <w:color w:val="auto"/>
                <w:szCs w:val="24"/>
                <w:highlight w:val="none"/>
                <w:lang w:val="en-US" w:eastAsia="zh-CN"/>
              </w:rPr>
              <w:t>50</w:t>
            </w:r>
            <w:r>
              <w:rPr>
                <w:rFonts w:ascii="Times New Roman" w:hAnsi="Times New Roman" w:cs="Times New Roman"/>
                <w:color w:val="auto"/>
                <w:szCs w:val="24"/>
                <w:highlight w:val="none"/>
              </w:rPr>
              <w:t>t</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22.5</w:t>
            </w:r>
            <w:r>
              <w:rPr>
                <w:rFonts w:hint="default" w:ascii="Times New Roman" w:hAnsi="Times New Roman" w:cs="Times New Roman"/>
                <w:color w:val="auto"/>
                <w:szCs w:val="24"/>
                <w:highlight w:val="none"/>
              </w:rPr>
              <w:t>kg</w:t>
            </w:r>
          </w:p>
          <w:p>
            <w:pPr>
              <w:pStyle w:val="66"/>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排放总量：</w:t>
            </w:r>
            <w:r>
              <w:rPr>
                <w:rFonts w:hint="eastAsia" w:ascii="Times New Roman" w:hAnsi="Times New Roman" w:cs="Times New Roman"/>
                <w:color w:val="auto"/>
                <w:szCs w:val="24"/>
                <w:highlight w:val="none"/>
                <w:lang w:val="en-US" w:eastAsia="zh-CN"/>
              </w:rPr>
              <w:t>22.5</w:t>
            </w:r>
            <w:r>
              <w:rPr>
                <w:rFonts w:hint="default" w:ascii="Times New Roman" w:hAnsi="Times New Roman" w:cs="Times New Roman"/>
                <w:color w:val="auto"/>
                <w:szCs w:val="24"/>
                <w:highlight w:val="none"/>
              </w:rPr>
              <w:t>kg×（1-70%）+</w:t>
            </w:r>
            <w:r>
              <w:rPr>
                <w:rFonts w:hint="eastAsia" w:ascii="Times New Roman" w:hAnsi="Times New Roman" w:cs="Times New Roman"/>
                <w:color w:val="auto"/>
                <w:szCs w:val="24"/>
                <w:highlight w:val="none"/>
                <w:lang w:val="en-US" w:eastAsia="zh-CN"/>
              </w:rPr>
              <w:t>22.5</w:t>
            </w:r>
            <w:r>
              <w:rPr>
                <w:rFonts w:hint="default" w:ascii="Times New Roman" w:hAnsi="Times New Roman" w:cs="Times New Roman"/>
                <w:color w:val="auto"/>
                <w:szCs w:val="24"/>
                <w:highlight w:val="none"/>
              </w:rPr>
              <w:t>kg×70%×（1-95%）=</w:t>
            </w:r>
            <w:r>
              <w:rPr>
                <w:rFonts w:hint="eastAsia" w:ascii="Times New Roman" w:hAnsi="Times New Roman" w:cs="Times New Roman"/>
                <w:color w:val="auto"/>
                <w:szCs w:val="24"/>
                <w:highlight w:val="none"/>
                <w:lang w:val="en-US" w:eastAsia="zh-CN"/>
              </w:rPr>
              <w:t>7.5375</w:t>
            </w:r>
            <w:r>
              <w:rPr>
                <w:rFonts w:hint="default" w:ascii="Times New Roman" w:hAnsi="Times New Roman" w:cs="Times New Roman"/>
                <w:color w:val="auto"/>
                <w:szCs w:val="24"/>
                <w:highlight w:val="none"/>
              </w:rPr>
              <w:t>kg/a</w:t>
            </w:r>
          </w:p>
          <w:p>
            <w:pPr>
              <w:pStyle w:val="66"/>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排放速率：</w:t>
            </w:r>
            <w:r>
              <w:rPr>
                <w:rFonts w:hint="eastAsia" w:ascii="Times New Roman" w:hAnsi="Times New Roman" w:cs="Times New Roman"/>
                <w:color w:val="auto"/>
                <w:szCs w:val="24"/>
                <w:highlight w:val="none"/>
                <w:lang w:val="en-US" w:eastAsia="zh-CN"/>
              </w:rPr>
              <w:t>7.5375</w:t>
            </w:r>
            <w:r>
              <w:rPr>
                <w:rFonts w:hint="default" w:ascii="Times New Roman" w:hAnsi="Times New Roman" w:cs="Times New Roman"/>
                <w:color w:val="auto"/>
                <w:szCs w:val="24"/>
                <w:highlight w:val="none"/>
              </w:rPr>
              <w:t>kg/a÷</w:t>
            </w:r>
            <w:r>
              <w:rPr>
                <w:rFonts w:ascii="Times New Roman" w:hAnsi="Times New Roman" w:cs="Times New Roman"/>
                <w:color w:val="auto"/>
                <w:szCs w:val="24"/>
                <w:highlight w:val="none"/>
              </w:rPr>
              <w:t>5</w:t>
            </w:r>
            <w:r>
              <w:rPr>
                <w:rFonts w:hint="default" w:ascii="Times New Roman" w:hAnsi="Times New Roman" w:cs="Times New Roman"/>
                <w:color w:val="auto"/>
                <w:szCs w:val="24"/>
                <w:highlight w:val="none"/>
              </w:rPr>
              <w:t>00h/a=0.0</w:t>
            </w:r>
            <w:r>
              <w:rPr>
                <w:rFonts w:hint="eastAsia" w:ascii="Times New Roman" w:hAnsi="Times New Roman" w:cs="Times New Roman"/>
                <w:color w:val="auto"/>
                <w:szCs w:val="24"/>
                <w:highlight w:val="none"/>
                <w:lang w:val="en-US" w:eastAsia="zh-CN"/>
              </w:rPr>
              <w:t>151</w:t>
            </w:r>
            <w:r>
              <w:rPr>
                <w:rFonts w:hint="default" w:ascii="Times New Roman" w:hAnsi="Times New Roman" w:cs="Times New Roman"/>
                <w:color w:val="auto"/>
                <w:szCs w:val="24"/>
                <w:highlight w:val="none"/>
              </w:rPr>
              <w:t>kg/h。</w:t>
            </w:r>
          </w:p>
          <w:p>
            <w:pPr>
              <w:pStyle w:val="66"/>
              <w:ind w:firstLine="480"/>
              <w:jc w:val="both"/>
              <w:rPr>
                <w:rFonts w:hint="eastAsia" w:ascii="Times New Roman" w:hAnsi="Times New Roman" w:eastAsia="宋体" w:cs="Times New Roman"/>
                <w:b/>
                <w:bCs/>
                <w:color w:val="auto"/>
                <w:szCs w:val="24"/>
                <w:highlight w:val="none"/>
                <w:lang w:val="en-US" w:eastAsia="zh-CN"/>
              </w:rPr>
            </w:pPr>
            <w:r>
              <w:rPr>
                <w:rFonts w:hint="eastAsia" w:ascii="Times New Roman" w:hAnsi="Times New Roman" w:eastAsia="宋体" w:cs="Times New Roman"/>
                <w:b/>
                <w:bCs/>
                <w:color w:val="auto"/>
                <w:szCs w:val="24"/>
                <w:highlight w:val="none"/>
                <w:lang w:val="en-US" w:eastAsia="zh-CN"/>
              </w:rPr>
              <w:t>④塑料热熔造粒废气</w:t>
            </w:r>
          </w:p>
          <w:p>
            <w:pPr>
              <w:pStyle w:val="66"/>
              <w:ind w:firstLine="480"/>
              <w:jc w:val="both"/>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eastAsia="zh-CN"/>
              </w:rPr>
              <w:t>项</w:t>
            </w:r>
            <w:r>
              <w:rPr>
                <w:rFonts w:hint="default" w:ascii="Times New Roman" w:hAnsi="Times New Roman" w:cs="Times New Roman"/>
                <w:color w:val="auto"/>
                <w:szCs w:val="24"/>
                <w:highlight w:val="none"/>
              </w:rPr>
              <w:t>目设计年生产</w:t>
            </w:r>
            <w:r>
              <w:rPr>
                <w:rFonts w:hint="eastAsia" w:ascii="Times New Roman" w:hAnsi="Times New Roman" w:cs="Times New Roman"/>
                <w:color w:val="auto"/>
                <w:szCs w:val="24"/>
                <w:highlight w:val="none"/>
                <w:lang w:val="en-US" w:eastAsia="zh-CN"/>
              </w:rPr>
              <w:t>4800</w:t>
            </w:r>
            <w:r>
              <w:rPr>
                <w:rFonts w:hint="default" w:ascii="Times New Roman" w:hAnsi="Times New Roman" w:cs="Times New Roman"/>
                <w:color w:val="auto"/>
                <w:szCs w:val="24"/>
                <w:highlight w:val="none"/>
              </w:rPr>
              <w:t>h，项目在每台挤出</w:t>
            </w:r>
            <w:r>
              <w:rPr>
                <w:rFonts w:hint="eastAsia" w:ascii="Times New Roman" w:hAnsi="Times New Roman" w:cs="Times New Roman"/>
                <w:color w:val="auto"/>
                <w:szCs w:val="24"/>
                <w:highlight w:val="none"/>
                <w:lang w:eastAsia="zh-CN"/>
              </w:rPr>
              <w:t>造粒机</w:t>
            </w:r>
            <w:r>
              <w:rPr>
                <w:rFonts w:hint="default" w:ascii="Times New Roman" w:hAnsi="Times New Roman" w:cs="Times New Roman"/>
                <w:color w:val="auto"/>
                <w:szCs w:val="24"/>
                <w:highlight w:val="none"/>
              </w:rPr>
              <w:t>上方0.3</w:t>
            </w:r>
            <w:r>
              <w:rPr>
                <w:rFonts w:hint="eastAsia" w:ascii="Times New Roman" w:hAnsi="Times New Roman" w:cs="Times New Roman"/>
                <w:color w:val="auto"/>
                <w:szCs w:val="24"/>
                <w:highlight w:val="none"/>
                <w:lang w:val="en-US" w:eastAsia="zh-CN"/>
              </w:rPr>
              <w:t>-0.5</w:t>
            </w:r>
            <w:r>
              <w:rPr>
                <w:rFonts w:hint="default" w:ascii="Times New Roman" w:hAnsi="Times New Roman" w:cs="Times New Roman"/>
                <w:color w:val="auto"/>
                <w:szCs w:val="24"/>
                <w:highlight w:val="none"/>
              </w:rPr>
              <w:t>m的高度设置</w:t>
            </w:r>
            <w:r>
              <w:rPr>
                <w:rFonts w:hint="eastAsia" w:ascii="Times New Roman" w:hAnsi="Times New Roman" w:cs="Times New Roman"/>
                <w:color w:val="auto"/>
                <w:szCs w:val="24"/>
                <w:highlight w:val="none"/>
                <w:lang w:val="en-US" w:eastAsia="zh-CN"/>
              </w:rPr>
              <w:t>0.7</w:t>
            </w:r>
            <w:r>
              <w:rPr>
                <w:rFonts w:hint="default" w:ascii="Times New Roman" w:hAnsi="Times New Roman" w:cs="Times New Roman"/>
                <w:color w:val="auto"/>
                <w:szCs w:val="24"/>
                <w:highlight w:val="none"/>
              </w:rPr>
              <w:t>m×</w:t>
            </w:r>
            <w:r>
              <w:rPr>
                <w:rFonts w:hint="eastAsia"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m的集气罩收集项目</w:t>
            </w:r>
            <w:r>
              <w:rPr>
                <w:rFonts w:hint="eastAsia" w:ascii="Times New Roman" w:hAnsi="Times New Roman" w:cs="Times New Roman"/>
                <w:color w:val="auto"/>
                <w:szCs w:val="24"/>
                <w:highlight w:val="none"/>
                <w:lang w:val="en-US" w:eastAsia="zh-CN"/>
              </w:rPr>
              <w:t>挤出成型</w:t>
            </w:r>
            <w:r>
              <w:rPr>
                <w:rFonts w:hint="default" w:ascii="Times New Roman" w:hAnsi="Times New Roman" w:cs="Times New Roman"/>
                <w:color w:val="auto"/>
                <w:szCs w:val="24"/>
                <w:highlight w:val="none"/>
              </w:rPr>
              <w:t>废气。集气罩下沿的风速按</w:t>
            </w:r>
            <w:r>
              <w:rPr>
                <w:rFonts w:hint="eastAsia"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m/s设计，系统总风量富余</w:t>
            </w:r>
            <w:r>
              <w:rPr>
                <w:rFonts w:hint="eastAsia"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rPr>
              <w:t>0%</w:t>
            </w:r>
            <w:r>
              <w:rPr>
                <w:rFonts w:hint="eastAsia" w:ascii="Times New Roman" w:hAnsi="Times New Roman" w:cs="Times New Roman"/>
                <w:color w:val="auto"/>
                <w:szCs w:val="24"/>
                <w:highlight w:val="none"/>
                <w:lang w:val="en-US" w:eastAsia="zh-CN"/>
              </w:rPr>
              <w:t>，则本项目</w:t>
            </w:r>
            <w:r>
              <w:rPr>
                <w:rFonts w:hint="eastAsia"/>
                <w:lang w:val="en-US" w:eastAsia="zh-CN"/>
              </w:rPr>
              <w:t>挤出造粒废气处理</w:t>
            </w:r>
            <w:r>
              <w:rPr>
                <w:rFonts w:hint="eastAsia" w:ascii="Times New Roman" w:hAnsi="Times New Roman" w:cs="Times New Roman"/>
                <w:color w:val="auto"/>
                <w:szCs w:val="24"/>
                <w:highlight w:val="none"/>
                <w:lang w:val="en-US" w:eastAsia="zh-CN"/>
              </w:rPr>
              <w:t>系统风量核算如下：</w:t>
            </w:r>
          </w:p>
          <w:p>
            <w:pPr>
              <w:pStyle w:val="60"/>
              <w:bidi w:val="0"/>
              <w:rPr>
                <w:rFonts w:hint="default"/>
                <w:lang w:val="en-US" w:eastAsia="zh-CN"/>
              </w:rPr>
            </w:pPr>
            <w:r>
              <w:rPr>
                <w:rFonts w:hint="eastAsia"/>
                <w:lang w:val="en-US" w:eastAsia="zh-CN"/>
              </w:rPr>
              <w:t xml:space="preserve">表4-6 </w:t>
            </w:r>
            <w:r>
              <w:rPr>
                <w:rFonts w:hint="eastAsia" w:ascii="Times New Roman" w:hAnsi="Times New Roman" w:eastAsia="宋体" w:cs="Times New Roman"/>
                <w:b/>
                <w:bCs/>
                <w:color w:val="auto"/>
                <w:szCs w:val="24"/>
                <w:highlight w:val="none"/>
                <w:lang w:val="en-US" w:eastAsia="zh-CN"/>
              </w:rPr>
              <w:t>塑料热熔造粒</w:t>
            </w:r>
            <w:r>
              <w:rPr>
                <w:rFonts w:hint="eastAsia"/>
                <w:lang w:val="en-US" w:eastAsia="zh-CN"/>
              </w:rPr>
              <w:t>废气收集系统风量核算</w:t>
            </w:r>
          </w:p>
          <w:tbl>
            <w:tblPr>
              <w:tblStyle w:val="24"/>
              <w:tblW w:w="8092"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0"/>
              <w:gridCol w:w="1027"/>
              <w:gridCol w:w="1730"/>
              <w:gridCol w:w="1743"/>
              <w:gridCol w:w="981"/>
              <w:gridCol w:w="1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100"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设置位置</w:t>
                  </w:r>
                </w:p>
              </w:tc>
              <w:tc>
                <w:tcPr>
                  <w:tcW w:w="102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1730"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集气罩尺寸（</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eastAsia" w:ascii="宋体" w:hAnsi="宋体" w:eastAsia="宋体" w:cs="宋体"/>
                      <w:b/>
                      <w:bCs/>
                      <w:i w:val="0"/>
                      <w:iCs w:val="0"/>
                      <w:color w:val="000000"/>
                      <w:kern w:val="0"/>
                      <w:sz w:val="21"/>
                      <w:szCs w:val="21"/>
                      <w:u w:val="none"/>
                      <w:lang w:val="en-US" w:eastAsia="zh-CN" w:bidi="ar"/>
                    </w:rPr>
                    <w:t>）</w:t>
                  </w:r>
                </w:p>
              </w:tc>
              <w:tc>
                <w:tcPr>
                  <w:tcW w:w="1743" w:type="dxa"/>
                  <w:tcBorders>
                    <w:top w:val="single" w:color="000000" w:sz="12"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集气罩边缘设计风速</w:t>
                  </w:r>
                  <w:r>
                    <w:rPr>
                      <w:rFonts w:hint="default" w:ascii="Times New Roman" w:hAnsi="Times New Roman" w:eastAsia="宋体" w:cs="Times New Roman"/>
                      <w:b/>
                      <w:bCs/>
                      <w:i w:val="0"/>
                      <w:iCs w:val="0"/>
                      <w:color w:val="000000"/>
                      <w:kern w:val="0"/>
                      <w:sz w:val="21"/>
                      <w:szCs w:val="21"/>
                      <w:u w:val="none"/>
                      <w:lang w:val="en-US" w:eastAsia="zh-CN" w:bidi="ar"/>
                    </w:rPr>
                    <w:t>(m/s)</w:t>
                  </w:r>
                </w:p>
              </w:tc>
              <w:tc>
                <w:tcPr>
                  <w:tcW w:w="981"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冗余系数</w:t>
                  </w:r>
                </w:p>
              </w:tc>
              <w:tc>
                <w:tcPr>
                  <w:tcW w:w="1511" w:type="dxa"/>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设计排气量（</w:t>
                  </w:r>
                  <w:r>
                    <w:rPr>
                      <w:rFonts w:hint="default" w:ascii="Times New Roman" w:hAnsi="Times New Roman" w:eastAsia="宋体" w:cs="Times New Roman"/>
                      <w:b/>
                      <w:bCs/>
                      <w:i w:val="0"/>
                      <w:iCs w:val="0"/>
                      <w:color w:val="000000"/>
                      <w:kern w:val="0"/>
                      <w:sz w:val="21"/>
                      <w:szCs w:val="21"/>
                      <w:u w:val="none"/>
                      <w:lang w:val="en-US" w:eastAsia="zh-CN" w:bidi="ar"/>
                    </w:rPr>
                    <w:t>m³/h</w:t>
                  </w:r>
                  <w:r>
                    <w:rPr>
                      <w:rFonts w:hint="eastAsia" w:ascii="宋体" w:hAnsi="宋体" w:eastAsia="宋体" w:cs="宋体"/>
                      <w:b/>
                      <w:bCs/>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100" w:type="dxa"/>
                  <w:tcBorders>
                    <w:top w:val="single" w:color="000000" w:sz="8" w:space="0"/>
                    <w:left w:val="nil"/>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挤出</w:t>
                  </w:r>
                  <w:r>
                    <w:rPr>
                      <w:rFonts w:hint="eastAsia" w:ascii="宋体" w:hAnsi="宋体" w:cs="宋体"/>
                      <w:i w:val="0"/>
                      <w:iCs w:val="0"/>
                      <w:color w:val="000000"/>
                      <w:kern w:val="0"/>
                      <w:sz w:val="21"/>
                      <w:szCs w:val="21"/>
                      <w:u w:val="none"/>
                      <w:lang w:val="en-US" w:eastAsia="zh-CN" w:bidi="ar"/>
                    </w:rPr>
                    <w:t>成型</w:t>
                  </w:r>
                </w:p>
              </w:tc>
              <w:tc>
                <w:tcPr>
                  <w:tcW w:w="102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73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0.7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1.0</w:t>
                  </w:r>
                </w:p>
              </w:tc>
              <w:tc>
                <w:tcPr>
                  <w:tcW w:w="174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.0</w:t>
                  </w:r>
                </w:p>
              </w:tc>
              <w:tc>
                <w:tcPr>
                  <w:tcW w:w="981"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511" w:type="dxa"/>
                  <w:tcBorders>
                    <w:top w:val="single" w:color="000000" w:sz="8" w:space="0"/>
                    <w:left w:val="single" w:color="000000" w:sz="8" w:space="0"/>
                    <w:bottom w:val="single" w:color="000000" w:sz="12"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6048</w:t>
                  </w:r>
                </w:p>
              </w:tc>
            </w:tr>
          </w:tbl>
          <w:p>
            <w:pPr>
              <w:pStyle w:val="66"/>
              <w:ind w:firstLine="480"/>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根据以上计算，本项目挤出压片废气系统收集系统风量取整为6000m³/h。项目废气收集后经过活性炭吸附单元处理后经离地15m的排气筒排放，则</w:t>
            </w:r>
            <w:r>
              <w:rPr>
                <w:rFonts w:hint="eastAsia"/>
                <w:lang w:val="en-US" w:eastAsia="zh-CN"/>
              </w:rPr>
              <w:t>挤出造粒废气</w:t>
            </w:r>
            <w:r>
              <w:rPr>
                <w:rFonts w:hint="eastAsia" w:ascii="Times New Roman" w:hAnsi="Times New Roman" w:cs="Times New Roman"/>
                <w:color w:val="auto"/>
                <w:szCs w:val="24"/>
                <w:highlight w:val="none"/>
                <w:lang w:val="en-US" w:eastAsia="zh-CN"/>
              </w:rPr>
              <w:t>处理系统设计参数如下：</w:t>
            </w:r>
          </w:p>
          <w:p>
            <w:pPr>
              <w:pStyle w:val="60"/>
              <w:bidi w:val="0"/>
              <w:rPr>
                <w:rFonts w:hint="default"/>
                <w:lang w:val="en-US" w:eastAsia="zh-CN"/>
              </w:rPr>
            </w:pPr>
            <w:r>
              <w:rPr>
                <w:rFonts w:hint="eastAsia"/>
                <w:lang w:val="en-US" w:eastAsia="zh-CN"/>
              </w:rPr>
              <w:t xml:space="preserve">表4-7 </w:t>
            </w:r>
            <w:r>
              <w:rPr>
                <w:rFonts w:hint="eastAsia" w:ascii="Times New Roman" w:hAnsi="Times New Roman" w:eastAsia="宋体" w:cs="Times New Roman"/>
                <w:b/>
                <w:bCs/>
                <w:color w:val="auto"/>
                <w:szCs w:val="24"/>
                <w:highlight w:val="none"/>
                <w:lang w:val="en-US" w:eastAsia="zh-CN"/>
              </w:rPr>
              <w:t>塑料热熔造粒</w:t>
            </w:r>
            <w:r>
              <w:rPr>
                <w:rFonts w:hint="eastAsia"/>
                <w:lang w:val="en-US" w:eastAsia="zh-CN"/>
              </w:rPr>
              <w:t>废气</w:t>
            </w:r>
            <w:r>
              <w:rPr>
                <w:rFonts w:hint="eastAsia" w:ascii="Times New Roman" w:hAnsi="Times New Roman" w:cs="Times New Roman"/>
                <w:color w:val="auto"/>
                <w:szCs w:val="24"/>
                <w:highlight w:val="none"/>
                <w:lang w:val="en-US" w:eastAsia="zh-CN"/>
              </w:rPr>
              <w:t>处理系统设计参数</w:t>
            </w:r>
          </w:p>
          <w:tbl>
            <w:tblPr>
              <w:tblStyle w:val="24"/>
              <w:tblW w:w="81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7"/>
              <w:gridCol w:w="1200"/>
              <w:gridCol w:w="1327"/>
              <w:gridCol w:w="1153"/>
              <w:gridCol w:w="1032"/>
              <w:gridCol w:w="1219"/>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97" w:type="dxa"/>
                  <w:tcBorders>
                    <w:top w:val="single" w:color="000000" w:sz="12"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污染源</w:t>
                  </w:r>
                </w:p>
              </w:tc>
              <w:tc>
                <w:tcPr>
                  <w:tcW w:w="1200"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排放口编号</w:t>
                  </w:r>
                </w:p>
              </w:tc>
              <w:tc>
                <w:tcPr>
                  <w:tcW w:w="1327"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风机风量（</w:t>
                  </w:r>
                  <w:r>
                    <w:rPr>
                      <w:rFonts w:hint="default" w:ascii="Times New Roman" w:hAnsi="Times New Roman" w:eastAsia="宋体" w:cs="Times New Roman"/>
                      <w:b/>
                      <w:bCs/>
                      <w:i w:val="0"/>
                      <w:iCs w:val="0"/>
                      <w:color w:val="000000"/>
                      <w:kern w:val="0"/>
                      <w:sz w:val="21"/>
                      <w:szCs w:val="21"/>
                      <w:u w:val="none"/>
                      <w:lang w:val="en-US" w:eastAsia="zh-CN" w:bidi="ar"/>
                    </w:rPr>
                    <w:t>m³/h</w:t>
                  </w:r>
                  <w:r>
                    <w:rPr>
                      <w:rFonts w:hint="eastAsia" w:ascii="宋体" w:hAnsi="宋体" w:eastAsia="宋体" w:cs="宋体"/>
                      <w:b/>
                      <w:bCs/>
                      <w:i w:val="0"/>
                      <w:iCs w:val="0"/>
                      <w:color w:val="000000"/>
                      <w:kern w:val="0"/>
                      <w:sz w:val="22"/>
                      <w:szCs w:val="22"/>
                      <w:u w:val="none"/>
                      <w:lang w:val="en-US" w:eastAsia="zh-CN" w:bidi="ar"/>
                    </w:rPr>
                    <w:t>）</w:t>
                  </w:r>
                </w:p>
              </w:tc>
              <w:tc>
                <w:tcPr>
                  <w:tcW w:w="1153"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排气口直径（</w:t>
                  </w:r>
                  <w:r>
                    <w:rPr>
                      <w:rFonts w:hint="default" w:ascii="Times New Roman" w:hAnsi="Times New Roman" w:eastAsia="宋体" w:cs="Times New Roman"/>
                      <w:b/>
                      <w:bCs/>
                      <w:i w:val="0"/>
                      <w:iCs w:val="0"/>
                      <w:color w:val="000000"/>
                      <w:kern w:val="0"/>
                      <w:sz w:val="21"/>
                      <w:szCs w:val="21"/>
                      <w:u w:val="none"/>
                      <w:lang w:val="en-US" w:eastAsia="zh-CN" w:bidi="ar"/>
                    </w:rPr>
                    <w:t>m</w:t>
                  </w:r>
                  <w:r>
                    <w:rPr>
                      <w:rFonts w:hint="eastAsia" w:ascii="宋体" w:hAnsi="宋体" w:eastAsia="宋体" w:cs="宋体"/>
                      <w:b/>
                      <w:bCs/>
                      <w:i w:val="0"/>
                      <w:iCs w:val="0"/>
                      <w:color w:val="000000"/>
                      <w:kern w:val="0"/>
                      <w:sz w:val="22"/>
                      <w:szCs w:val="22"/>
                      <w:u w:val="none"/>
                      <w:lang w:val="en-US" w:eastAsia="zh-CN" w:bidi="ar"/>
                    </w:rPr>
                    <w:t>）</w:t>
                  </w:r>
                </w:p>
              </w:tc>
              <w:tc>
                <w:tcPr>
                  <w:tcW w:w="1032"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排风风速（</w:t>
                  </w:r>
                  <w:r>
                    <w:rPr>
                      <w:rFonts w:hint="default" w:ascii="Times New Roman" w:hAnsi="Times New Roman" w:eastAsia="宋体" w:cs="Times New Roman"/>
                      <w:b/>
                      <w:bCs/>
                      <w:i w:val="0"/>
                      <w:iCs w:val="0"/>
                      <w:color w:val="000000"/>
                      <w:kern w:val="0"/>
                      <w:sz w:val="21"/>
                      <w:szCs w:val="21"/>
                      <w:u w:val="none"/>
                      <w:lang w:val="en-US" w:eastAsia="zh-CN" w:bidi="ar"/>
                    </w:rPr>
                    <w:t>m/s</w:t>
                  </w:r>
                  <w:r>
                    <w:rPr>
                      <w:rFonts w:hint="eastAsia" w:ascii="宋体" w:hAnsi="宋体" w:eastAsia="宋体" w:cs="宋体"/>
                      <w:b/>
                      <w:bCs/>
                      <w:i w:val="0"/>
                      <w:iCs w:val="0"/>
                      <w:color w:val="000000"/>
                      <w:kern w:val="0"/>
                      <w:sz w:val="22"/>
                      <w:szCs w:val="22"/>
                      <w:u w:val="none"/>
                      <w:lang w:val="en-US" w:eastAsia="zh-CN" w:bidi="ar"/>
                    </w:rPr>
                    <w:t>）</w:t>
                  </w:r>
                </w:p>
              </w:tc>
              <w:tc>
                <w:tcPr>
                  <w:tcW w:w="1219" w:type="dxa"/>
                  <w:tcBorders>
                    <w:top w:val="single" w:color="000000" w:sz="12"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活性炭填充量（</w:t>
                  </w:r>
                  <w:r>
                    <w:rPr>
                      <w:rFonts w:hint="default" w:ascii="Times New Roman" w:hAnsi="Times New Roman" w:eastAsia="宋体" w:cs="Times New Roman"/>
                      <w:b/>
                      <w:bCs/>
                      <w:i w:val="0"/>
                      <w:iCs w:val="0"/>
                      <w:color w:val="000000"/>
                      <w:kern w:val="0"/>
                      <w:sz w:val="21"/>
                      <w:szCs w:val="21"/>
                      <w:u w:val="none"/>
                      <w:lang w:val="en-US" w:eastAsia="zh-CN" w:bidi="ar"/>
                    </w:rPr>
                    <w:t>m³</w:t>
                  </w:r>
                  <w:r>
                    <w:rPr>
                      <w:rFonts w:hint="eastAsia" w:ascii="宋体" w:hAnsi="宋体" w:eastAsia="宋体" w:cs="宋体"/>
                      <w:b/>
                      <w:bCs/>
                      <w:i w:val="0"/>
                      <w:iCs w:val="0"/>
                      <w:color w:val="000000"/>
                      <w:kern w:val="0"/>
                      <w:sz w:val="22"/>
                      <w:szCs w:val="22"/>
                      <w:u w:val="none"/>
                      <w:lang w:val="en-US" w:eastAsia="zh-CN" w:bidi="ar"/>
                    </w:rPr>
                    <w:t>）</w:t>
                  </w:r>
                </w:p>
              </w:tc>
              <w:tc>
                <w:tcPr>
                  <w:tcW w:w="1257" w:type="dxa"/>
                  <w:tcBorders>
                    <w:top w:val="single" w:color="000000" w:sz="12" w:space="0"/>
                    <w:left w:val="single" w:color="000000" w:sz="8" w:space="0"/>
                    <w:bottom w:val="single" w:color="000000" w:sz="8"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排放口坐标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997" w:type="dxa"/>
                  <w:tcBorders>
                    <w:top w:val="single" w:color="000000" w:sz="8" w:space="0"/>
                    <w:left w:val="nil"/>
                    <w:bottom w:val="single" w:color="000000" w:sz="12"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挤出</w:t>
                  </w:r>
                  <w:r>
                    <w:rPr>
                      <w:rFonts w:hint="eastAsia" w:ascii="宋体" w:hAnsi="宋体" w:cs="宋体"/>
                      <w:i w:val="0"/>
                      <w:iCs w:val="0"/>
                      <w:color w:val="000000"/>
                      <w:kern w:val="0"/>
                      <w:sz w:val="22"/>
                      <w:szCs w:val="22"/>
                      <w:u w:val="none"/>
                      <w:lang w:val="en-US" w:eastAsia="zh-CN" w:bidi="ar"/>
                    </w:rPr>
                    <w:t>造粒</w:t>
                  </w:r>
                  <w:r>
                    <w:rPr>
                      <w:rFonts w:hint="eastAsia" w:ascii="宋体" w:hAnsi="宋体" w:eastAsia="宋体" w:cs="宋体"/>
                      <w:i w:val="0"/>
                      <w:iCs w:val="0"/>
                      <w:color w:val="000000"/>
                      <w:kern w:val="0"/>
                      <w:sz w:val="22"/>
                      <w:szCs w:val="22"/>
                      <w:u w:val="none"/>
                      <w:lang w:val="en-US" w:eastAsia="zh-CN" w:bidi="ar"/>
                    </w:rPr>
                    <w:t>废气</w:t>
                  </w:r>
                </w:p>
              </w:tc>
              <w:tc>
                <w:tcPr>
                  <w:tcW w:w="1200"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DA003</w:t>
                  </w:r>
                </w:p>
              </w:tc>
              <w:tc>
                <w:tcPr>
                  <w:tcW w:w="1327"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6048</w:t>
                  </w:r>
                </w:p>
              </w:tc>
              <w:tc>
                <w:tcPr>
                  <w:tcW w:w="1153"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0.4</w:t>
                  </w:r>
                </w:p>
              </w:tc>
              <w:tc>
                <w:tcPr>
                  <w:tcW w:w="1032"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 xml:space="preserve">13.3758 </w:t>
                  </w:r>
                </w:p>
              </w:tc>
              <w:tc>
                <w:tcPr>
                  <w:tcW w:w="1219" w:type="dxa"/>
                  <w:tcBorders>
                    <w:top w:val="single" w:color="000000" w:sz="8" w:space="0"/>
                    <w:left w:val="single" w:color="000000" w:sz="8" w:space="0"/>
                    <w:bottom w:val="single" w:color="000000" w:sz="12" w:space="0"/>
                    <w:right w:val="single" w:color="000000" w:sz="8"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eastAsia="宋体" w:cs="Times New Roman"/>
                      <w:i w:val="0"/>
                      <w:iCs w:val="0"/>
                      <w:color w:val="000000"/>
                      <w:kern w:val="0"/>
                      <w:sz w:val="22"/>
                      <w:szCs w:val="22"/>
                      <w:u w:val="none"/>
                      <w:lang w:val="en-US" w:eastAsia="zh-CN" w:bidi="ar"/>
                    </w:rPr>
                    <w:t>0.3024</w:t>
                  </w:r>
                </w:p>
              </w:tc>
              <w:tc>
                <w:tcPr>
                  <w:tcW w:w="1257" w:type="dxa"/>
                  <w:tcBorders>
                    <w:top w:val="single" w:color="000000" w:sz="8" w:space="0"/>
                    <w:left w:val="single" w:color="000000" w:sz="8" w:space="0"/>
                    <w:bottom w:val="single" w:color="000000" w:sz="12"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i w:val="0"/>
                      <w:iCs w:val="0"/>
                      <w:color w:val="000000"/>
                      <w:sz w:val="18"/>
                      <w:szCs w:val="18"/>
                      <w:u w:val="none"/>
                      <w:lang w:val="en-US" w:eastAsia="zh-CN"/>
                    </w:rPr>
                  </w:pPr>
                  <w:r>
                    <w:rPr>
                      <w:rFonts w:hint="default" w:ascii="Times New Roman" w:hAnsi="Times New Roman" w:cs="Times New Roman"/>
                      <w:i w:val="0"/>
                      <w:iCs w:val="0"/>
                      <w:color w:val="000000"/>
                      <w:sz w:val="18"/>
                      <w:szCs w:val="18"/>
                      <w:u w:val="none"/>
                      <w:lang w:val="en-US" w:eastAsia="zh-CN"/>
                    </w:rPr>
                    <w:t>1</w:t>
                  </w:r>
                  <w:r>
                    <w:rPr>
                      <w:rFonts w:hint="eastAsia" w:ascii="Times New Roman" w:hAnsi="Times New Roman" w:cs="Times New Roman"/>
                      <w:i w:val="0"/>
                      <w:iCs w:val="0"/>
                      <w:color w:val="000000"/>
                      <w:sz w:val="18"/>
                      <w:szCs w:val="18"/>
                      <w:u w:val="none"/>
                      <w:lang w:val="en-US" w:eastAsia="zh-CN"/>
                    </w:rPr>
                    <w:t>05.699090</w:t>
                  </w:r>
                  <w:r>
                    <w:rPr>
                      <w:rFonts w:hint="default" w:ascii="Times New Roman" w:hAnsi="Times New Roman" w:cs="Times New Roman"/>
                      <w:i w:val="0"/>
                      <w:iCs w:val="0"/>
                      <w:color w:val="000000"/>
                      <w:sz w:val="18"/>
                      <w:szCs w:val="18"/>
                      <w:u w:val="none"/>
                      <w:lang w:val="en-US" w:eastAsia="zh-CN"/>
                    </w:rPr>
                    <w:t>°E</w:t>
                  </w:r>
                </w:p>
                <w:p>
                  <w:pPr>
                    <w:jc w:val="center"/>
                    <w:rPr>
                      <w:rFonts w:hint="default" w:ascii="Times New Roman" w:hAnsi="Times New Roman" w:eastAsia="宋体" w:cs="Times New Roman"/>
                      <w:i w:val="0"/>
                      <w:iCs w:val="0"/>
                      <w:color w:val="000000"/>
                      <w:sz w:val="22"/>
                      <w:szCs w:val="22"/>
                      <w:u w:val="none"/>
                    </w:rPr>
                  </w:pPr>
                  <w:r>
                    <w:rPr>
                      <w:rFonts w:hint="default" w:ascii="Times New Roman" w:hAnsi="Times New Roman" w:cs="Times New Roman"/>
                      <w:i w:val="0"/>
                      <w:iCs w:val="0"/>
                      <w:color w:val="000000"/>
                      <w:sz w:val="18"/>
                      <w:szCs w:val="18"/>
                      <w:u w:val="none"/>
                      <w:lang w:val="en-US" w:eastAsia="zh-CN"/>
                    </w:rPr>
                    <w:t>30.</w:t>
                  </w:r>
                  <w:r>
                    <w:rPr>
                      <w:rFonts w:hint="eastAsia" w:ascii="Times New Roman" w:hAnsi="Times New Roman" w:cs="Times New Roman"/>
                      <w:i w:val="0"/>
                      <w:iCs w:val="0"/>
                      <w:color w:val="000000"/>
                      <w:sz w:val="18"/>
                      <w:szCs w:val="18"/>
                      <w:u w:val="none"/>
                      <w:lang w:val="en-US" w:eastAsia="zh-CN"/>
                    </w:rPr>
                    <w:t>732582</w:t>
                  </w:r>
                  <w:r>
                    <w:rPr>
                      <w:rFonts w:hint="default" w:ascii="Times New Roman" w:hAnsi="Times New Roman" w:cs="Times New Roman"/>
                      <w:i w:val="0"/>
                      <w:iCs w:val="0"/>
                      <w:color w:val="000000"/>
                      <w:sz w:val="18"/>
                      <w:szCs w:val="18"/>
                      <w:u w:val="none"/>
                      <w:lang w:val="en-US" w:eastAsia="zh-CN"/>
                    </w:rPr>
                    <w:t>°N</w:t>
                  </w:r>
                </w:p>
              </w:tc>
            </w:tr>
          </w:tbl>
          <w:p>
            <w:pPr>
              <w:pStyle w:val="66"/>
              <w:ind w:firstLine="480"/>
              <w:rPr>
                <w:rFonts w:hint="eastAsia" w:ascii="Times New Roman" w:hAnsi="Times New Roman" w:cs="Times New Roman"/>
                <w:color w:val="auto"/>
                <w:szCs w:val="24"/>
                <w:highlight w:val="none"/>
                <w:lang w:val="en-US" w:eastAsia="zh-CN"/>
              </w:rPr>
            </w:pPr>
            <w:r>
              <w:rPr>
                <w:rFonts w:hint="eastAsia"/>
                <w:color w:val="auto"/>
                <w:highlight w:val="none"/>
                <w:lang w:eastAsia="zh-CN"/>
              </w:rPr>
              <w:t>本项目塑料热熔造粒主要利用废</w:t>
            </w:r>
            <w:r>
              <w:rPr>
                <w:rFonts w:hint="eastAsia"/>
                <w:color w:val="auto"/>
                <w:highlight w:val="none"/>
                <w:lang w:val="en-US" w:eastAsia="zh-CN"/>
              </w:rPr>
              <w:t>PP和PE塑料瓶破碎后进行造粒生产，</w:t>
            </w:r>
            <w:r>
              <w:rPr>
                <w:rFonts w:hint="eastAsia"/>
                <w:color w:val="auto"/>
                <w:highlight w:val="none"/>
                <w:lang w:eastAsia="zh-CN"/>
              </w:rPr>
              <w:t>参考《</w:t>
            </w:r>
            <w:r>
              <w:rPr>
                <w:rFonts w:hint="eastAsia"/>
                <w:color w:val="auto"/>
                <w:highlight w:val="none"/>
              </w:rPr>
              <w:t>排放源统计调查产排</w:t>
            </w:r>
            <w:r>
              <w:rPr>
                <w:rFonts w:hint="eastAsia" w:ascii="Times New Roman" w:hAnsi="Times New Roman" w:eastAsia="宋体" w:cs="Times New Roman"/>
                <w:color w:val="auto"/>
                <w:highlight w:val="none"/>
              </w:rPr>
              <w:t>污核算方法和系数手册2021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42废弃资源综合利用行业系数手册，以废PP/PE为原料挤出造粒挥发性有机物产生量为350g/t原料，</w:t>
            </w:r>
            <w:r>
              <w:rPr>
                <w:rFonts w:hint="eastAsia" w:ascii="Times New Roman" w:hAnsi="Times New Roman" w:cs="Times New Roman"/>
                <w:color w:val="auto"/>
                <w:szCs w:val="24"/>
                <w:highlight w:val="none"/>
                <w:lang w:val="en-US" w:eastAsia="zh-CN"/>
              </w:rPr>
              <w:t>废气处理系统收集效率约80%，活性炭吸附处理效率约50%，则挤出造粒废气处理系统污染物排放情况如下表所示：</w:t>
            </w:r>
          </w:p>
          <w:p>
            <w:pPr>
              <w:pStyle w:val="6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表4-</w:t>
            </w:r>
            <w:r>
              <w:rPr>
                <w:rFonts w:hint="eastAsia" w:ascii="Times New Roman" w:hAnsi="Times New Roman"/>
                <w:snapToGrid w:val="0"/>
                <w:color w:val="000000" w:themeColor="text1"/>
                <w:kern w:val="0"/>
                <w:szCs w:val="22"/>
                <w:highlight w:val="none"/>
                <w:lang w:val="en-US" w:eastAsia="zh-CN"/>
                <w14:textFill>
                  <w14:solidFill>
                    <w14:schemeClr w14:val="tx1"/>
                  </w14:solidFill>
                </w14:textFill>
              </w:rPr>
              <w:t xml:space="preserve">8 </w:t>
            </w:r>
            <w:r>
              <w:rPr>
                <w:rFonts w:hint="eastAsia" w:ascii="Times New Roman" w:hAnsi="Times New Roman" w:eastAsia="宋体" w:cs="Times New Roman"/>
                <w:b/>
                <w:bCs/>
                <w:color w:val="auto"/>
                <w:szCs w:val="24"/>
                <w:highlight w:val="none"/>
                <w:lang w:val="en-US" w:eastAsia="zh-CN"/>
              </w:rPr>
              <w:t>塑料热熔造粒</w:t>
            </w:r>
            <w:r>
              <w:rPr>
                <w:rFonts w:ascii="Times New Roman" w:hAnsi="Times New Roman"/>
                <w:color w:val="000000" w:themeColor="text1"/>
                <w:highlight w:val="none"/>
                <w14:textFill>
                  <w14:solidFill>
                    <w14:schemeClr w14:val="tx1"/>
                  </w14:solidFill>
                </w14:textFill>
              </w:rPr>
              <w:t>有机废气处理系统</w:t>
            </w:r>
            <w:r>
              <w:rPr>
                <w:rFonts w:hint="default" w:ascii="Times New Roman" w:hAnsi="Times New Roman"/>
                <w:color w:val="000000" w:themeColor="text1"/>
                <w:highlight w:val="none"/>
                <w14:textFill>
                  <w14:solidFill>
                    <w14:schemeClr w14:val="tx1"/>
                  </w14:solidFill>
                </w14:textFill>
              </w:rPr>
              <w:t>污染源</w:t>
            </w:r>
            <w:r>
              <w:rPr>
                <w:rFonts w:ascii="Times New Roman" w:hAnsi="Times New Roman"/>
                <w:color w:val="000000" w:themeColor="text1"/>
                <w:highlight w:val="none"/>
                <w14:textFill>
                  <w14:solidFill>
                    <w14:schemeClr w14:val="tx1"/>
                  </w14:solidFill>
                </w14:textFill>
              </w:rPr>
              <w:t>排污</w:t>
            </w:r>
            <w:r>
              <w:rPr>
                <w:rFonts w:hint="default" w:ascii="Times New Roman" w:hAnsi="Times New Roman"/>
                <w:color w:val="000000" w:themeColor="text1"/>
                <w:highlight w:val="none"/>
                <w14:textFill>
                  <w14:solidFill>
                    <w14:schemeClr w14:val="tx1"/>
                  </w14:solidFill>
                </w14:textFill>
              </w:rPr>
              <w:t>信息表</w:t>
            </w:r>
          </w:p>
          <w:tbl>
            <w:tblPr>
              <w:tblStyle w:val="25"/>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173"/>
              <w:gridCol w:w="1174"/>
              <w:gridCol w:w="1175"/>
              <w:gridCol w:w="1175"/>
              <w:gridCol w:w="1175"/>
              <w:gridCol w:w="11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173"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hint="default" w:ascii="Times New Roman" w:hAnsi="Times New Roman" w:cs="Times New Roman"/>
                      <w:b/>
                      <w:bCs/>
                      <w:color w:val="000000" w:themeColor="text1"/>
                      <w:sz w:val="21"/>
                      <w:highlight w:val="none"/>
                      <w14:textFill>
                        <w14:solidFill>
                          <w14:schemeClr w14:val="tx1"/>
                        </w14:solidFill>
                      </w14:textFill>
                    </w:rPr>
                    <w:t>污染物</w:t>
                  </w:r>
                </w:p>
              </w:tc>
              <w:tc>
                <w:tcPr>
                  <w:tcW w:w="1173"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排放浓度</w:t>
                  </w:r>
                  <w:r>
                    <w:rPr>
                      <w:rFonts w:hint="default" w:ascii="Times New Roman" w:hAnsi="Times New Roman" w:cs="Times New Roman"/>
                      <w:color w:val="000000" w:themeColor="text1"/>
                      <w:kern w:val="0"/>
                      <w:sz w:val="21"/>
                      <w:highlight w:val="none"/>
                      <w:lang w:bidi="ar"/>
                      <w14:textFill>
                        <w14:solidFill>
                          <w14:schemeClr w14:val="tx1"/>
                        </w14:solidFill>
                      </w14:textFill>
                    </w:rPr>
                    <w:t>mg/m³</w:t>
                  </w:r>
                </w:p>
              </w:tc>
              <w:tc>
                <w:tcPr>
                  <w:tcW w:w="1174"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排放速率</w:t>
                  </w:r>
                  <w:r>
                    <w:rPr>
                      <w:rFonts w:hint="default" w:ascii="Times New Roman" w:hAnsi="Times New Roman" w:cs="Times New Roman"/>
                      <w:color w:val="000000" w:themeColor="text1"/>
                      <w:kern w:val="0"/>
                      <w:sz w:val="21"/>
                      <w:highlight w:val="none"/>
                      <w:lang w:bidi="ar"/>
                      <w14:textFill>
                        <w14:solidFill>
                          <w14:schemeClr w14:val="tx1"/>
                        </w14:solidFill>
                      </w14:textFill>
                    </w:rPr>
                    <w:t>kg/h</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 xml:space="preserve"> 有</w:t>
                  </w:r>
                  <w:r>
                    <w:rPr>
                      <w:rFonts w:hint="default" w:ascii="Times New Roman" w:hAnsi="Times New Roman" w:cs="Times New Roman"/>
                      <w:b/>
                      <w:bCs/>
                      <w:color w:val="000000" w:themeColor="text1"/>
                      <w:sz w:val="21"/>
                      <w:highlight w:val="none"/>
                      <w14:textFill>
                        <w14:solidFill>
                          <w14:schemeClr w14:val="tx1"/>
                        </w14:solidFill>
                      </w14:textFill>
                    </w:rPr>
                    <w:t>组织</w:t>
                  </w:r>
                  <w:r>
                    <w:rPr>
                      <w:rFonts w:ascii="Times New Roman" w:hAnsi="Times New Roman" w:cs="Times New Roman"/>
                      <w:b/>
                      <w:bCs/>
                      <w:color w:val="000000" w:themeColor="text1"/>
                      <w:sz w:val="21"/>
                      <w:highlight w:val="none"/>
                      <w14:textFill>
                        <w14:solidFill>
                          <w14:schemeClr w14:val="tx1"/>
                        </w14:solidFill>
                      </w14:textFill>
                    </w:rPr>
                    <w:t>年排放量</w:t>
                  </w:r>
                </w:p>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t/a</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 xml:space="preserve"> </w:t>
                  </w:r>
                  <w:r>
                    <w:rPr>
                      <w:rFonts w:hint="default" w:ascii="Times New Roman" w:hAnsi="Times New Roman" w:cs="Times New Roman"/>
                      <w:b/>
                      <w:bCs/>
                      <w:color w:val="000000" w:themeColor="text1"/>
                      <w:sz w:val="21"/>
                      <w:highlight w:val="none"/>
                      <w14:textFill>
                        <w14:solidFill>
                          <w14:schemeClr w14:val="tx1"/>
                        </w14:solidFill>
                      </w14:textFill>
                    </w:rPr>
                    <w:t>无组织排放</w:t>
                  </w:r>
                  <w:r>
                    <w:rPr>
                      <w:rFonts w:ascii="Times New Roman" w:hAnsi="Times New Roman" w:cs="Times New Roman"/>
                      <w:b/>
                      <w:bCs/>
                      <w:color w:val="000000" w:themeColor="text1"/>
                      <w:sz w:val="21"/>
                      <w:highlight w:val="none"/>
                      <w14:textFill>
                        <w14:solidFill>
                          <w14:schemeClr w14:val="tx1"/>
                        </w14:solidFill>
                      </w14:textFill>
                    </w:rPr>
                    <w:t>速率</w:t>
                  </w:r>
                  <w:r>
                    <w:rPr>
                      <w:rFonts w:hint="default" w:ascii="Times New Roman" w:hAnsi="Times New Roman" w:cs="Times New Roman"/>
                      <w:color w:val="000000" w:themeColor="text1"/>
                      <w:kern w:val="0"/>
                      <w:sz w:val="21"/>
                      <w:highlight w:val="none"/>
                      <w:lang w:bidi="ar"/>
                      <w14:textFill>
                        <w14:solidFill>
                          <w14:schemeClr w14:val="tx1"/>
                        </w14:solidFill>
                      </w14:textFill>
                    </w:rPr>
                    <w:t>kg/h</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无</w:t>
                  </w:r>
                  <w:r>
                    <w:rPr>
                      <w:rFonts w:hint="default" w:ascii="Times New Roman" w:hAnsi="Times New Roman" w:cs="Times New Roman"/>
                      <w:b/>
                      <w:bCs/>
                      <w:color w:val="000000" w:themeColor="text1"/>
                      <w:sz w:val="21"/>
                      <w:highlight w:val="none"/>
                      <w14:textFill>
                        <w14:solidFill>
                          <w14:schemeClr w14:val="tx1"/>
                        </w14:solidFill>
                      </w14:textFill>
                    </w:rPr>
                    <w:t>组织</w:t>
                  </w:r>
                  <w:r>
                    <w:rPr>
                      <w:rFonts w:ascii="Times New Roman" w:hAnsi="Times New Roman" w:cs="Times New Roman"/>
                      <w:b/>
                      <w:bCs/>
                      <w:color w:val="000000" w:themeColor="text1"/>
                      <w:sz w:val="21"/>
                      <w:highlight w:val="none"/>
                      <w14:textFill>
                        <w14:solidFill>
                          <w14:schemeClr w14:val="tx1"/>
                        </w14:solidFill>
                      </w14:textFill>
                    </w:rPr>
                    <w:t>年排放量</w:t>
                  </w:r>
                </w:p>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color w:val="000000" w:themeColor="text1"/>
                      <w:sz w:val="21"/>
                      <w:highlight w:val="none"/>
                      <w14:textFill>
                        <w14:solidFill>
                          <w14:schemeClr w14:val="tx1"/>
                        </w14:solidFill>
                      </w14:textFill>
                    </w:rPr>
                    <w:t>t/a</w:t>
                  </w:r>
                </w:p>
              </w:tc>
              <w:tc>
                <w:tcPr>
                  <w:tcW w:w="1175" w:type="dxa"/>
                  <w:tcBorders>
                    <w:tl2br w:val="nil"/>
                    <w:tr2bl w:val="nil"/>
                  </w:tcBorders>
                  <w:vAlign w:val="center"/>
                </w:tcPr>
                <w:p>
                  <w:pPr>
                    <w:pStyle w:val="66"/>
                    <w:spacing w:line="240" w:lineRule="auto"/>
                    <w:ind w:firstLine="0" w:firstLineChars="0"/>
                    <w:jc w:val="center"/>
                    <w:rPr>
                      <w:rFonts w:hint="default" w:ascii="Times New Roman" w:hAnsi="Times New Roman" w:cs="Times New Roman"/>
                      <w:b/>
                      <w:bCs/>
                      <w:color w:val="000000" w:themeColor="text1"/>
                      <w:sz w:val="21"/>
                      <w:highlight w:val="none"/>
                      <w14:textFill>
                        <w14:solidFill>
                          <w14:schemeClr w14:val="tx1"/>
                        </w14:solidFill>
                      </w14:textFill>
                    </w:rPr>
                  </w:pPr>
                  <w:r>
                    <w:rPr>
                      <w:rFonts w:ascii="Times New Roman" w:hAnsi="Times New Roman" w:cs="Times New Roman"/>
                      <w:b/>
                      <w:bCs/>
                      <w:color w:val="000000" w:themeColor="text1"/>
                      <w:sz w:val="21"/>
                      <w:highlight w:val="none"/>
                      <w14:textFill>
                        <w14:solidFill>
                          <w14:schemeClr w14:val="tx1"/>
                        </w14:solidFill>
                      </w14:textFill>
                    </w:rPr>
                    <w:t>核算方法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73" w:type="dxa"/>
                  <w:tcBorders>
                    <w:tl2br w:val="nil"/>
                    <w:tr2bl w:val="nil"/>
                  </w:tcBorders>
                  <w:vAlign w:val="center"/>
                </w:tcPr>
                <w:p>
                  <w:pPr>
                    <w:keepNext w:val="0"/>
                    <w:keepLines w:val="0"/>
                    <w:widowControl/>
                    <w:suppressLineNumbers w:val="0"/>
                    <w:jc w:val="center"/>
                    <w:textAlignment w:val="center"/>
                    <w:rPr>
                      <w:color w:val="000000" w:themeColor="text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1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25.077 </w:t>
                  </w:r>
                </w:p>
              </w:tc>
              <w:tc>
                <w:tcPr>
                  <w:tcW w:w="117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0.1517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0.7280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0.0758 </w:t>
                  </w:r>
                </w:p>
              </w:tc>
              <w:tc>
                <w:tcPr>
                  <w:tcW w:w="11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 xml:space="preserve">0.3640 </w:t>
                  </w:r>
                </w:p>
              </w:tc>
              <w:tc>
                <w:tcPr>
                  <w:tcW w:w="1175" w:type="dxa"/>
                  <w:tcBorders>
                    <w:tl2br w:val="nil"/>
                    <w:tr2bl w:val="nil"/>
                  </w:tcBorders>
                  <w:vAlign w:val="center"/>
                </w:tcPr>
                <w:p>
                  <w:pPr>
                    <w:keepNext w:val="0"/>
                    <w:keepLines w:val="0"/>
                    <w:widowControl/>
                    <w:suppressLineNumbers w:val="0"/>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产排污系数</w:t>
                  </w:r>
                </w:p>
              </w:tc>
            </w:tr>
          </w:tbl>
          <w:p>
            <w:pPr>
              <w:pStyle w:val="66"/>
              <w:ind w:firstLine="480"/>
              <w:jc w:val="both"/>
              <w:rPr>
                <w:rFonts w:hint="default" w:ascii="Times New Roman" w:hAnsi="Times New Roman" w:cs="Times New Roman"/>
                <w:b/>
                <w:bCs/>
                <w:color w:val="auto"/>
                <w:szCs w:val="24"/>
                <w:highlight w:val="none"/>
                <w:lang w:val="en-US" w:eastAsia="zh-CN"/>
              </w:rPr>
            </w:pPr>
          </w:p>
          <w:p>
            <w:pPr>
              <w:pStyle w:val="66"/>
              <w:ind w:firstLine="480"/>
              <w:jc w:val="both"/>
              <w:rPr>
                <w:rFonts w:hint="default" w:ascii="Times New Roman" w:hAnsi="Times New Roman" w:cs="Times New Roman"/>
                <w:b/>
                <w:bCs/>
                <w:color w:val="auto"/>
                <w:szCs w:val="24"/>
                <w:highlight w:val="none"/>
                <w:lang w:val="en-US" w:eastAsia="zh-CN"/>
              </w:rPr>
            </w:pPr>
            <w:r>
              <w:rPr>
                <w:rFonts w:hint="eastAsia" w:ascii="Times New Roman" w:hAnsi="Times New Roman" w:cs="Times New Roman"/>
                <w:b/>
                <w:bCs/>
                <w:color w:val="auto"/>
                <w:szCs w:val="24"/>
                <w:highlight w:val="none"/>
                <w:lang w:val="en-US" w:eastAsia="zh-CN"/>
              </w:rPr>
              <w:t>⑤本项目废气治理措施汇总</w:t>
            </w:r>
          </w:p>
          <w:p>
            <w:pPr>
              <w:pStyle w:val="60"/>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s="Times New Roman"/>
                <w:b/>
                <w:bCs/>
                <w:snapToGrid w:val="0"/>
                <w:color w:val="auto"/>
                <w:kern w:val="0"/>
                <w:sz w:val="24"/>
                <w:szCs w:val="22"/>
                <w:highlight w:val="none"/>
                <w:lang w:val="en-US" w:eastAsia="zh-CN" w:bidi="ar-SA"/>
              </w:rPr>
              <w:t>9</w:t>
            </w:r>
            <w:r>
              <w:rPr>
                <w:rFonts w:hint="default" w:ascii="Times New Roman" w:hAnsi="Times New Roman"/>
                <w:color w:val="auto"/>
                <w:highlight w:val="none"/>
              </w:rPr>
              <w:t xml:space="preserve"> 废气污染源产生及治理信息表</w:t>
            </w:r>
          </w:p>
          <w:tbl>
            <w:tblPr>
              <w:tblStyle w:val="24"/>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7"/>
              <w:gridCol w:w="1112"/>
              <w:gridCol w:w="1574"/>
              <w:gridCol w:w="957"/>
              <w:gridCol w:w="1252"/>
              <w:gridCol w:w="1053"/>
              <w:gridCol w:w="11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1147"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污染源</w:t>
                  </w:r>
                </w:p>
              </w:tc>
              <w:tc>
                <w:tcPr>
                  <w:tcW w:w="1112"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污染物</w:t>
                  </w:r>
                  <w:r>
                    <w:rPr>
                      <w:rStyle w:val="55"/>
                      <w:color w:val="auto"/>
                      <w:highlight w:val="none"/>
                      <w:lang w:bidi="ar"/>
                    </w:rPr>
                    <w:t>种类</w:t>
                  </w:r>
                </w:p>
              </w:tc>
              <w:tc>
                <w:tcPr>
                  <w:tcW w:w="1574"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 xml:space="preserve"> </w:t>
                  </w:r>
                </w:p>
                <w:p>
                  <w:pPr>
                    <w:widowControl/>
                    <w:jc w:val="center"/>
                    <w:textAlignment w:val="center"/>
                    <w:rPr>
                      <w:b/>
                      <w:bCs/>
                      <w:color w:val="auto"/>
                      <w:szCs w:val="21"/>
                      <w:highlight w:val="none"/>
                    </w:rPr>
                  </w:pPr>
                  <w:r>
                    <w:rPr>
                      <w:b/>
                      <w:bCs/>
                      <w:color w:val="auto"/>
                      <w:kern w:val="0"/>
                      <w:szCs w:val="21"/>
                      <w:highlight w:val="none"/>
                      <w:lang w:bidi="ar"/>
                    </w:rPr>
                    <w:t>排放形式</w:t>
                  </w:r>
                </w:p>
              </w:tc>
              <w:tc>
                <w:tcPr>
                  <w:tcW w:w="4387" w:type="dxa"/>
                  <w:gridSpan w:val="4"/>
                  <w:noWrap w:val="0"/>
                  <w:vAlign w:val="center"/>
                </w:tcPr>
                <w:p>
                  <w:pPr>
                    <w:widowControl/>
                    <w:jc w:val="center"/>
                    <w:textAlignment w:val="center"/>
                    <w:rPr>
                      <w:b/>
                      <w:bCs/>
                      <w:color w:val="auto"/>
                      <w:szCs w:val="21"/>
                      <w:highlight w:val="none"/>
                    </w:rPr>
                  </w:pPr>
                  <w:r>
                    <w:rPr>
                      <w:b/>
                      <w:bCs/>
                      <w:color w:val="auto"/>
                      <w:kern w:val="0"/>
                      <w:szCs w:val="21"/>
                      <w:highlight w:val="none"/>
                      <w:lang w:bidi="ar"/>
                    </w:rPr>
                    <w:t>处理设施信息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9" w:hRule="atLeast"/>
                <w:jc w:val="center"/>
              </w:trPr>
              <w:tc>
                <w:tcPr>
                  <w:tcW w:w="1147" w:type="dxa"/>
                  <w:vMerge w:val="continue"/>
                  <w:noWrap w:val="0"/>
                  <w:vAlign w:val="center"/>
                </w:tcPr>
                <w:p>
                  <w:pPr>
                    <w:jc w:val="center"/>
                    <w:rPr>
                      <w:b/>
                      <w:bCs/>
                      <w:color w:val="auto"/>
                      <w:szCs w:val="21"/>
                      <w:highlight w:val="none"/>
                    </w:rPr>
                  </w:pPr>
                </w:p>
              </w:tc>
              <w:tc>
                <w:tcPr>
                  <w:tcW w:w="1112" w:type="dxa"/>
                  <w:vMerge w:val="continue"/>
                  <w:noWrap w:val="0"/>
                  <w:vAlign w:val="center"/>
                </w:tcPr>
                <w:p>
                  <w:pPr>
                    <w:jc w:val="center"/>
                    <w:rPr>
                      <w:b/>
                      <w:bCs/>
                      <w:color w:val="auto"/>
                      <w:szCs w:val="21"/>
                      <w:highlight w:val="none"/>
                    </w:rPr>
                  </w:pPr>
                </w:p>
              </w:tc>
              <w:tc>
                <w:tcPr>
                  <w:tcW w:w="1574" w:type="dxa"/>
                  <w:vMerge w:val="continue"/>
                  <w:noWrap w:val="0"/>
                  <w:vAlign w:val="center"/>
                </w:tcPr>
                <w:p>
                  <w:pPr>
                    <w:jc w:val="center"/>
                    <w:rPr>
                      <w:b/>
                      <w:bCs/>
                      <w:color w:val="auto"/>
                      <w:szCs w:val="21"/>
                      <w:highlight w:val="none"/>
                    </w:rPr>
                  </w:pPr>
                </w:p>
              </w:tc>
              <w:tc>
                <w:tcPr>
                  <w:tcW w:w="957"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收集效率</w:t>
                  </w:r>
                </w:p>
              </w:tc>
              <w:tc>
                <w:tcPr>
                  <w:tcW w:w="1252"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治理工艺</w:t>
                  </w:r>
                </w:p>
              </w:tc>
              <w:tc>
                <w:tcPr>
                  <w:tcW w:w="1053"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处理效率</w:t>
                  </w:r>
                </w:p>
              </w:tc>
              <w:tc>
                <w:tcPr>
                  <w:tcW w:w="1125"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是否为可行技术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147" w:type="dxa"/>
                  <w:noWrap w:val="0"/>
                  <w:vAlign w:val="center"/>
                </w:tcPr>
                <w:p>
                  <w:pPr>
                    <w:widowControl/>
                    <w:jc w:val="center"/>
                    <w:textAlignment w:val="center"/>
                    <w:rPr>
                      <w:rFonts w:hint="eastAsia" w:eastAsia="宋体"/>
                      <w:color w:val="auto"/>
                      <w:szCs w:val="21"/>
                      <w:highlight w:val="none"/>
                      <w:lang w:eastAsia="zh-CN"/>
                    </w:rPr>
                  </w:pPr>
                  <w:r>
                    <w:rPr>
                      <w:rFonts w:hint="eastAsia"/>
                      <w:color w:val="auto"/>
                      <w:szCs w:val="21"/>
                      <w:highlight w:val="none"/>
                      <w:lang w:val="en-US" w:eastAsia="zh-CN"/>
                    </w:rPr>
                    <w:t>拌料</w:t>
                  </w:r>
                </w:p>
              </w:tc>
              <w:tc>
                <w:tcPr>
                  <w:tcW w:w="1112" w:type="dxa"/>
                  <w:noWrap w:val="0"/>
                  <w:vAlign w:val="center"/>
                </w:tcPr>
                <w:p>
                  <w:pPr>
                    <w:widowControl/>
                    <w:jc w:val="center"/>
                    <w:textAlignment w:val="center"/>
                    <w:rPr>
                      <w:color w:val="auto"/>
                      <w:kern w:val="0"/>
                      <w:szCs w:val="21"/>
                      <w:highlight w:val="none"/>
                      <w:lang w:bidi="ar"/>
                    </w:rPr>
                  </w:pPr>
                  <w:r>
                    <w:rPr>
                      <w:color w:val="auto"/>
                      <w:kern w:val="0"/>
                      <w:szCs w:val="21"/>
                      <w:highlight w:val="none"/>
                      <w:lang w:bidi="ar"/>
                    </w:rPr>
                    <w:t>颗粒物</w:t>
                  </w:r>
                </w:p>
              </w:tc>
              <w:tc>
                <w:tcPr>
                  <w:tcW w:w="1574" w:type="dxa"/>
                  <w:noWrap w:val="0"/>
                  <w:vAlign w:val="center"/>
                </w:tcPr>
                <w:p>
                  <w:pPr>
                    <w:widowControl/>
                    <w:jc w:val="center"/>
                    <w:textAlignment w:val="center"/>
                    <w:rPr>
                      <w:color w:val="auto"/>
                      <w:szCs w:val="21"/>
                      <w:highlight w:val="none"/>
                    </w:rPr>
                  </w:pPr>
                  <w:r>
                    <w:rPr>
                      <w:color w:val="auto"/>
                      <w:kern w:val="0"/>
                      <w:szCs w:val="21"/>
                      <w:highlight w:val="none"/>
                      <w:lang w:bidi="ar"/>
                    </w:rPr>
                    <w:t>有组织/无组织</w:t>
                  </w:r>
                </w:p>
              </w:tc>
              <w:tc>
                <w:tcPr>
                  <w:tcW w:w="957" w:type="dxa"/>
                  <w:noWrap w:val="0"/>
                  <w:vAlign w:val="center"/>
                </w:tcPr>
                <w:p>
                  <w:pPr>
                    <w:widowControl/>
                    <w:jc w:val="center"/>
                    <w:textAlignment w:val="center"/>
                    <w:rPr>
                      <w:color w:val="auto"/>
                      <w:szCs w:val="21"/>
                      <w:highlight w:val="none"/>
                    </w:rPr>
                  </w:pPr>
                  <w:r>
                    <w:rPr>
                      <w:rFonts w:hint="eastAsia"/>
                      <w:color w:val="auto"/>
                      <w:szCs w:val="21"/>
                      <w:highlight w:val="none"/>
                      <w:lang w:val="en-US" w:eastAsia="zh-CN"/>
                    </w:rPr>
                    <w:t>80</w:t>
                  </w:r>
                  <w:r>
                    <w:rPr>
                      <w:color w:val="auto"/>
                      <w:szCs w:val="21"/>
                      <w:highlight w:val="none"/>
                    </w:rPr>
                    <w:t>%</w:t>
                  </w:r>
                </w:p>
              </w:tc>
              <w:tc>
                <w:tcPr>
                  <w:tcW w:w="1252" w:type="dxa"/>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布袋除尘</w:t>
                  </w:r>
                </w:p>
              </w:tc>
              <w:tc>
                <w:tcPr>
                  <w:tcW w:w="1053" w:type="dxa"/>
                  <w:noWrap w:val="0"/>
                  <w:vAlign w:val="center"/>
                </w:tcPr>
                <w:p>
                  <w:pPr>
                    <w:widowControl/>
                    <w:jc w:val="center"/>
                    <w:textAlignment w:val="center"/>
                    <w:rPr>
                      <w:color w:val="auto"/>
                      <w:szCs w:val="21"/>
                      <w:highlight w:val="none"/>
                    </w:rPr>
                  </w:pPr>
                  <w:r>
                    <w:rPr>
                      <w:rFonts w:hint="eastAsia"/>
                      <w:color w:val="auto"/>
                      <w:kern w:val="0"/>
                      <w:szCs w:val="21"/>
                      <w:highlight w:val="none"/>
                      <w:lang w:val="en-US" w:eastAsia="zh-CN" w:bidi="ar"/>
                    </w:rPr>
                    <w:t>99</w:t>
                  </w:r>
                  <w:r>
                    <w:rPr>
                      <w:color w:val="auto"/>
                      <w:kern w:val="0"/>
                      <w:szCs w:val="21"/>
                      <w:highlight w:val="none"/>
                      <w:lang w:bidi="ar"/>
                    </w:rPr>
                    <w:t>%</w:t>
                  </w:r>
                </w:p>
              </w:tc>
              <w:tc>
                <w:tcPr>
                  <w:tcW w:w="1125" w:type="dxa"/>
                  <w:noWrap w:val="0"/>
                  <w:vAlign w:val="center"/>
                </w:tcPr>
                <w:p>
                  <w:pPr>
                    <w:widowControl/>
                    <w:jc w:val="center"/>
                    <w:textAlignment w:val="center"/>
                    <w:rPr>
                      <w:color w:val="auto"/>
                      <w:szCs w:val="21"/>
                      <w:highlight w:val="none"/>
                    </w:rPr>
                  </w:pPr>
                  <w:r>
                    <w:rPr>
                      <w:color w:val="auto"/>
                      <w:kern w:val="0"/>
                      <w:szCs w:val="21"/>
                      <w:highlight w:val="none"/>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1147" w:type="dxa"/>
                  <w:vMerge w:val="restart"/>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塑料筐挤出成型</w:t>
                  </w:r>
                </w:p>
              </w:tc>
              <w:tc>
                <w:tcPr>
                  <w:tcW w:w="1112" w:type="dxa"/>
                  <w:noWrap w:val="0"/>
                  <w:vAlign w:val="center"/>
                </w:tcPr>
                <w:p>
                  <w:pPr>
                    <w:widowControl/>
                    <w:jc w:val="center"/>
                    <w:textAlignment w:val="center"/>
                    <w:rPr>
                      <w:color w:val="auto"/>
                      <w:kern w:val="0"/>
                      <w:szCs w:val="21"/>
                      <w:highlight w:val="none"/>
                      <w:lang w:bidi="ar"/>
                    </w:rPr>
                  </w:pPr>
                  <w:r>
                    <w:rPr>
                      <w:color w:val="auto"/>
                      <w:kern w:val="0"/>
                      <w:szCs w:val="21"/>
                      <w:highlight w:val="none"/>
                      <w:lang w:bidi="ar"/>
                    </w:rPr>
                    <w:t>颗粒物</w:t>
                  </w:r>
                </w:p>
              </w:tc>
              <w:tc>
                <w:tcPr>
                  <w:tcW w:w="1574" w:type="dxa"/>
                  <w:noWrap w:val="0"/>
                  <w:vAlign w:val="center"/>
                </w:tcPr>
                <w:p>
                  <w:pPr>
                    <w:widowControl/>
                    <w:jc w:val="center"/>
                    <w:textAlignment w:val="center"/>
                    <w:rPr>
                      <w:color w:val="auto"/>
                      <w:szCs w:val="21"/>
                      <w:highlight w:val="none"/>
                    </w:rPr>
                  </w:pPr>
                  <w:r>
                    <w:rPr>
                      <w:color w:val="auto"/>
                      <w:kern w:val="0"/>
                      <w:szCs w:val="21"/>
                      <w:highlight w:val="none"/>
                      <w:lang w:bidi="ar"/>
                    </w:rPr>
                    <w:t>有组织/无组织</w:t>
                  </w:r>
                </w:p>
              </w:tc>
              <w:tc>
                <w:tcPr>
                  <w:tcW w:w="957" w:type="dxa"/>
                  <w:noWrap w:val="0"/>
                  <w:vAlign w:val="center"/>
                </w:tcPr>
                <w:p>
                  <w:pPr>
                    <w:widowControl/>
                    <w:jc w:val="center"/>
                    <w:textAlignment w:val="center"/>
                    <w:rPr>
                      <w:color w:val="auto"/>
                      <w:szCs w:val="21"/>
                      <w:highlight w:val="none"/>
                    </w:rPr>
                  </w:pPr>
                  <w:r>
                    <w:rPr>
                      <w:rFonts w:hint="eastAsia"/>
                      <w:color w:val="auto"/>
                      <w:szCs w:val="21"/>
                      <w:highlight w:val="none"/>
                      <w:lang w:val="en-US" w:eastAsia="zh-CN"/>
                    </w:rPr>
                    <w:t>80</w:t>
                  </w:r>
                  <w:r>
                    <w:rPr>
                      <w:color w:val="auto"/>
                      <w:szCs w:val="21"/>
                      <w:highlight w:val="none"/>
                    </w:rPr>
                    <w:t>%</w:t>
                  </w:r>
                </w:p>
              </w:tc>
              <w:tc>
                <w:tcPr>
                  <w:tcW w:w="1252" w:type="dxa"/>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过滤棉过滤</w:t>
                  </w:r>
                </w:p>
              </w:tc>
              <w:tc>
                <w:tcPr>
                  <w:tcW w:w="1053" w:type="dxa"/>
                  <w:noWrap w:val="0"/>
                  <w:vAlign w:val="center"/>
                </w:tcPr>
                <w:p>
                  <w:pPr>
                    <w:widowControl/>
                    <w:jc w:val="center"/>
                    <w:textAlignment w:val="center"/>
                    <w:rPr>
                      <w:color w:val="auto"/>
                      <w:szCs w:val="21"/>
                      <w:highlight w:val="none"/>
                    </w:rPr>
                  </w:pPr>
                  <w:r>
                    <w:rPr>
                      <w:color w:val="auto"/>
                      <w:szCs w:val="21"/>
                      <w:highlight w:val="none"/>
                    </w:rPr>
                    <w:t>9</w:t>
                  </w:r>
                  <w:r>
                    <w:rPr>
                      <w:rFonts w:hint="eastAsia"/>
                      <w:color w:val="auto"/>
                      <w:szCs w:val="21"/>
                      <w:highlight w:val="none"/>
                      <w:lang w:val="en-US" w:eastAsia="zh-CN"/>
                    </w:rPr>
                    <w:t>9</w:t>
                  </w:r>
                  <w:r>
                    <w:rPr>
                      <w:color w:val="auto"/>
                      <w:szCs w:val="21"/>
                      <w:highlight w:val="none"/>
                    </w:rPr>
                    <w:t>%</w:t>
                  </w:r>
                </w:p>
              </w:tc>
              <w:tc>
                <w:tcPr>
                  <w:tcW w:w="1125" w:type="dxa"/>
                  <w:noWrap w:val="0"/>
                  <w:vAlign w:val="center"/>
                </w:tcPr>
                <w:p>
                  <w:pPr>
                    <w:widowControl/>
                    <w:jc w:val="center"/>
                    <w:textAlignment w:val="center"/>
                    <w:rPr>
                      <w:color w:val="auto"/>
                      <w:szCs w:val="21"/>
                      <w:highlight w:val="none"/>
                    </w:rPr>
                  </w:pPr>
                  <w:r>
                    <w:rPr>
                      <w:color w:val="auto"/>
                      <w:kern w:val="0"/>
                      <w:szCs w:val="21"/>
                      <w:highlight w:val="none"/>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1147" w:type="dxa"/>
                  <w:vMerge w:val="continue"/>
                  <w:noWrap w:val="0"/>
                  <w:vAlign w:val="center"/>
                </w:tcPr>
                <w:p>
                  <w:pPr>
                    <w:widowControl/>
                    <w:jc w:val="center"/>
                    <w:textAlignment w:val="center"/>
                    <w:rPr>
                      <w:rFonts w:hint="eastAsia"/>
                      <w:color w:val="auto"/>
                      <w:szCs w:val="21"/>
                      <w:highlight w:val="none"/>
                      <w:lang w:val="en-US" w:eastAsia="zh-CN"/>
                    </w:rPr>
                  </w:pPr>
                </w:p>
              </w:tc>
              <w:tc>
                <w:tcPr>
                  <w:tcW w:w="1112" w:type="dxa"/>
                  <w:noWrap w:val="0"/>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非甲烷总烃</w:t>
                  </w:r>
                </w:p>
              </w:tc>
              <w:tc>
                <w:tcPr>
                  <w:tcW w:w="1574" w:type="dxa"/>
                  <w:noWrap w:val="0"/>
                  <w:vAlign w:val="center"/>
                </w:tcPr>
                <w:p>
                  <w:pPr>
                    <w:widowControl/>
                    <w:jc w:val="center"/>
                    <w:textAlignment w:val="center"/>
                    <w:rPr>
                      <w:color w:val="auto"/>
                      <w:kern w:val="0"/>
                      <w:szCs w:val="21"/>
                      <w:highlight w:val="none"/>
                      <w:lang w:bidi="ar"/>
                    </w:rPr>
                  </w:pPr>
                  <w:r>
                    <w:rPr>
                      <w:color w:val="auto"/>
                      <w:kern w:val="0"/>
                      <w:szCs w:val="21"/>
                      <w:highlight w:val="none"/>
                      <w:lang w:bidi="ar"/>
                    </w:rPr>
                    <w:t>有组织/无组织</w:t>
                  </w:r>
                </w:p>
              </w:tc>
              <w:tc>
                <w:tcPr>
                  <w:tcW w:w="957" w:type="dxa"/>
                  <w:noWrap w:val="0"/>
                  <w:vAlign w:val="center"/>
                </w:tcPr>
                <w:p>
                  <w:pPr>
                    <w:widowControl/>
                    <w:jc w:val="center"/>
                    <w:textAlignment w:val="center"/>
                    <w:rPr>
                      <w:color w:val="auto"/>
                      <w:szCs w:val="21"/>
                      <w:highlight w:val="none"/>
                    </w:rPr>
                  </w:pPr>
                  <w:r>
                    <w:rPr>
                      <w:rFonts w:hint="eastAsia"/>
                      <w:color w:val="auto"/>
                      <w:szCs w:val="21"/>
                      <w:highlight w:val="none"/>
                      <w:lang w:val="en-US" w:eastAsia="zh-CN"/>
                    </w:rPr>
                    <w:t>80</w:t>
                  </w:r>
                  <w:r>
                    <w:rPr>
                      <w:color w:val="auto"/>
                      <w:szCs w:val="21"/>
                      <w:highlight w:val="none"/>
                    </w:rPr>
                    <w:t>%</w:t>
                  </w:r>
                </w:p>
              </w:tc>
              <w:tc>
                <w:tcPr>
                  <w:tcW w:w="1252" w:type="dxa"/>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活性炭吸附</w:t>
                  </w:r>
                </w:p>
              </w:tc>
              <w:tc>
                <w:tcPr>
                  <w:tcW w:w="1053" w:type="dxa"/>
                  <w:noWrap w:val="0"/>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50%</w:t>
                  </w:r>
                </w:p>
              </w:tc>
              <w:tc>
                <w:tcPr>
                  <w:tcW w:w="1125" w:type="dxa"/>
                  <w:noWrap w:val="0"/>
                  <w:vAlign w:val="center"/>
                </w:tcPr>
                <w:p>
                  <w:pPr>
                    <w:widowControl/>
                    <w:jc w:val="center"/>
                    <w:textAlignment w:val="center"/>
                    <w:rPr>
                      <w:color w:val="auto"/>
                      <w:kern w:val="0"/>
                      <w:szCs w:val="21"/>
                      <w:highlight w:val="none"/>
                      <w:lang w:bidi="ar"/>
                    </w:rPr>
                  </w:pPr>
                  <w:r>
                    <w:rPr>
                      <w:color w:val="auto"/>
                      <w:kern w:val="0"/>
                      <w:szCs w:val="21"/>
                      <w:highlight w:val="none"/>
                      <w:lang w:bidi="ar"/>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6" w:hRule="atLeast"/>
                <w:jc w:val="center"/>
              </w:trPr>
              <w:tc>
                <w:tcPr>
                  <w:tcW w:w="1147" w:type="dxa"/>
                  <w:noWrap w:val="0"/>
                  <w:vAlign w:val="center"/>
                </w:tcPr>
                <w:p>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废塑料热熔造粒</w:t>
                  </w:r>
                </w:p>
              </w:tc>
              <w:tc>
                <w:tcPr>
                  <w:tcW w:w="1112" w:type="dxa"/>
                  <w:noWrap w:val="0"/>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非甲烷总烃</w:t>
                  </w:r>
                </w:p>
              </w:tc>
              <w:tc>
                <w:tcPr>
                  <w:tcW w:w="1574" w:type="dxa"/>
                  <w:noWrap w:val="0"/>
                  <w:vAlign w:val="center"/>
                </w:tcPr>
                <w:p>
                  <w:pPr>
                    <w:widowControl/>
                    <w:jc w:val="center"/>
                    <w:textAlignment w:val="center"/>
                    <w:rPr>
                      <w:color w:val="auto"/>
                      <w:kern w:val="0"/>
                      <w:szCs w:val="21"/>
                      <w:highlight w:val="none"/>
                      <w:lang w:bidi="ar"/>
                    </w:rPr>
                  </w:pPr>
                  <w:r>
                    <w:rPr>
                      <w:color w:val="auto"/>
                      <w:kern w:val="0"/>
                      <w:szCs w:val="21"/>
                      <w:highlight w:val="none"/>
                      <w:lang w:bidi="ar"/>
                    </w:rPr>
                    <w:t>有组织/无组织</w:t>
                  </w:r>
                </w:p>
              </w:tc>
              <w:tc>
                <w:tcPr>
                  <w:tcW w:w="957" w:type="dxa"/>
                  <w:noWrap w:val="0"/>
                  <w:vAlign w:val="center"/>
                </w:tcPr>
                <w:p>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80</w:t>
                  </w:r>
                  <w:r>
                    <w:rPr>
                      <w:color w:val="auto"/>
                      <w:szCs w:val="21"/>
                      <w:highlight w:val="none"/>
                    </w:rPr>
                    <w:t>%</w:t>
                  </w:r>
                </w:p>
              </w:tc>
              <w:tc>
                <w:tcPr>
                  <w:tcW w:w="1252" w:type="dxa"/>
                  <w:noWrap w:val="0"/>
                  <w:vAlign w:val="center"/>
                </w:tcPr>
                <w:p>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活性炭吸附</w:t>
                  </w:r>
                </w:p>
              </w:tc>
              <w:tc>
                <w:tcPr>
                  <w:tcW w:w="1053" w:type="dxa"/>
                  <w:noWrap w:val="0"/>
                  <w:vAlign w:val="center"/>
                </w:tcPr>
                <w:p>
                  <w:pPr>
                    <w:widowControl/>
                    <w:jc w:val="center"/>
                    <w:textAlignment w:val="center"/>
                    <w:rPr>
                      <w:rFonts w:hint="eastAsia"/>
                      <w:color w:val="auto"/>
                      <w:szCs w:val="21"/>
                      <w:highlight w:val="none"/>
                      <w:lang w:val="en-US" w:eastAsia="zh-CN"/>
                    </w:rPr>
                  </w:pPr>
                  <w:r>
                    <w:rPr>
                      <w:rFonts w:hint="eastAsia"/>
                      <w:color w:val="auto"/>
                      <w:szCs w:val="21"/>
                      <w:highlight w:val="none"/>
                      <w:lang w:val="en-US" w:eastAsia="zh-CN"/>
                    </w:rPr>
                    <w:t>50%</w:t>
                  </w:r>
                </w:p>
              </w:tc>
              <w:tc>
                <w:tcPr>
                  <w:tcW w:w="1125" w:type="dxa"/>
                  <w:noWrap w:val="0"/>
                  <w:vAlign w:val="center"/>
                </w:tcPr>
                <w:p>
                  <w:pPr>
                    <w:widowControl/>
                    <w:jc w:val="center"/>
                    <w:textAlignment w:val="center"/>
                    <w:rPr>
                      <w:color w:val="auto"/>
                      <w:kern w:val="0"/>
                      <w:szCs w:val="21"/>
                      <w:highlight w:val="none"/>
                      <w:lang w:bidi="ar"/>
                    </w:rPr>
                  </w:pPr>
                  <w:r>
                    <w:rPr>
                      <w:color w:val="auto"/>
                      <w:kern w:val="0"/>
                      <w:szCs w:val="21"/>
                      <w:highlight w:val="none"/>
                      <w:lang w:bidi="ar"/>
                    </w:rPr>
                    <w:t>是</w:t>
                  </w:r>
                </w:p>
              </w:tc>
            </w:tr>
          </w:tbl>
          <w:p>
            <w:pPr>
              <w:adjustRightInd w:val="0"/>
              <w:snapToGrid w:val="0"/>
              <w:rPr>
                <w:bCs/>
                <w:spacing w:val="-10"/>
                <w:szCs w:val="21"/>
              </w:rPr>
            </w:pPr>
          </w:p>
          <w:p>
            <w:pPr>
              <w:pStyle w:val="2"/>
              <w:rPr>
                <w:bCs/>
                <w:spacing w:val="-10"/>
                <w:szCs w:val="21"/>
              </w:rPr>
            </w:pPr>
          </w:p>
          <w:p>
            <w:pPr>
              <w:rPr>
                <w:bCs/>
                <w:spacing w:val="-10"/>
                <w:szCs w:val="21"/>
              </w:rPr>
            </w:pPr>
          </w:p>
          <w:p>
            <w:pPr>
              <w:pStyle w:val="2"/>
              <w:rPr>
                <w:bCs/>
                <w:spacing w:val="-10"/>
                <w:szCs w:val="21"/>
              </w:rPr>
            </w:pPr>
          </w:p>
          <w:p>
            <w:pPr>
              <w:rPr>
                <w:bCs/>
                <w:spacing w:val="-10"/>
                <w:szCs w:val="21"/>
              </w:rPr>
            </w:pPr>
          </w:p>
          <w:p>
            <w:pPr>
              <w:pStyle w:val="2"/>
            </w:pPr>
          </w:p>
        </w:tc>
      </w:tr>
    </w:tbl>
    <w:p>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before="313" w:beforeLines="100" w:line="420" w:lineRule="auto"/>
        <w:ind w:firstLine="511" w:firstLineChars="212"/>
        <w:textAlignment w:val="auto"/>
        <w:rPr>
          <w:b/>
          <w:bCs/>
          <w:snapToGrid w:val="0"/>
          <w:color w:val="auto"/>
          <w:kern w:val="0"/>
          <w:sz w:val="24"/>
          <w:szCs w:val="22"/>
          <w:highlight w:val="none"/>
        </w:rPr>
      </w:pPr>
      <w:r>
        <w:rPr>
          <w:b/>
          <w:bCs/>
          <w:snapToGrid w:val="0"/>
          <w:color w:val="auto"/>
          <w:kern w:val="0"/>
          <w:sz w:val="24"/>
          <w:szCs w:val="22"/>
          <w:highlight w:val="none"/>
        </w:rPr>
        <w:t>（</w:t>
      </w:r>
      <w:r>
        <w:rPr>
          <w:rFonts w:hint="eastAsia"/>
          <w:b/>
          <w:bCs/>
          <w:snapToGrid w:val="0"/>
          <w:color w:val="auto"/>
          <w:kern w:val="0"/>
          <w:sz w:val="24"/>
          <w:szCs w:val="22"/>
          <w:highlight w:val="none"/>
          <w:lang w:val="en-US" w:eastAsia="zh-CN"/>
        </w:rPr>
        <w:t>2</w:t>
      </w:r>
      <w:r>
        <w:rPr>
          <w:b/>
          <w:bCs/>
          <w:snapToGrid w:val="0"/>
          <w:color w:val="auto"/>
          <w:kern w:val="0"/>
          <w:sz w:val="24"/>
          <w:szCs w:val="22"/>
          <w:highlight w:val="none"/>
        </w:rPr>
        <w:t>）废气排放汇总</w:t>
      </w:r>
    </w:p>
    <w:p>
      <w:pPr>
        <w:spacing w:line="420" w:lineRule="auto"/>
        <w:ind w:firstLine="482" w:firstLineChars="200"/>
        <w:rPr>
          <w:rFonts w:hint="default" w:ascii="Times New Roman" w:hAnsi="Times New Roman"/>
          <w:color w:val="auto"/>
          <w:highlight w:val="none"/>
        </w:rPr>
      </w:pPr>
      <w:r>
        <w:rPr>
          <w:b/>
          <w:bCs/>
          <w:color w:val="auto"/>
          <w:kern w:val="0"/>
          <w:sz w:val="24"/>
          <w:szCs w:val="20"/>
          <w:highlight w:val="none"/>
        </w:rPr>
        <w:t>①正常工况</w:t>
      </w:r>
    </w:p>
    <w:p>
      <w:pPr>
        <w:pStyle w:val="60"/>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10</w:t>
      </w:r>
      <w:r>
        <w:rPr>
          <w:rFonts w:hint="default" w:ascii="Times New Roman" w:hAnsi="Times New Roman"/>
          <w:color w:val="auto"/>
          <w:highlight w:val="none"/>
        </w:rPr>
        <w:t xml:space="preserve"> 废气污染源排放信息表（正常</w:t>
      </w:r>
      <w:r>
        <w:rPr>
          <w:rFonts w:hint="eastAsia" w:ascii="Times New Roman" w:hAnsi="Times New Roman"/>
          <w:color w:val="auto"/>
          <w:highlight w:val="none"/>
          <w:lang w:eastAsia="zh-CN"/>
        </w:rPr>
        <w:t>工</w:t>
      </w:r>
      <w:r>
        <w:rPr>
          <w:rFonts w:hint="default" w:ascii="Times New Roman" w:hAnsi="Times New Roman"/>
          <w:color w:val="auto"/>
          <w:highlight w:val="none"/>
        </w:rPr>
        <w:t>况）</w:t>
      </w:r>
    </w:p>
    <w:tbl>
      <w:tblPr>
        <w:tblStyle w:val="24"/>
        <w:tblW w:w="1383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7"/>
        <w:gridCol w:w="1032"/>
        <w:gridCol w:w="1177"/>
        <w:gridCol w:w="603"/>
        <w:gridCol w:w="783"/>
        <w:gridCol w:w="1080"/>
        <w:gridCol w:w="1006"/>
        <w:gridCol w:w="1108"/>
        <w:gridCol w:w="1077"/>
        <w:gridCol w:w="1189"/>
        <w:gridCol w:w="1056"/>
        <w:gridCol w:w="1190"/>
        <w:gridCol w:w="1061"/>
        <w:gridCol w:w="8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647" w:type="dxa"/>
            <w:vMerge w:val="restart"/>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排放类型</w:t>
            </w:r>
          </w:p>
        </w:tc>
        <w:tc>
          <w:tcPr>
            <w:tcW w:w="1032" w:type="dxa"/>
            <w:vMerge w:val="restart"/>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污染源</w:t>
            </w:r>
          </w:p>
        </w:tc>
        <w:tc>
          <w:tcPr>
            <w:tcW w:w="1177" w:type="dxa"/>
            <w:vMerge w:val="restart"/>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污染物种类</w:t>
            </w:r>
          </w:p>
        </w:tc>
        <w:tc>
          <w:tcPr>
            <w:tcW w:w="5657" w:type="dxa"/>
            <w:gridSpan w:val="6"/>
            <w:noWrap w:val="0"/>
            <w:vAlign w:val="center"/>
          </w:tcPr>
          <w:p>
            <w:pPr>
              <w:widowControl/>
              <w:jc w:val="center"/>
              <w:textAlignment w:val="center"/>
              <w:rPr>
                <w:b/>
                <w:bCs/>
                <w:color w:val="auto"/>
                <w:kern w:val="0"/>
                <w:sz w:val="21"/>
                <w:szCs w:val="21"/>
                <w:highlight w:val="none"/>
                <w:lang w:bidi="ar"/>
              </w:rPr>
            </w:pPr>
            <w:r>
              <w:rPr>
                <w:b/>
                <w:bCs/>
                <w:color w:val="auto"/>
                <w:kern w:val="0"/>
                <w:sz w:val="21"/>
                <w:szCs w:val="21"/>
                <w:highlight w:val="none"/>
                <w:lang w:bidi="ar"/>
              </w:rPr>
              <w:t>排放口信息</w:t>
            </w:r>
          </w:p>
        </w:tc>
        <w:tc>
          <w:tcPr>
            <w:tcW w:w="3435" w:type="dxa"/>
            <w:gridSpan w:val="3"/>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排放情况</w:t>
            </w:r>
          </w:p>
        </w:tc>
        <w:tc>
          <w:tcPr>
            <w:tcW w:w="1889" w:type="dxa"/>
            <w:gridSpan w:val="2"/>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47" w:type="dxa"/>
            <w:vMerge w:val="continue"/>
            <w:noWrap w:val="0"/>
            <w:vAlign w:val="center"/>
          </w:tcPr>
          <w:p>
            <w:pPr>
              <w:jc w:val="center"/>
              <w:rPr>
                <w:b/>
                <w:bCs/>
                <w:color w:val="auto"/>
                <w:sz w:val="21"/>
                <w:szCs w:val="21"/>
                <w:highlight w:val="none"/>
              </w:rPr>
            </w:pPr>
          </w:p>
        </w:tc>
        <w:tc>
          <w:tcPr>
            <w:tcW w:w="1032" w:type="dxa"/>
            <w:vMerge w:val="continue"/>
            <w:noWrap w:val="0"/>
            <w:vAlign w:val="center"/>
          </w:tcPr>
          <w:p>
            <w:pPr>
              <w:jc w:val="center"/>
              <w:rPr>
                <w:b/>
                <w:bCs/>
                <w:color w:val="auto"/>
                <w:sz w:val="21"/>
                <w:szCs w:val="21"/>
                <w:highlight w:val="none"/>
              </w:rPr>
            </w:pPr>
          </w:p>
        </w:tc>
        <w:tc>
          <w:tcPr>
            <w:tcW w:w="1177" w:type="dxa"/>
            <w:vMerge w:val="continue"/>
            <w:noWrap w:val="0"/>
            <w:vAlign w:val="center"/>
          </w:tcPr>
          <w:p>
            <w:pPr>
              <w:jc w:val="center"/>
              <w:rPr>
                <w:b/>
                <w:bCs/>
                <w:color w:val="auto"/>
                <w:sz w:val="21"/>
                <w:szCs w:val="21"/>
                <w:highlight w:val="none"/>
              </w:rPr>
            </w:pPr>
          </w:p>
        </w:tc>
        <w:tc>
          <w:tcPr>
            <w:tcW w:w="603"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高度</w:t>
            </w:r>
          </w:p>
        </w:tc>
        <w:tc>
          <w:tcPr>
            <w:tcW w:w="783"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温度</w:t>
            </w:r>
          </w:p>
        </w:tc>
        <w:tc>
          <w:tcPr>
            <w:tcW w:w="1080"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内径（m）</w:t>
            </w:r>
          </w:p>
        </w:tc>
        <w:tc>
          <w:tcPr>
            <w:tcW w:w="1006"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排放时间（h）</w:t>
            </w:r>
          </w:p>
        </w:tc>
        <w:tc>
          <w:tcPr>
            <w:tcW w:w="1108"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编号</w:t>
            </w:r>
          </w:p>
        </w:tc>
        <w:tc>
          <w:tcPr>
            <w:tcW w:w="1077"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类型</w:t>
            </w:r>
          </w:p>
        </w:tc>
        <w:tc>
          <w:tcPr>
            <w:tcW w:w="1189"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浓度mg/m</w:t>
            </w:r>
            <w:r>
              <w:rPr>
                <w:rStyle w:val="49"/>
                <w:color w:val="auto"/>
                <w:sz w:val="21"/>
                <w:szCs w:val="21"/>
                <w:highlight w:val="none"/>
                <w:lang w:bidi="ar"/>
              </w:rPr>
              <w:t>3</w:t>
            </w:r>
          </w:p>
        </w:tc>
        <w:tc>
          <w:tcPr>
            <w:tcW w:w="1056"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速率kg/h</w:t>
            </w:r>
          </w:p>
        </w:tc>
        <w:tc>
          <w:tcPr>
            <w:tcW w:w="1190"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排放量（t/a）</w:t>
            </w:r>
          </w:p>
        </w:tc>
        <w:tc>
          <w:tcPr>
            <w:tcW w:w="1061"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浓度mg/m</w:t>
            </w:r>
            <w:r>
              <w:rPr>
                <w:rStyle w:val="49"/>
                <w:color w:val="auto"/>
                <w:sz w:val="21"/>
                <w:szCs w:val="21"/>
                <w:highlight w:val="none"/>
                <w:lang w:bidi="ar"/>
              </w:rPr>
              <w:t>3</w:t>
            </w:r>
          </w:p>
        </w:tc>
        <w:tc>
          <w:tcPr>
            <w:tcW w:w="828" w:type="dxa"/>
            <w:noWrap w:val="0"/>
            <w:vAlign w:val="center"/>
          </w:tcPr>
          <w:p>
            <w:pPr>
              <w:widowControl/>
              <w:jc w:val="center"/>
              <w:textAlignment w:val="center"/>
              <w:rPr>
                <w:b/>
                <w:bCs/>
                <w:color w:val="auto"/>
                <w:sz w:val="21"/>
                <w:szCs w:val="21"/>
                <w:highlight w:val="none"/>
              </w:rPr>
            </w:pPr>
            <w:r>
              <w:rPr>
                <w:b/>
                <w:bCs/>
                <w:color w:val="auto"/>
                <w:kern w:val="0"/>
                <w:sz w:val="21"/>
                <w:szCs w:val="21"/>
                <w:highlight w:val="none"/>
                <w:lang w:bidi="ar"/>
              </w:rPr>
              <w:t>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4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有组织</w:t>
            </w:r>
          </w:p>
        </w:tc>
        <w:tc>
          <w:tcPr>
            <w:tcW w:w="1032"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拌料</w:t>
            </w:r>
          </w:p>
        </w:tc>
        <w:tc>
          <w:tcPr>
            <w:tcW w:w="1177" w:type="dxa"/>
            <w:noWrap w:val="0"/>
            <w:vAlign w:val="center"/>
          </w:tcPr>
          <w:p>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颗粒物</w:t>
            </w:r>
          </w:p>
        </w:tc>
        <w:tc>
          <w:tcPr>
            <w:tcW w:w="603"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3" w:type="dxa"/>
            <w:noWrap w:val="0"/>
            <w:vAlign w:val="center"/>
          </w:tcPr>
          <w:p>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常温</w:t>
            </w:r>
          </w:p>
        </w:tc>
        <w:tc>
          <w:tcPr>
            <w:tcW w:w="1080"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06"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4800</w:t>
            </w:r>
          </w:p>
        </w:tc>
        <w:tc>
          <w:tcPr>
            <w:tcW w:w="1108"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DA001</w:t>
            </w:r>
          </w:p>
        </w:tc>
        <w:tc>
          <w:tcPr>
            <w:tcW w:w="1077" w:type="dxa"/>
            <w:noWrap w:val="0"/>
            <w:vAlign w:val="center"/>
          </w:tcPr>
          <w:p>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iCs w:val="0"/>
                <w:color w:val="000000"/>
                <w:kern w:val="0"/>
                <w:sz w:val="21"/>
                <w:szCs w:val="21"/>
                <w:u w:val="none"/>
                <w:lang w:val="en-US" w:eastAsia="zh-CN" w:bidi="ar"/>
              </w:rPr>
              <w:t>一般排放口</w:t>
            </w:r>
          </w:p>
        </w:tc>
        <w:tc>
          <w:tcPr>
            <w:tcW w:w="1189"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5.0000 </w:t>
            </w:r>
          </w:p>
        </w:tc>
        <w:tc>
          <w:tcPr>
            <w:tcW w:w="1056"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0.0350 </w:t>
            </w:r>
          </w:p>
        </w:tc>
        <w:tc>
          <w:tcPr>
            <w:tcW w:w="1190" w:type="dxa"/>
            <w:noWrap w:val="0"/>
            <w:vAlign w:val="center"/>
          </w:tcPr>
          <w:p>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0.1680 </w:t>
            </w:r>
          </w:p>
        </w:tc>
        <w:tc>
          <w:tcPr>
            <w:tcW w:w="1061" w:type="dxa"/>
            <w:noWrap w:val="0"/>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120</w:t>
            </w:r>
          </w:p>
        </w:tc>
        <w:tc>
          <w:tcPr>
            <w:tcW w:w="828" w:type="dxa"/>
            <w:noWrap w:val="0"/>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647" w:type="dxa"/>
            <w:vMerge w:val="continue"/>
            <w:noWrap w:val="0"/>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1032" w:type="dxa"/>
            <w:vMerge w:val="restar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塑料筐挤出成型</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0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常温</w:t>
            </w:r>
          </w:p>
        </w:tc>
        <w:tc>
          <w:tcPr>
            <w:tcW w:w="1080" w:type="dxa"/>
            <w:vMerge w:val="restart"/>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006" w:type="dxa"/>
            <w:vMerge w:val="restart"/>
            <w:noWrap w:val="0"/>
            <w:vAlign w:val="center"/>
          </w:tcPr>
          <w:p>
            <w:pPr>
              <w:keepNext w:val="0"/>
              <w:keepLines w:val="0"/>
              <w:widowControl/>
              <w:suppressLineNumbers w:val="0"/>
              <w:jc w:val="center"/>
              <w:textAlignment w:val="center"/>
              <w:rPr>
                <w:rFonts w:hint="eastAsia"/>
                <w:color w:val="auto"/>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4800</w:t>
            </w:r>
          </w:p>
        </w:tc>
        <w:tc>
          <w:tcPr>
            <w:tcW w:w="1108" w:type="dxa"/>
            <w:vMerge w:val="restart"/>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DA002</w:t>
            </w:r>
          </w:p>
        </w:tc>
        <w:tc>
          <w:tcPr>
            <w:tcW w:w="1077" w:type="dxa"/>
            <w:vMerge w:val="restart"/>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一般排放口</w:t>
            </w:r>
          </w:p>
        </w:tc>
        <w:tc>
          <w:tcPr>
            <w:tcW w:w="11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20.8333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0.1875 </w:t>
            </w:r>
          </w:p>
        </w:tc>
        <w:tc>
          <w:tcPr>
            <w:tcW w:w="1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0.9000 </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60</w:t>
            </w:r>
          </w:p>
        </w:tc>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647" w:type="dxa"/>
            <w:vMerge w:val="continue"/>
            <w:noWrap w:val="0"/>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1032" w:type="dxa"/>
            <w:vMerge w:val="continue"/>
            <w:noWrap w:val="0"/>
            <w:vAlign w:val="center"/>
          </w:tcPr>
          <w:p>
            <w:pPr>
              <w:jc w:val="center"/>
              <w:rPr>
                <w:rFonts w:hint="default" w:ascii="宋体" w:hAnsi="宋体" w:eastAsia="宋体" w:cs="宋体"/>
                <w:i w:val="0"/>
                <w:iCs w:val="0"/>
                <w:color w:val="000000"/>
                <w:kern w:val="0"/>
                <w:sz w:val="21"/>
                <w:szCs w:val="21"/>
                <w:u w:val="none"/>
                <w:lang w:val="en-US" w:eastAsia="zh-CN" w:bidi="ar"/>
              </w:rPr>
            </w:pPr>
          </w:p>
        </w:tc>
        <w:tc>
          <w:tcPr>
            <w:tcW w:w="117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FF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603"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3"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常温</w:t>
            </w:r>
          </w:p>
        </w:tc>
        <w:tc>
          <w:tcPr>
            <w:tcW w:w="1080" w:type="dxa"/>
            <w:vMerge w:val="continue"/>
            <w:noWrap w:val="0"/>
            <w:vAlign w:val="center"/>
          </w:tcPr>
          <w:p>
            <w:pPr>
              <w:jc w:val="center"/>
              <w:rPr>
                <w:color w:val="FF0000"/>
                <w:kern w:val="0"/>
                <w:sz w:val="21"/>
                <w:szCs w:val="21"/>
                <w:highlight w:val="none"/>
                <w:lang w:bidi="ar"/>
              </w:rPr>
            </w:pPr>
          </w:p>
        </w:tc>
        <w:tc>
          <w:tcPr>
            <w:tcW w:w="1006" w:type="dxa"/>
            <w:vMerge w:val="continue"/>
            <w:noWrap w:val="0"/>
            <w:vAlign w:val="center"/>
          </w:tcPr>
          <w:p>
            <w:pPr>
              <w:jc w:val="center"/>
              <w:rPr>
                <w:color w:val="FF0000"/>
                <w:kern w:val="0"/>
                <w:sz w:val="21"/>
                <w:szCs w:val="21"/>
                <w:highlight w:val="none"/>
                <w:lang w:bidi="ar"/>
              </w:rPr>
            </w:pPr>
          </w:p>
        </w:tc>
        <w:tc>
          <w:tcPr>
            <w:tcW w:w="1108" w:type="dxa"/>
            <w:vMerge w:val="continue"/>
            <w:noWrap w:val="0"/>
            <w:vAlign w:val="center"/>
          </w:tcPr>
          <w:p>
            <w:pPr>
              <w:jc w:val="center"/>
              <w:rPr>
                <w:color w:val="FF0000"/>
                <w:kern w:val="0"/>
                <w:sz w:val="21"/>
                <w:szCs w:val="21"/>
                <w:highlight w:val="none"/>
                <w:lang w:bidi="ar"/>
              </w:rPr>
            </w:pPr>
          </w:p>
        </w:tc>
        <w:tc>
          <w:tcPr>
            <w:tcW w:w="1077" w:type="dxa"/>
            <w:vMerge w:val="continue"/>
            <w:noWrap w:val="0"/>
            <w:vAlign w:val="center"/>
          </w:tcPr>
          <w:p>
            <w:pPr>
              <w:jc w:val="center"/>
              <w:rPr>
                <w:color w:val="FF0000"/>
                <w:kern w:val="0"/>
                <w:sz w:val="21"/>
                <w:szCs w:val="21"/>
                <w:highlight w:val="none"/>
                <w:lang w:bidi="ar"/>
              </w:rPr>
            </w:pPr>
          </w:p>
        </w:tc>
        <w:tc>
          <w:tcPr>
            <w:tcW w:w="11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0.1333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0.0012 </w:t>
            </w:r>
          </w:p>
        </w:tc>
        <w:tc>
          <w:tcPr>
            <w:tcW w:w="1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0.0058 </w:t>
            </w:r>
          </w:p>
        </w:tc>
        <w:tc>
          <w:tcPr>
            <w:tcW w:w="1061" w:type="dxa"/>
            <w:noWrap w:val="0"/>
            <w:vAlign w:val="center"/>
          </w:tcPr>
          <w:p>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w:t>
            </w:r>
          </w:p>
        </w:tc>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47" w:type="dxa"/>
            <w:vMerge w:val="continue"/>
            <w:noWrap w:val="0"/>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1032"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塑料造粒</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03"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3"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常温</w:t>
            </w:r>
          </w:p>
        </w:tc>
        <w:tc>
          <w:tcPr>
            <w:tcW w:w="1080"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1006"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4800</w:t>
            </w:r>
          </w:p>
        </w:tc>
        <w:tc>
          <w:tcPr>
            <w:tcW w:w="1108"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DA003</w:t>
            </w:r>
          </w:p>
        </w:tc>
        <w:tc>
          <w:tcPr>
            <w:tcW w:w="1077"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一般排放口</w:t>
            </w:r>
          </w:p>
        </w:tc>
        <w:tc>
          <w:tcPr>
            <w:tcW w:w="11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25.0772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0.1517 </w:t>
            </w:r>
          </w:p>
        </w:tc>
        <w:tc>
          <w:tcPr>
            <w:tcW w:w="1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0.7280 </w:t>
            </w:r>
          </w:p>
        </w:tc>
        <w:tc>
          <w:tcPr>
            <w:tcW w:w="1061" w:type="dxa"/>
            <w:noWrap w:val="0"/>
            <w:vAlign w:val="center"/>
          </w:tcPr>
          <w:p>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60</w:t>
            </w:r>
          </w:p>
        </w:tc>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64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无组织排放</w:t>
            </w:r>
          </w:p>
        </w:tc>
        <w:tc>
          <w:tcPr>
            <w:tcW w:w="1032" w:type="dxa"/>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塑料造粒</w:t>
            </w:r>
          </w:p>
        </w:tc>
        <w:tc>
          <w:tcPr>
            <w:tcW w:w="11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03"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3"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w:t>
            </w:r>
          </w:p>
        </w:tc>
        <w:tc>
          <w:tcPr>
            <w:tcW w:w="1080"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6"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4800</w:t>
            </w:r>
          </w:p>
        </w:tc>
        <w:tc>
          <w:tcPr>
            <w:tcW w:w="1108"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77" w:type="dxa"/>
            <w:noWrap w:val="0"/>
            <w:vAlign w:val="center"/>
          </w:tcPr>
          <w:p>
            <w:pPr>
              <w:keepNext w:val="0"/>
              <w:keepLines w:val="0"/>
              <w:widowControl/>
              <w:suppressLineNumbers w:val="0"/>
              <w:jc w:val="center"/>
              <w:textAlignment w:val="center"/>
              <w:rPr>
                <w:color w:val="FF0000"/>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w:t>
            </w:r>
          </w:p>
        </w:tc>
        <w:tc>
          <w:tcPr>
            <w:tcW w:w="11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0.0758 </w:t>
            </w:r>
          </w:p>
        </w:tc>
        <w:tc>
          <w:tcPr>
            <w:tcW w:w="1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0.3640 </w:t>
            </w:r>
          </w:p>
        </w:tc>
        <w:tc>
          <w:tcPr>
            <w:tcW w:w="1061" w:type="dxa"/>
            <w:noWrap w:val="0"/>
            <w:vAlign w:val="center"/>
          </w:tcPr>
          <w:p>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4.0</w:t>
            </w:r>
          </w:p>
        </w:tc>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647" w:type="dxa"/>
            <w:vMerge w:val="continue"/>
            <w:noWrap w:val="0"/>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1032"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拌料</w:t>
            </w:r>
          </w:p>
        </w:tc>
        <w:tc>
          <w:tcPr>
            <w:tcW w:w="1177"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颗粒物</w:t>
            </w:r>
          </w:p>
        </w:tc>
        <w:tc>
          <w:tcPr>
            <w:tcW w:w="60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80"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6" w:type="dxa"/>
            <w:vMerge w:val="restart"/>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4800</w:t>
            </w:r>
          </w:p>
        </w:tc>
        <w:tc>
          <w:tcPr>
            <w:tcW w:w="1108" w:type="dxa"/>
            <w:vMerge w:val="restart"/>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77" w:type="dxa"/>
            <w:vMerge w:val="restart"/>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89"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56"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0.1750 </w:t>
            </w:r>
          </w:p>
        </w:tc>
        <w:tc>
          <w:tcPr>
            <w:tcW w:w="1190"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0.8400 </w:t>
            </w:r>
          </w:p>
        </w:tc>
        <w:tc>
          <w:tcPr>
            <w:tcW w:w="1061" w:type="dxa"/>
            <w:noWrap w:val="0"/>
            <w:vAlign w:val="center"/>
          </w:tcPr>
          <w:p>
            <w:pPr>
              <w:keepNext w:val="0"/>
              <w:keepLines w:val="0"/>
              <w:widowControl/>
              <w:suppressLineNumbers w:val="0"/>
              <w:jc w:val="center"/>
              <w:textAlignment w:val="center"/>
              <w:rPr>
                <w:rFonts w:hint="default"/>
                <w:color w:val="auto"/>
                <w:kern w:val="0"/>
                <w:sz w:val="18"/>
                <w:szCs w:val="18"/>
                <w:highlight w:val="none"/>
                <w:lang w:val="en-US" w:bidi="ar"/>
              </w:rPr>
            </w:pPr>
            <w:r>
              <w:rPr>
                <w:rFonts w:hint="eastAsia" w:ascii="Times New Roman" w:hAnsi="Times New Roman" w:eastAsia="宋体" w:cs="Times New Roman"/>
                <w:i w:val="0"/>
                <w:iCs w:val="0"/>
                <w:color w:val="000000"/>
                <w:kern w:val="0"/>
                <w:sz w:val="18"/>
                <w:szCs w:val="18"/>
                <w:u w:val="none"/>
                <w:lang w:val="en-US" w:eastAsia="zh-CN" w:bidi="ar"/>
              </w:rPr>
              <w:t>1.0</w:t>
            </w:r>
          </w:p>
        </w:tc>
        <w:tc>
          <w:tcPr>
            <w:tcW w:w="828" w:type="dxa"/>
            <w:noWrap w:val="0"/>
            <w:vAlign w:val="center"/>
          </w:tcPr>
          <w:p>
            <w:pPr>
              <w:keepNext w:val="0"/>
              <w:keepLines w:val="0"/>
              <w:widowControl/>
              <w:suppressLineNumbers w:val="0"/>
              <w:jc w:val="center"/>
              <w:textAlignment w:val="center"/>
              <w:rPr>
                <w:color w:val="auto"/>
                <w:kern w:val="0"/>
                <w:sz w:val="18"/>
                <w:szCs w:val="18"/>
                <w:highlight w:val="none"/>
                <w:lang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6" w:hRule="atLeast"/>
          <w:jc w:val="center"/>
        </w:trPr>
        <w:tc>
          <w:tcPr>
            <w:tcW w:w="647" w:type="dxa"/>
            <w:vMerge w:val="continue"/>
            <w:noWrap w:val="0"/>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1032"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挤出</w:t>
            </w:r>
          </w:p>
        </w:tc>
        <w:tc>
          <w:tcPr>
            <w:tcW w:w="1177"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60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80"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6" w:type="dxa"/>
            <w:vMerge w:val="continue"/>
            <w:noWrap w:val="0"/>
            <w:vAlign w:val="center"/>
          </w:tcPr>
          <w:p>
            <w:pPr>
              <w:jc w:val="center"/>
              <w:rPr>
                <w:color w:val="auto"/>
                <w:kern w:val="0"/>
                <w:sz w:val="21"/>
                <w:szCs w:val="21"/>
                <w:highlight w:val="none"/>
                <w:lang w:bidi="ar"/>
              </w:rPr>
            </w:pPr>
          </w:p>
        </w:tc>
        <w:tc>
          <w:tcPr>
            <w:tcW w:w="1108" w:type="dxa"/>
            <w:vMerge w:val="continue"/>
            <w:noWrap w:val="0"/>
            <w:vAlign w:val="center"/>
          </w:tcPr>
          <w:p>
            <w:pPr>
              <w:jc w:val="center"/>
              <w:rPr>
                <w:color w:val="auto"/>
                <w:kern w:val="0"/>
                <w:sz w:val="21"/>
                <w:szCs w:val="21"/>
                <w:highlight w:val="none"/>
                <w:lang w:bidi="ar"/>
              </w:rPr>
            </w:pPr>
          </w:p>
        </w:tc>
        <w:tc>
          <w:tcPr>
            <w:tcW w:w="1077" w:type="dxa"/>
            <w:vMerge w:val="continue"/>
            <w:noWrap w:val="0"/>
            <w:vAlign w:val="center"/>
          </w:tcPr>
          <w:p>
            <w:pPr>
              <w:jc w:val="center"/>
              <w:rPr>
                <w:color w:val="auto"/>
                <w:kern w:val="0"/>
                <w:sz w:val="21"/>
                <w:szCs w:val="21"/>
                <w:highlight w:val="none"/>
                <w:lang w:bidi="ar"/>
              </w:rPr>
            </w:pPr>
          </w:p>
        </w:tc>
        <w:tc>
          <w:tcPr>
            <w:tcW w:w="1189"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56"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0.0938 </w:t>
            </w:r>
          </w:p>
        </w:tc>
        <w:tc>
          <w:tcPr>
            <w:tcW w:w="1190"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0.4500 </w:t>
            </w:r>
          </w:p>
        </w:tc>
        <w:tc>
          <w:tcPr>
            <w:tcW w:w="1061" w:type="dxa"/>
            <w:noWrap w:val="0"/>
            <w:vAlign w:val="center"/>
          </w:tcPr>
          <w:p>
            <w:pPr>
              <w:keepNext w:val="0"/>
              <w:keepLines w:val="0"/>
              <w:widowControl/>
              <w:suppressLineNumbers w:val="0"/>
              <w:jc w:val="center"/>
              <w:textAlignment w:val="center"/>
              <w:rPr>
                <w:rFonts w:hint="default"/>
                <w:color w:val="auto"/>
                <w:kern w:val="0"/>
                <w:sz w:val="18"/>
                <w:szCs w:val="18"/>
                <w:highlight w:val="none"/>
                <w:lang w:val="en-US" w:bidi="ar"/>
              </w:rPr>
            </w:pPr>
            <w:r>
              <w:rPr>
                <w:rFonts w:hint="eastAsia" w:ascii="Times New Roman" w:hAnsi="Times New Roman" w:eastAsia="宋体" w:cs="Times New Roman"/>
                <w:i w:val="0"/>
                <w:iCs w:val="0"/>
                <w:color w:val="000000"/>
                <w:kern w:val="0"/>
                <w:sz w:val="18"/>
                <w:szCs w:val="18"/>
                <w:u w:val="none"/>
                <w:lang w:val="en-US" w:eastAsia="zh-CN" w:bidi="ar"/>
              </w:rPr>
              <w:t>4.0</w:t>
            </w:r>
          </w:p>
        </w:tc>
        <w:tc>
          <w:tcPr>
            <w:tcW w:w="828" w:type="dxa"/>
            <w:noWrap w:val="0"/>
            <w:vAlign w:val="center"/>
          </w:tcPr>
          <w:p>
            <w:pPr>
              <w:keepNext w:val="0"/>
              <w:keepLines w:val="0"/>
              <w:widowControl/>
              <w:suppressLineNumbers w:val="0"/>
              <w:jc w:val="center"/>
              <w:textAlignment w:val="center"/>
              <w:rPr>
                <w:color w:val="auto"/>
                <w:kern w:val="0"/>
                <w:sz w:val="18"/>
                <w:szCs w:val="18"/>
                <w:highlight w:val="none"/>
                <w:lang w:bidi="ar"/>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647" w:type="dxa"/>
            <w:vMerge w:val="continue"/>
            <w:noWrap w:val="0"/>
            <w:vAlign w:val="center"/>
          </w:tcPr>
          <w:p>
            <w:pPr>
              <w:jc w:val="center"/>
              <w:rPr>
                <w:color w:val="auto"/>
                <w:kern w:val="0"/>
                <w:sz w:val="21"/>
                <w:szCs w:val="21"/>
                <w:highlight w:val="none"/>
                <w:lang w:bidi="ar"/>
              </w:rPr>
            </w:pPr>
          </w:p>
        </w:tc>
        <w:tc>
          <w:tcPr>
            <w:tcW w:w="1032" w:type="dxa"/>
            <w:vMerge w:val="continue"/>
            <w:noWrap w:val="0"/>
            <w:vAlign w:val="center"/>
          </w:tcPr>
          <w:p>
            <w:pPr>
              <w:jc w:val="center"/>
              <w:rPr>
                <w:color w:val="auto"/>
                <w:kern w:val="0"/>
                <w:sz w:val="21"/>
                <w:szCs w:val="21"/>
                <w:highlight w:val="none"/>
                <w:lang w:bidi="ar"/>
              </w:rPr>
            </w:pPr>
          </w:p>
        </w:tc>
        <w:tc>
          <w:tcPr>
            <w:tcW w:w="1177"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60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83"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80" w:type="dxa"/>
            <w:noWrap w:val="0"/>
            <w:vAlign w:val="center"/>
          </w:tcPr>
          <w:p>
            <w:pPr>
              <w:keepNext w:val="0"/>
              <w:keepLines w:val="0"/>
              <w:widowControl/>
              <w:suppressLineNumbers w:val="0"/>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06" w:type="dxa"/>
            <w:vMerge w:val="continue"/>
            <w:noWrap w:val="0"/>
            <w:vAlign w:val="center"/>
          </w:tcPr>
          <w:p>
            <w:pPr>
              <w:jc w:val="center"/>
              <w:rPr>
                <w:rFonts w:hint="eastAsia"/>
                <w:color w:val="auto"/>
                <w:kern w:val="0"/>
                <w:sz w:val="21"/>
                <w:szCs w:val="21"/>
                <w:highlight w:val="none"/>
                <w:lang w:val="en-US" w:eastAsia="zh-CN" w:bidi="ar"/>
              </w:rPr>
            </w:pPr>
          </w:p>
        </w:tc>
        <w:tc>
          <w:tcPr>
            <w:tcW w:w="1108" w:type="dxa"/>
            <w:vMerge w:val="continue"/>
            <w:noWrap w:val="0"/>
            <w:vAlign w:val="center"/>
          </w:tcPr>
          <w:p>
            <w:pPr>
              <w:jc w:val="center"/>
              <w:rPr>
                <w:color w:val="auto"/>
                <w:kern w:val="0"/>
                <w:sz w:val="21"/>
                <w:szCs w:val="21"/>
                <w:highlight w:val="none"/>
                <w:lang w:bidi="ar"/>
              </w:rPr>
            </w:pPr>
          </w:p>
        </w:tc>
        <w:tc>
          <w:tcPr>
            <w:tcW w:w="1077" w:type="dxa"/>
            <w:vMerge w:val="continue"/>
            <w:noWrap w:val="0"/>
            <w:vAlign w:val="center"/>
          </w:tcPr>
          <w:p>
            <w:pPr>
              <w:jc w:val="center"/>
              <w:rPr>
                <w:color w:val="auto"/>
                <w:kern w:val="0"/>
                <w:sz w:val="21"/>
                <w:szCs w:val="21"/>
                <w:highlight w:val="none"/>
                <w:lang w:bidi="ar"/>
              </w:rPr>
            </w:pPr>
          </w:p>
        </w:tc>
        <w:tc>
          <w:tcPr>
            <w:tcW w:w="11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0.0300 </w:t>
            </w:r>
          </w:p>
        </w:tc>
        <w:tc>
          <w:tcPr>
            <w:tcW w:w="11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0.1440 </w:t>
            </w:r>
          </w:p>
        </w:tc>
        <w:tc>
          <w:tcPr>
            <w:tcW w:w="10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1.0</w:t>
            </w:r>
          </w:p>
        </w:tc>
        <w:tc>
          <w:tcPr>
            <w:tcW w:w="8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sectPr>
          <w:pgSz w:w="16840" w:h="11907"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color w:val="auto"/>
          <w:kern w:val="2"/>
          <w:sz w:val="24"/>
          <w:szCs w:val="24"/>
          <w:highlight w:val="none"/>
          <w:lang w:val="en-US" w:eastAsia="zh-CN" w:bidi="ar-SA"/>
        </w:rPr>
        <w:t>根据以上核算，本项目拌料废气排放满足《</w:t>
      </w:r>
      <w:r>
        <w:rPr>
          <w:rFonts w:hint="eastAsia" w:cs="Times New Roman"/>
          <w:sz w:val="24"/>
          <w:lang w:val="en-US" w:eastAsia="zh-CN"/>
        </w:rPr>
        <w:t>大气污染物综合排放标准》（GB16297-1996），塑料框挤出成型废气</w:t>
      </w:r>
      <w:r>
        <w:rPr>
          <w:rFonts w:hint="eastAsia" w:cs="Times New Roman"/>
          <w:color w:val="auto"/>
          <w:kern w:val="2"/>
          <w:sz w:val="24"/>
          <w:szCs w:val="24"/>
          <w:highlight w:val="none"/>
          <w:lang w:val="en-US" w:eastAsia="zh-CN" w:bidi="ar-SA"/>
        </w:rPr>
        <w:t>及塑料热熔造粒废气</w:t>
      </w:r>
      <w:r>
        <w:rPr>
          <w:rFonts w:hint="eastAsia" w:cs="Times New Roman"/>
          <w:sz w:val="24"/>
          <w:lang w:val="en-US" w:eastAsia="zh-CN"/>
        </w:rPr>
        <w:t>满足《合成树脂工业污染物排放标准》GB31572-2015特别排放限值标准，根据核算本项目塑料筐挤出成型废气排放绩效为0.18kg/t-产品，塑料造粒废气排放绩效为0.145kg/t-产品：满足绩效0.3kg/t-产品的限制规定</w:t>
      </w:r>
      <w:r>
        <w:rPr>
          <w:rFonts w:hint="default" w:ascii="Times New Roman" w:hAnsi="Times New Roman" w:cs="Times New Roman"/>
          <w:sz w:val="24"/>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60"/>
              <w:ind w:firstLine="482" w:firstLineChars="200"/>
              <w:jc w:val="both"/>
              <w:rPr>
                <w:rFonts w:hint="default" w:ascii="Times New Roman" w:hAnsi="Times New Roman"/>
                <w:color w:val="auto"/>
                <w:highlight w:val="none"/>
              </w:rPr>
            </w:pPr>
            <w:r>
              <w:rPr>
                <w:rFonts w:hint="default" w:ascii="Times New Roman" w:hAnsi="Times New Roman"/>
                <w:color w:val="auto"/>
                <w:highlight w:val="none"/>
              </w:rPr>
              <w:t>②非正常情况废气排放信息</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本项目在完善的管理制度下，废气处理系统同时出现事故排放的概率极小。因此，本项目考虑以</w:t>
            </w:r>
            <w:r>
              <w:rPr>
                <w:rFonts w:hint="eastAsia" w:ascii="Times New Roman" w:hAnsi="Times New Roman" w:cs="Times New Roman"/>
                <w:color w:val="auto"/>
                <w:highlight w:val="none"/>
                <w:lang w:val="en-US" w:eastAsia="zh-CN"/>
              </w:rPr>
              <w:t>挤出压片</w:t>
            </w:r>
            <w:r>
              <w:rPr>
                <w:rFonts w:hint="default" w:ascii="Times New Roman" w:hAnsi="Times New Roman" w:cs="Times New Roman"/>
                <w:color w:val="auto"/>
                <w:highlight w:val="none"/>
              </w:rPr>
              <w:t>废气处理系统活性炭</w:t>
            </w:r>
            <w:r>
              <w:rPr>
                <w:rFonts w:hint="eastAsia" w:ascii="Times New Roman" w:hAnsi="Times New Roman" w:cs="Times New Roman"/>
                <w:color w:val="auto"/>
                <w:highlight w:val="none"/>
                <w:lang w:eastAsia="zh-CN"/>
              </w:rPr>
              <w:t>及过滤棉未</w:t>
            </w:r>
            <w:r>
              <w:rPr>
                <w:rFonts w:hint="default" w:ascii="Times New Roman" w:hAnsi="Times New Roman" w:cs="Times New Roman"/>
                <w:color w:val="auto"/>
                <w:highlight w:val="none"/>
              </w:rPr>
              <w:t>及时更换，</w:t>
            </w:r>
            <w:r>
              <w:rPr>
                <w:rFonts w:hint="eastAsia" w:ascii="Times New Roman" w:hAnsi="Times New Roman" w:cs="Times New Roman"/>
                <w:color w:val="auto"/>
                <w:highlight w:val="none"/>
                <w:lang w:eastAsia="zh-CN"/>
              </w:rPr>
              <w:t>导致</w:t>
            </w:r>
            <w:r>
              <w:rPr>
                <w:rFonts w:hint="default" w:ascii="Times New Roman" w:hAnsi="Times New Roman" w:cs="Times New Roman"/>
                <w:color w:val="auto"/>
                <w:highlight w:val="none"/>
              </w:rPr>
              <w:t>处理效率下降50%</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拌料系统布袋除尘器部分损坏导致处理效率下降50%</w:t>
            </w:r>
            <w:r>
              <w:rPr>
                <w:rFonts w:hint="default" w:ascii="Times New Roman" w:hAnsi="Times New Roman" w:cs="Times New Roman"/>
                <w:color w:val="auto"/>
                <w:highlight w:val="none"/>
              </w:rPr>
              <w:t>作为本项目非正常排放工况。</w:t>
            </w:r>
          </w:p>
          <w:p>
            <w:pPr>
              <w:spacing w:line="420" w:lineRule="auto"/>
              <w:ind w:firstLine="480" w:firstLineChars="200"/>
              <w:rPr>
                <w:color w:val="auto"/>
                <w:sz w:val="24"/>
                <w:szCs w:val="21"/>
                <w:highlight w:val="none"/>
              </w:rPr>
            </w:pPr>
            <w:r>
              <w:rPr>
                <w:color w:val="auto"/>
                <w:sz w:val="24"/>
                <w:szCs w:val="21"/>
                <w:highlight w:val="none"/>
              </w:rPr>
              <w:t>根据计算，非正常</w:t>
            </w:r>
            <w:r>
              <w:rPr>
                <w:rFonts w:hint="eastAsia"/>
                <w:color w:val="auto"/>
                <w:sz w:val="24"/>
                <w:szCs w:val="21"/>
                <w:highlight w:val="none"/>
                <w:lang w:val="en-US" w:eastAsia="zh-CN"/>
              </w:rPr>
              <w:t>工况</w:t>
            </w:r>
            <w:r>
              <w:rPr>
                <w:color w:val="auto"/>
                <w:sz w:val="24"/>
                <w:szCs w:val="21"/>
                <w:highlight w:val="none"/>
              </w:rPr>
              <w:t>排放如下：</w:t>
            </w:r>
          </w:p>
          <w:p>
            <w:pPr>
              <w:pStyle w:val="60"/>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11</w:t>
            </w:r>
            <w:r>
              <w:rPr>
                <w:rFonts w:hint="default" w:ascii="Times New Roman" w:hAnsi="Times New Roman"/>
                <w:color w:val="auto"/>
                <w:highlight w:val="none"/>
              </w:rPr>
              <w:t xml:space="preserve"> 废气污染源排放信息表（非正常</w:t>
            </w:r>
            <w:r>
              <w:rPr>
                <w:rFonts w:hint="eastAsia" w:ascii="Times New Roman" w:hAnsi="Times New Roman"/>
                <w:color w:val="auto"/>
                <w:highlight w:val="none"/>
                <w:lang w:eastAsia="zh-CN"/>
              </w:rPr>
              <w:t>工</w:t>
            </w:r>
            <w:r>
              <w:rPr>
                <w:rFonts w:hint="default" w:ascii="Times New Roman" w:hAnsi="Times New Roman"/>
                <w:color w:val="auto"/>
                <w:highlight w:val="none"/>
              </w:rPr>
              <w:t>况）</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431"/>
              <w:gridCol w:w="960"/>
              <w:gridCol w:w="1176"/>
              <w:gridCol w:w="1158"/>
              <w:gridCol w:w="1194"/>
              <w:gridCol w:w="15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983"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排放类型</w:t>
                  </w:r>
                </w:p>
              </w:tc>
              <w:tc>
                <w:tcPr>
                  <w:tcW w:w="1431"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污染源</w:t>
                  </w:r>
                </w:p>
              </w:tc>
              <w:tc>
                <w:tcPr>
                  <w:tcW w:w="960" w:type="dxa"/>
                  <w:vMerge w:val="restart"/>
                  <w:noWrap w:val="0"/>
                  <w:vAlign w:val="center"/>
                </w:tcPr>
                <w:p>
                  <w:pPr>
                    <w:widowControl/>
                    <w:jc w:val="center"/>
                    <w:textAlignment w:val="center"/>
                    <w:rPr>
                      <w:b/>
                      <w:bCs/>
                      <w:color w:val="auto"/>
                      <w:szCs w:val="21"/>
                      <w:highlight w:val="none"/>
                    </w:rPr>
                  </w:pPr>
                  <w:r>
                    <w:rPr>
                      <w:b/>
                      <w:bCs/>
                      <w:color w:val="auto"/>
                      <w:kern w:val="0"/>
                      <w:szCs w:val="21"/>
                      <w:highlight w:val="none"/>
                      <w:lang w:bidi="ar"/>
                    </w:rPr>
                    <w:t>污染物种类</w:t>
                  </w:r>
                </w:p>
              </w:tc>
              <w:tc>
                <w:tcPr>
                  <w:tcW w:w="2334" w:type="dxa"/>
                  <w:gridSpan w:val="2"/>
                  <w:noWrap w:val="0"/>
                  <w:vAlign w:val="center"/>
                </w:tcPr>
                <w:p>
                  <w:pPr>
                    <w:widowControl/>
                    <w:jc w:val="center"/>
                    <w:textAlignment w:val="center"/>
                    <w:rPr>
                      <w:b/>
                      <w:bCs/>
                      <w:color w:val="auto"/>
                      <w:szCs w:val="21"/>
                      <w:highlight w:val="none"/>
                    </w:rPr>
                  </w:pPr>
                  <w:r>
                    <w:rPr>
                      <w:b/>
                      <w:bCs/>
                      <w:color w:val="auto"/>
                      <w:kern w:val="0"/>
                      <w:szCs w:val="21"/>
                      <w:highlight w:val="none"/>
                      <w:lang w:bidi="ar"/>
                    </w:rPr>
                    <w:t>排放情况</w:t>
                  </w:r>
                </w:p>
              </w:tc>
              <w:tc>
                <w:tcPr>
                  <w:tcW w:w="2789" w:type="dxa"/>
                  <w:gridSpan w:val="2"/>
                  <w:noWrap w:val="0"/>
                  <w:vAlign w:val="center"/>
                </w:tcPr>
                <w:p>
                  <w:pPr>
                    <w:widowControl/>
                    <w:jc w:val="center"/>
                    <w:textAlignment w:val="center"/>
                    <w:rPr>
                      <w:b/>
                      <w:bCs/>
                      <w:color w:val="auto"/>
                      <w:szCs w:val="21"/>
                      <w:highlight w:val="none"/>
                    </w:rPr>
                  </w:pPr>
                  <w:r>
                    <w:rPr>
                      <w:b/>
                      <w:bCs/>
                      <w:color w:val="auto"/>
                      <w:kern w:val="0"/>
                      <w:szCs w:val="21"/>
                      <w:highlight w:val="none"/>
                      <w:lang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1" w:hRule="atLeast"/>
                <w:jc w:val="center"/>
              </w:trPr>
              <w:tc>
                <w:tcPr>
                  <w:tcW w:w="983" w:type="dxa"/>
                  <w:vMerge w:val="continue"/>
                  <w:noWrap w:val="0"/>
                  <w:vAlign w:val="center"/>
                </w:tcPr>
                <w:p>
                  <w:pPr>
                    <w:jc w:val="center"/>
                    <w:rPr>
                      <w:b/>
                      <w:bCs/>
                      <w:color w:val="auto"/>
                      <w:szCs w:val="21"/>
                      <w:highlight w:val="none"/>
                    </w:rPr>
                  </w:pPr>
                </w:p>
              </w:tc>
              <w:tc>
                <w:tcPr>
                  <w:tcW w:w="1431" w:type="dxa"/>
                  <w:vMerge w:val="continue"/>
                  <w:noWrap w:val="0"/>
                  <w:vAlign w:val="center"/>
                </w:tcPr>
                <w:p>
                  <w:pPr>
                    <w:jc w:val="center"/>
                    <w:rPr>
                      <w:b/>
                      <w:bCs/>
                      <w:color w:val="auto"/>
                      <w:szCs w:val="21"/>
                      <w:highlight w:val="none"/>
                    </w:rPr>
                  </w:pPr>
                </w:p>
              </w:tc>
              <w:tc>
                <w:tcPr>
                  <w:tcW w:w="960" w:type="dxa"/>
                  <w:vMerge w:val="continue"/>
                  <w:noWrap w:val="0"/>
                  <w:vAlign w:val="center"/>
                </w:tcPr>
                <w:p>
                  <w:pPr>
                    <w:jc w:val="center"/>
                    <w:rPr>
                      <w:b/>
                      <w:bCs/>
                      <w:color w:val="auto"/>
                      <w:szCs w:val="21"/>
                      <w:highlight w:val="none"/>
                    </w:rPr>
                  </w:pPr>
                </w:p>
              </w:tc>
              <w:tc>
                <w:tcPr>
                  <w:tcW w:w="1176"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浓度mg/m</w:t>
                  </w:r>
                  <w:r>
                    <w:rPr>
                      <w:b/>
                      <w:bCs/>
                      <w:color w:val="auto"/>
                      <w:kern w:val="0"/>
                      <w:szCs w:val="21"/>
                      <w:highlight w:val="none"/>
                      <w:vertAlign w:val="superscript"/>
                      <w:lang w:bidi="ar"/>
                    </w:rPr>
                    <w:t>3</w:t>
                  </w:r>
                </w:p>
              </w:tc>
              <w:tc>
                <w:tcPr>
                  <w:tcW w:w="1158"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速率kg/h</w:t>
                  </w:r>
                </w:p>
              </w:tc>
              <w:tc>
                <w:tcPr>
                  <w:tcW w:w="1194"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浓度mg/m</w:t>
                  </w:r>
                  <w:r>
                    <w:rPr>
                      <w:b/>
                      <w:bCs/>
                      <w:color w:val="auto"/>
                      <w:kern w:val="0"/>
                      <w:szCs w:val="21"/>
                      <w:highlight w:val="none"/>
                      <w:vertAlign w:val="superscript"/>
                      <w:lang w:bidi="ar"/>
                    </w:rPr>
                    <w:t>3</w:t>
                  </w:r>
                </w:p>
              </w:tc>
              <w:tc>
                <w:tcPr>
                  <w:tcW w:w="1595" w:type="dxa"/>
                  <w:noWrap w:val="0"/>
                  <w:vAlign w:val="center"/>
                </w:tcPr>
                <w:p>
                  <w:pPr>
                    <w:widowControl/>
                    <w:jc w:val="center"/>
                    <w:textAlignment w:val="center"/>
                    <w:rPr>
                      <w:b/>
                      <w:bCs/>
                      <w:color w:val="auto"/>
                      <w:szCs w:val="21"/>
                      <w:highlight w:val="none"/>
                    </w:rPr>
                  </w:pPr>
                  <w:r>
                    <w:rPr>
                      <w:b/>
                      <w:bCs/>
                      <w:color w:val="auto"/>
                      <w:kern w:val="0"/>
                      <w:szCs w:val="21"/>
                      <w:highlight w:val="none"/>
                      <w:lang w:bidi="ar"/>
                    </w:rPr>
                    <w:t>速率kg/h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983"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有组织</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 xml:space="preserve"> </w:t>
                  </w:r>
                </w:p>
              </w:tc>
              <w:tc>
                <w:tcPr>
                  <w:tcW w:w="1431"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塑料筐挤出成型</w:t>
                  </w: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31.25</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0.2813 </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15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983"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31"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6.7333 </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0.0606 </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5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1" w:hRule="atLeast"/>
                <w:jc w:val="center"/>
              </w:trPr>
              <w:tc>
                <w:tcPr>
                  <w:tcW w:w="983"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塑料框原料拌料</w:t>
                  </w: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1.7675 </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5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983"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3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塑料造粒</w:t>
                  </w:r>
                </w:p>
              </w:tc>
              <w:tc>
                <w:tcPr>
                  <w:tcW w:w="96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1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37.6</w:t>
                  </w:r>
                  <w:r>
                    <w:rPr>
                      <w:rFonts w:hint="eastAsia" w:ascii="Times New Roman" w:hAnsi="Times New Roman" w:eastAsia="宋体" w:cs="Times New Roman"/>
                      <w:i w:val="0"/>
                      <w:iCs w:val="0"/>
                      <w:color w:val="000000"/>
                      <w:kern w:val="0"/>
                      <w:sz w:val="21"/>
                      <w:szCs w:val="21"/>
                      <w:u w:val="none"/>
                      <w:lang w:val="en-US" w:eastAsia="zh-CN" w:bidi="ar"/>
                    </w:rPr>
                    <w:t>2</w:t>
                  </w:r>
                </w:p>
              </w:tc>
              <w:tc>
                <w:tcPr>
                  <w:tcW w:w="11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0.2275 </w:t>
                  </w:r>
                </w:p>
              </w:tc>
              <w:tc>
                <w:tcPr>
                  <w:tcW w:w="11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c>
                <w:tcPr>
                  <w:tcW w:w="15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bl>
          <w:p>
            <w:pPr>
              <w:pStyle w:val="66"/>
              <w:ind w:firstLine="480"/>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因此本项目</w:t>
            </w:r>
            <w:r>
              <w:rPr>
                <w:rFonts w:hint="eastAsia" w:ascii="Times New Roman" w:hAnsi="Times New Roman" w:cs="Times New Roman"/>
                <w:color w:val="auto"/>
                <w:kern w:val="0"/>
                <w:szCs w:val="24"/>
                <w:highlight w:val="none"/>
                <w:lang w:eastAsia="zh-CN" w:bidi="ar"/>
              </w:rPr>
              <w:t>非</w:t>
            </w:r>
            <w:r>
              <w:rPr>
                <w:rFonts w:hint="default" w:ascii="Times New Roman" w:hAnsi="Times New Roman" w:cs="Times New Roman"/>
                <w:color w:val="auto"/>
                <w:kern w:val="0"/>
                <w:szCs w:val="24"/>
                <w:highlight w:val="none"/>
                <w:lang w:bidi="ar"/>
              </w:rPr>
              <w:t>正常工况下，塑料框原料拌料</w:t>
            </w:r>
            <w:r>
              <w:rPr>
                <w:rFonts w:hint="eastAsia" w:ascii="Times New Roman" w:hAnsi="Times New Roman" w:cs="Times New Roman"/>
                <w:color w:val="auto"/>
                <w:kern w:val="0"/>
                <w:szCs w:val="24"/>
                <w:highlight w:val="none"/>
                <w:lang w:eastAsia="zh-CN" w:bidi="ar"/>
              </w:rPr>
              <w:t>废气</w:t>
            </w:r>
            <w:r>
              <w:rPr>
                <w:rFonts w:hint="eastAsia" w:ascii="Times New Roman" w:hAnsi="Times New Roman" w:cs="Times New Roman"/>
                <w:color w:val="auto"/>
                <w:kern w:val="0"/>
                <w:szCs w:val="24"/>
                <w:highlight w:val="none"/>
                <w:lang w:val="en-US" w:eastAsia="zh-CN" w:bidi="ar"/>
              </w:rPr>
              <w:t>颗粒物会超出污染物排放标准</w:t>
            </w:r>
            <w:r>
              <w:rPr>
                <w:rFonts w:hint="default" w:ascii="Times New Roman" w:hAnsi="Times New Roman" w:cs="Times New Roman"/>
                <w:color w:val="auto"/>
                <w:kern w:val="0"/>
                <w:szCs w:val="24"/>
                <w:highlight w:val="none"/>
                <w:lang w:bidi="ar"/>
              </w:rPr>
              <w:t>，对周边大气环境造成</w:t>
            </w:r>
            <w:r>
              <w:rPr>
                <w:rFonts w:hint="eastAsia" w:ascii="Times New Roman" w:hAnsi="Times New Roman" w:cs="Times New Roman"/>
                <w:color w:val="auto"/>
                <w:kern w:val="0"/>
                <w:szCs w:val="24"/>
                <w:highlight w:val="none"/>
                <w:lang w:val="en-US" w:eastAsia="zh-CN" w:bidi="ar"/>
              </w:rPr>
              <w:t>一定</w:t>
            </w:r>
            <w:r>
              <w:rPr>
                <w:rFonts w:hint="default" w:ascii="Times New Roman" w:hAnsi="Times New Roman" w:cs="Times New Roman"/>
                <w:color w:val="auto"/>
                <w:kern w:val="0"/>
                <w:szCs w:val="24"/>
                <w:highlight w:val="none"/>
                <w:lang w:bidi="ar"/>
              </w:rPr>
              <w:t>影响。为预防非正常工况下的废气超标排放，建设单位应当加强废气处理系统运行台账管理，</w:t>
            </w:r>
            <w:r>
              <w:rPr>
                <w:rFonts w:hint="eastAsia" w:ascii="Times New Roman" w:hAnsi="Times New Roman" w:cs="Times New Roman"/>
                <w:color w:val="auto"/>
                <w:kern w:val="0"/>
                <w:szCs w:val="24"/>
                <w:highlight w:val="none"/>
                <w:lang w:val="en-US" w:eastAsia="zh-CN" w:bidi="ar"/>
              </w:rPr>
              <w:t>定期检查布袋除尘系统运行情况，</w:t>
            </w:r>
            <w:r>
              <w:rPr>
                <w:rFonts w:hint="eastAsia" w:ascii="Times New Roman" w:hAnsi="Times New Roman" w:cs="Times New Roman"/>
                <w:color w:val="auto"/>
                <w:kern w:val="0"/>
                <w:szCs w:val="24"/>
                <w:highlight w:val="none"/>
                <w:lang w:eastAsia="zh-CN" w:bidi="ar"/>
              </w:rPr>
              <w:t>以</w:t>
            </w:r>
            <w:r>
              <w:rPr>
                <w:rFonts w:hint="default" w:ascii="Times New Roman" w:hAnsi="Times New Roman" w:cs="Times New Roman"/>
                <w:color w:val="auto"/>
                <w:kern w:val="0"/>
                <w:szCs w:val="24"/>
                <w:highlight w:val="none"/>
                <w:lang w:bidi="ar"/>
              </w:rPr>
              <w:t>确保废气处理</w:t>
            </w:r>
            <w:r>
              <w:rPr>
                <w:rFonts w:hint="eastAsia" w:ascii="Times New Roman" w:hAnsi="Times New Roman" w:cs="Times New Roman"/>
                <w:color w:val="auto"/>
                <w:kern w:val="0"/>
                <w:szCs w:val="24"/>
                <w:highlight w:val="none"/>
                <w:lang w:eastAsia="zh-CN" w:bidi="ar"/>
              </w:rPr>
              <w:t>设施</w:t>
            </w:r>
            <w:r>
              <w:rPr>
                <w:rFonts w:hint="default" w:ascii="Times New Roman" w:hAnsi="Times New Roman" w:cs="Times New Roman"/>
                <w:color w:val="auto"/>
                <w:kern w:val="0"/>
                <w:szCs w:val="24"/>
                <w:highlight w:val="none"/>
                <w:lang w:bidi="ar"/>
              </w:rPr>
              <w:t>正常运行。</w:t>
            </w:r>
          </w:p>
          <w:p>
            <w:pPr>
              <w:pStyle w:val="66"/>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）大气环境防护距离及卫生防护距离：</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根据screen3软件计算，本项目厂界外无废气超标点，因此不划设大气防护距离。</w:t>
            </w:r>
          </w:p>
          <w:p>
            <w:pPr>
              <w:pStyle w:val="66"/>
              <w:ind w:firstLine="48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卫生防护距离本项目采用《大气有害物质无组织排放卫生防护距离推导技术导则》（GB/T39499-2020）推荐公式进行计算：</w:t>
            </w:r>
          </w:p>
          <w:p>
            <w:pPr>
              <w:pStyle w:val="66"/>
              <w:ind w:firstLine="480"/>
              <w:jc w:val="center"/>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position w:val="-30"/>
                <w:lang w:eastAsia="zh-CN"/>
              </w:rPr>
              <w:object>
                <v:shape id="_x0000_i1025" o:spt="75" type="#_x0000_t75" style="height:34pt;width:139.95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p>
          <w:p>
            <w:pPr>
              <w:pStyle w:val="66"/>
              <w:ind w:firstLine="48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position w:val="-8"/>
                <w:lang w:eastAsia="zh-CN"/>
              </w:rPr>
              <w:object>
                <v:shape id="_x0000_i1026" o:spt="75" type="#_x0000_t75" style="height:18pt;width:51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p>
          <w:p>
            <w:pPr>
              <w:pStyle w:val="66"/>
              <w:ind w:firstLine="480"/>
              <w:jc w:val="lef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式中</w:t>
            </w:r>
          </w:p>
          <w:p>
            <w:pPr>
              <w:pStyle w:val="66"/>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Q</w:t>
            </w:r>
            <w:r>
              <w:rPr>
                <w:rFonts w:hint="default" w:ascii="Times New Roman" w:hAnsi="Times New Roman" w:eastAsia="宋体" w:cs="Times New Roman"/>
                <w:color w:val="auto"/>
                <w:vertAlign w:val="subscript"/>
                <w:lang w:val="en-US" w:eastAsia="zh-CN"/>
              </w:rPr>
              <w:t>C</w:t>
            </w:r>
            <w:r>
              <w:rPr>
                <w:rFonts w:hint="default" w:ascii="Times New Roman" w:hAnsi="Times New Roman" w:eastAsia="宋体" w:cs="Times New Roman"/>
                <w:color w:val="auto"/>
                <w:lang w:eastAsia="zh-CN"/>
              </w:rPr>
              <w:t>：大气有害物质的无组织排放量</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单位为千克每小时(kg/ h)</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本项目</w:t>
            </w:r>
            <w:r>
              <w:rPr>
                <w:rFonts w:hint="eastAsia" w:ascii="Times New Roman" w:hAnsi="Times New Roman" w:cs="Times New Roman"/>
                <w:color w:val="auto"/>
                <w:lang w:val="en-US" w:eastAsia="zh-CN"/>
              </w:rPr>
              <w:t>VOCs</w:t>
            </w:r>
            <w:r>
              <w:rPr>
                <w:rFonts w:hint="eastAsia" w:ascii="Times New Roman" w:hAnsi="Times New Roman" w:eastAsia="宋体" w:cs="Times New Roman"/>
                <w:color w:val="auto"/>
                <w:lang w:val="en-US" w:eastAsia="zh-CN"/>
              </w:rPr>
              <w:t>取值</w:t>
            </w:r>
            <w:r>
              <w:rPr>
                <w:rFonts w:hint="eastAsia" w:ascii="Times New Roman" w:hAnsi="Times New Roman" w:cs="Times New Roman"/>
                <w:color w:val="auto"/>
                <w:kern w:val="0"/>
                <w:szCs w:val="24"/>
                <w:lang w:val="en-US" w:eastAsia="zh-CN" w:bidi="ar"/>
              </w:rPr>
              <w:t>0.1695</w:t>
            </w:r>
            <w:r>
              <w:rPr>
                <w:rFonts w:hint="eastAsia" w:ascii="Times New Roman" w:hAnsi="Times New Roman" w:eastAsia="宋体" w:cs="Times New Roman"/>
                <w:color w:val="auto"/>
                <w:lang w:val="en-US" w:eastAsia="zh-CN"/>
              </w:rPr>
              <w:t>kg/h</w:t>
            </w:r>
            <w:r>
              <w:rPr>
                <w:rFonts w:hint="eastAsia" w:ascii="Times New Roman" w:hAnsi="Times New Roman" w:cs="Times New Roman"/>
                <w:color w:val="auto"/>
                <w:lang w:val="en-US" w:eastAsia="zh-CN"/>
              </w:rPr>
              <w:t>，颗粒物取值0.205kg/h。</w:t>
            </w:r>
          </w:p>
          <w:p>
            <w:pPr>
              <w:pStyle w:val="66"/>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Cm：</w:t>
            </w:r>
            <w:r>
              <w:rPr>
                <w:rFonts w:hint="default" w:ascii="Times New Roman" w:hAnsi="Times New Roman" w:eastAsia="宋体" w:cs="Times New Roman"/>
                <w:color w:val="auto"/>
                <w:lang w:eastAsia="zh-CN"/>
              </w:rPr>
              <w:t>大气有害物质环境空气质量的标准限值</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单位为毫克每立方米(mg/ 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本项目颗粒物参考TSP取值0.9mg/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eastAsia" w:ascii="Times New Roman" w:hAnsi="Times New Roman" w:cs="Times New Roman"/>
                <w:color w:val="auto"/>
                <w:vertAlign w:val="baseline"/>
                <w:lang w:eastAsia="zh-CN"/>
              </w:rPr>
              <w:t>，</w:t>
            </w:r>
            <w:r>
              <w:rPr>
                <w:rFonts w:hint="eastAsia" w:ascii="Times New Roman" w:hAnsi="Times New Roman" w:cs="Times New Roman"/>
                <w:color w:val="auto"/>
                <w:lang w:val="en-US" w:eastAsia="zh-CN"/>
              </w:rPr>
              <w:t>VOCs</w:t>
            </w:r>
            <w:r>
              <w:rPr>
                <w:rFonts w:hint="eastAsia" w:ascii="Times New Roman" w:hAnsi="Times New Roman" w:eastAsia="宋体" w:cs="Times New Roman"/>
                <w:color w:val="auto"/>
                <w:lang w:val="en-US" w:eastAsia="zh-CN"/>
              </w:rPr>
              <w:t>取值</w:t>
            </w:r>
            <w:r>
              <w:rPr>
                <w:rFonts w:hint="eastAsia" w:ascii="Times New Roman" w:hAnsi="Times New Roman" w:cs="Times New Roman"/>
                <w:color w:val="auto"/>
                <w:lang w:val="en-US" w:eastAsia="zh-CN"/>
              </w:rPr>
              <w:t>1.2</w:t>
            </w:r>
            <w:r>
              <w:rPr>
                <w:rFonts w:hint="eastAsia" w:ascii="Times New Roman" w:hAnsi="Times New Roman" w:eastAsia="宋体" w:cs="Times New Roman"/>
                <w:color w:val="auto"/>
                <w:lang w:val="en-US" w:eastAsia="zh-CN"/>
              </w:rPr>
              <w:t>mg/</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vertAlign w:val="superscript"/>
                <w:lang w:eastAsia="zh-CN"/>
              </w:rPr>
              <w:t>3</w:t>
            </w:r>
            <w:r>
              <w:rPr>
                <w:rFonts w:hint="eastAsia" w:ascii="Times New Roman" w:hAnsi="Times New Roman" w:cs="Times New Roman"/>
                <w:color w:val="auto"/>
                <w:vertAlign w:val="baseline"/>
                <w:lang w:val="en-US" w:eastAsia="zh-CN"/>
              </w:rPr>
              <w:t>。</w:t>
            </w:r>
          </w:p>
          <w:p>
            <w:pPr>
              <w:pStyle w:val="66"/>
              <w:ind w:firstLine="48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L：大气有害物质卫生防护距离初值</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单位为米( m)</w:t>
            </w:r>
            <w:r>
              <w:rPr>
                <w:rFonts w:hint="eastAsia" w:ascii="Times New Roman" w:hAnsi="Times New Roman" w:eastAsia="宋体" w:cs="Times New Roman"/>
                <w:color w:val="auto"/>
                <w:lang w:eastAsia="zh-CN"/>
              </w:rPr>
              <w:t>；</w:t>
            </w:r>
          </w:p>
          <w:p>
            <w:pPr>
              <w:pStyle w:val="66"/>
              <w:ind w:firstLine="48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r：</w:t>
            </w:r>
            <w:r>
              <w:rPr>
                <w:rFonts w:hint="default" w:ascii="Times New Roman" w:hAnsi="Times New Roman" w:eastAsia="宋体" w:cs="Times New Roman"/>
                <w:color w:val="auto"/>
                <w:lang w:eastAsia="zh-CN"/>
              </w:rPr>
              <w:t>大气有害物质无组织排放源所在生产单元的等效半径</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单位为米( m)</w:t>
            </w:r>
            <w:r>
              <w:rPr>
                <w:rFonts w:hint="eastAsia" w:ascii="Times New Roman" w:hAnsi="Times New Roman" w:eastAsia="宋体" w:cs="Times New Roman"/>
                <w:color w:val="auto"/>
                <w:lang w:eastAsia="zh-CN"/>
              </w:rPr>
              <w:t>；</w:t>
            </w:r>
          </w:p>
          <w:p>
            <w:pPr>
              <w:pStyle w:val="66"/>
              <w:ind w:firstLine="48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S：企业生产单元占地面积（m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），本项目取值约</w:t>
            </w:r>
            <w:r>
              <w:rPr>
                <w:rFonts w:hint="eastAsia" w:ascii="Times New Roman" w:hAnsi="Times New Roman" w:cs="Times New Roman"/>
                <w:color w:val="auto"/>
                <w:lang w:val="en-US" w:eastAsia="zh-CN"/>
              </w:rPr>
              <w:t>2</w:t>
            </w:r>
            <w:r>
              <w:rPr>
                <w:rFonts w:hint="eastAsia" w:ascii="Times New Roman" w:hAnsi="Times New Roman" w:eastAsia="宋体" w:cs="Times New Roman"/>
                <w:color w:val="auto"/>
                <w:lang w:val="en-US" w:eastAsia="zh-CN"/>
              </w:rPr>
              <w:t>000㎡</w:t>
            </w:r>
          </w:p>
          <w:p>
            <w:pPr>
              <w:pStyle w:val="66"/>
              <w:numPr>
                <w:ilvl w:val="0"/>
                <w:numId w:val="4"/>
              </w:numPr>
              <w:ind w:firstLine="480"/>
              <w:jc w:val="left"/>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B、C、D：卫生防护距离初值计算系数，无因次，根据工业企业所在地区近5年平均风速及大气污染源构成类别从表</w:t>
            </w:r>
            <w:r>
              <w:rPr>
                <w:rFonts w:hint="eastAsia" w:ascii="Times New Roman" w:hAnsi="Times New Roman" w:eastAsia="宋体" w:cs="Times New Roman"/>
                <w:color w:val="auto"/>
                <w:lang w:val="en-US" w:eastAsia="zh-CN"/>
              </w:rPr>
              <w:t>4-</w:t>
            </w:r>
            <w:r>
              <w:rPr>
                <w:rFonts w:hint="eastAsia" w:ascii="Times New Roman" w:hAnsi="Times New Roman" w:cs="Times New Roman"/>
                <w:color w:val="auto"/>
                <w:lang w:val="en-US" w:eastAsia="zh-CN"/>
              </w:rPr>
              <w:t>12</w:t>
            </w:r>
            <w:r>
              <w:rPr>
                <w:rFonts w:hint="default" w:ascii="Times New Roman" w:hAnsi="Times New Roman" w:eastAsia="宋体" w:cs="Times New Roman"/>
                <w:color w:val="auto"/>
                <w:lang w:eastAsia="zh-CN"/>
              </w:rPr>
              <w:t>查取。</w:t>
            </w:r>
            <w:r>
              <w:rPr>
                <w:rFonts w:hint="eastAsia" w:ascii="Times New Roman" w:hAnsi="Times New Roman" w:eastAsia="宋体" w:cs="Times New Roman"/>
                <w:color w:val="auto"/>
                <w:lang w:val="en-US" w:eastAsia="zh-CN"/>
              </w:rPr>
              <w:t>本项目企业所在地5年平均风速＜2</w:t>
            </w:r>
            <w:r>
              <w:rPr>
                <w:rFonts w:hint="default" w:ascii="Times New Roman" w:hAnsi="Times New Roman" w:eastAsia="宋体" w:cs="Times New Roman"/>
                <w:i w:val="0"/>
                <w:iCs w:val="0"/>
                <w:color w:val="auto"/>
                <w:kern w:val="0"/>
                <w:sz w:val="22"/>
                <w:szCs w:val="22"/>
                <w:u w:val="none"/>
                <w:lang w:val="en-US" w:eastAsia="zh-CN" w:bidi="ar"/>
              </w:rPr>
              <w:t>m/s</w:t>
            </w:r>
            <w:r>
              <w:rPr>
                <w:rFonts w:hint="eastAsia" w:ascii="Times New Roman" w:hAnsi="Times New Roman" w:eastAsia="宋体" w:cs="Times New Roman"/>
                <w:color w:val="auto"/>
                <w:lang w:val="en-US" w:eastAsia="zh-CN"/>
              </w:rPr>
              <w:t>。</w:t>
            </w:r>
          </w:p>
          <w:p>
            <w:pPr>
              <w:adjustRightInd w:val="0"/>
              <w:snapToGrid w:val="0"/>
              <w:spacing w:beforeLines="50" w:line="360" w:lineRule="auto"/>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表4-</w:t>
            </w:r>
            <w:r>
              <w:rPr>
                <w:rFonts w:hint="eastAsia" w:ascii="宋体" w:hAnsi="宋体" w:cs="宋体"/>
                <w:b/>
                <w:color w:val="auto"/>
                <w:sz w:val="24"/>
                <w:highlight w:val="none"/>
                <w:lang w:val="en-US" w:eastAsia="zh-CN"/>
              </w:rPr>
              <w:t>12卫生防护距离计算系数表</w:t>
            </w:r>
          </w:p>
          <w:tbl>
            <w:tblPr>
              <w:tblStyle w:val="24"/>
              <w:tblW w:w="80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0"/>
              <w:gridCol w:w="670"/>
              <w:gridCol w:w="633"/>
              <w:gridCol w:w="825"/>
              <w:gridCol w:w="810"/>
              <w:gridCol w:w="510"/>
              <w:gridCol w:w="615"/>
              <w:gridCol w:w="1080"/>
              <w:gridCol w:w="585"/>
              <w:gridCol w:w="600"/>
              <w:gridCol w:w="10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67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计算系数</w:t>
                  </w:r>
                </w:p>
              </w:tc>
              <w:tc>
                <w:tcPr>
                  <w:tcW w:w="67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所在地近五年平均风速</w:t>
                  </w:r>
                  <w:r>
                    <w:rPr>
                      <w:rFonts w:hint="default" w:ascii="Times New Roman" w:hAnsi="Times New Roman" w:eastAsia="宋体" w:cs="Times New Roman"/>
                      <w:i w:val="0"/>
                      <w:iCs w:val="0"/>
                      <w:color w:val="auto"/>
                      <w:kern w:val="0"/>
                      <w:sz w:val="22"/>
                      <w:szCs w:val="22"/>
                      <w:u w:val="none"/>
                      <w:lang w:val="en-US" w:eastAsia="zh-CN" w:bidi="ar"/>
                    </w:rPr>
                    <w:t xml:space="preserve"> m/s</w:t>
                  </w:r>
                </w:p>
              </w:tc>
              <w:tc>
                <w:tcPr>
                  <w:tcW w:w="6747" w:type="dxa"/>
                  <w:gridSpan w:val="9"/>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卫生防护距离</w:t>
                  </w:r>
                  <w:r>
                    <w:rPr>
                      <w:rFonts w:hint="default" w:ascii="Times New Roman" w:hAnsi="Times New Roman" w:eastAsia="宋体" w:cs="Times New Roman"/>
                      <w:i w:val="0"/>
                      <w:iCs w:val="0"/>
                      <w:color w:val="auto"/>
                      <w:kern w:val="0"/>
                      <w:sz w:val="22"/>
                      <w:szCs w:val="22"/>
                      <w:u w:val="none"/>
                      <w:lang w:val="en-US" w:eastAsia="zh-CN" w:bidi="ar"/>
                    </w:rPr>
                    <w:t>L,m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2"/>
                      <w:szCs w:val="22"/>
                      <w:u w:val="none"/>
                    </w:rPr>
                  </w:pP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L≤1000</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1000</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L≤2000</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L</w:t>
                  </w:r>
                  <w:r>
                    <w:rPr>
                      <w:rFonts w:hint="eastAsia" w:ascii="宋体" w:hAnsi="宋体" w:eastAsia="宋体" w:cs="宋体"/>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2"/>
                      <w:szCs w:val="22"/>
                      <w:u w:val="none"/>
                    </w:rPr>
                  </w:pPr>
                </w:p>
              </w:tc>
              <w:tc>
                <w:tcPr>
                  <w:tcW w:w="63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w:t>
                  </w:r>
                </w:p>
              </w:tc>
              <w:tc>
                <w:tcPr>
                  <w:tcW w:w="82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III</w:t>
                  </w:r>
                </w:p>
              </w:tc>
              <w:tc>
                <w:tcPr>
                  <w:tcW w:w="5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w:t>
                  </w:r>
                </w:p>
              </w:tc>
              <w:tc>
                <w:tcPr>
                  <w:tcW w:w="6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III</w:t>
                  </w:r>
                </w:p>
              </w:tc>
              <w:tc>
                <w:tcPr>
                  <w:tcW w:w="58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w:t>
                  </w:r>
                </w:p>
              </w:tc>
              <w:tc>
                <w:tcPr>
                  <w:tcW w:w="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III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A</w:t>
                  </w: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63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82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5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6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400</w:t>
                  </w:r>
                </w:p>
              </w:tc>
              <w:tc>
                <w:tcPr>
                  <w:tcW w:w="58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2~4</w:t>
                  </w:r>
                </w:p>
              </w:tc>
              <w:tc>
                <w:tcPr>
                  <w:tcW w:w="63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82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470</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5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700</w:t>
                  </w:r>
                </w:p>
              </w:tc>
              <w:tc>
                <w:tcPr>
                  <w:tcW w:w="6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470</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58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380</w:t>
                  </w:r>
                </w:p>
              </w:tc>
              <w:tc>
                <w:tcPr>
                  <w:tcW w:w="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250</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4</w:t>
                  </w:r>
                </w:p>
              </w:tc>
              <w:tc>
                <w:tcPr>
                  <w:tcW w:w="63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530</w:t>
                  </w:r>
                </w:p>
              </w:tc>
              <w:tc>
                <w:tcPr>
                  <w:tcW w:w="82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8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260</w:t>
                  </w:r>
                </w:p>
              </w:tc>
              <w:tc>
                <w:tcPr>
                  <w:tcW w:w="51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530</w:t>
                  </w:r>
                </w:p>
              </w:tc>
              <w:tc>
                <w:tcPr>
                  <w:tcW w:w="61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350</w:t>
                  </w:r>
                </w:p>
              </w:tc>
              <w:tc>
                <w:tcPr>
                  <w:tcW w:w="108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260</w:t>
                  </w:r>
                </w:p>
              </w:tc>
              <w:tc>
                <w:tcPr>
                  <w:tcW w:w="58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290</w:t>
                  </w:r>
                </w:p>
              </w:tc>
              <w:tc>
                <w:tcPr>
                  <w:tcW w:w="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190</w:t>
                  </w:r>
                </w:p>
              </w:tc>
              <w:tc>
                <w:tcPr>
                  <w:tcW w:w="1089"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B</w:t>
                  </w: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0.015</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0.036</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C</w:t>
                  </w: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1.85</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1.79</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1.85</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1.77</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w:t>
                  </w: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0.78</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70"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rPr>
                  </w:pPr>
                </w:p>
              </w:tc>
              <w:tc>
                <w:tcPr>
                  <w:tcW w:w="67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w:t>
                  </w:r>
                </w:p>
              </w:tc>
              <w:tc>
                <w:tcPr>
                  <w:tcW w:w="2268"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0.84</w:t>
                  </w:r>
                </w:p>
              </w:tc>
              <w:tc>
                <w:tcPr>
                  <w:tcW w:w="2205"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0.84</w:t>
                  </w:r>
                </w:p>
              </w:tc>
              <w:tc>
                <w:tcPr>
                  <w:tcW w:w="2274" w:type="dxa"/>
                  <w:gridSpan w:val="3"/>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0.76</w:t>
                  </w:r>
                </w:p>
              </w:tc>
            </w:tr>
          </w:tbl>
          <w:p>
            <w:pPr>
              <w:pStyle w:val="66"/>
              <w:bidi w:val="0"/>
              <w:rPr>
                <w:rFonts w:hint="eastAsia"/>
                <w:color w:val="auto"/>
                <w:lang w:val="en-US" w:eastAsia="zh-CN"/>
              </w:rPr>
            </w:pPr>
            <w:r>
              <w:rPr>
                <w:rFonts w:hint="eastAsia"/>
                <w:color w:val="auto"/>
                <w:lang w:val="en-US" w:eastAsia="zh-CN"/>
              </w:rPr>
              <w:t>经上述公式计算，其结果见下表</w:t>
            </w:r>
          </w:p>
          <w:p>
            <w:pPr>
              <w:adjustRightInd w:val="0"/>
              <w:snapToGrid w:val="0"/>
              <w:spacing w:beforeLines="50" w:line="360" w:lineRule="auto"/>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表4-</w:t>
            </w:r>
            <w:r>
              <w:rPr>
                <w:rFonts w:hint="eastAsia" w:ascii="宋体" w:hAnsi="宋体" w:cs="宋体"/>
                <w:b/>
                <w:color w:val="auto"/>
                <w:sz w:val="24"/>
                <w:highlight w:val="none"/>
                <w:lang w:val="en-US" w:eastAsia="zh-CN"/>
              </w:rPr>
              <w:t>13卫生防护距离计算参数及结果表</w:t>
            </w:r>
          </w:p>
          <w:tbl>
            <w:tblPr>
              <w:tblStyle w:val="24"/>
              <w:tblW w:w="808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92"/>
              <w:gridCol w:w="975"/>
              <w:gridCol w:w="1005"/>
              <w:gridCol w:w="820"/>
              <w:gridCol w:w="899"/>
              <w:gridCol w:w="899"/>
              <w:gridCol w:w="899"/>
              <w:gridCol w:w="899"/>
              <w:gridCol w:w="8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7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无组织排放源</w:t>
                  </w:r>
                </w:p>
              </w:tc>
              <w:tc>
                <w:tcPr>
                  <w:tcW w:w="97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污染物</w:t>
                  </w:r>
                </w:p>
              </w:tc>
              <w:tc>
                <w:tcPr>
                  <w:tcW w:w="10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源强</w:t>
                  </w:r>
                  <w:r>
                    <w:rPr>
                      <w:rFonts w:hint="default" w:ascii="Times New Roman" w:hAnsi="Times New Roman" w:eastAsia="宋体" w:cs="Times New Roman"/>
                      <w:color w:val="auto"/>
                      <w:highlight w:val="none"/>
                      <w:lang w:val="en-US" w:eastAsia="zh-CN"/>
                    </w:rPr>
                    <w:t>kg/h</w:t>
                  </w:r>
                </w:p>
              </w:tc>
              <w:tc>
                <w:tcPr>
                  <w:tcW w:w="8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参数A</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参数B</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参数C</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参数D</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卫生防护距离计算值（m</w:t>
                  </w:r>
                  <w:r>
                    <w:rPr>
                      <w:rFonts w:hint="eastAsia" w:ascii="Times New Roman" w:hAnsi="Times New Roman" w:eastAsia="宋体" w:cs="Times New Roman"/>
                      <w:i w:val="0"/>
                      <w:iCs w:val="0"/>
                      <w:color w:val="auto"/>
                      <w:kern w:val="0"/>
                      <w:sz w:val="22"/>
                      <w:szCs w:val="22"/>
                      <w:u w:val="none"/>
                      <w:lang w:val="en-US" w:eastAsia="zh-CN" w:bidi="ar"/>
                    </w:rPr>
                    <w:t>）</w:t>
                  </w:r>
                </w:p>
              </w:tc>
              <w:tc>
                <w:tcPr>
                  <w:tcW w:w="89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卫生防护距离（m</w:t>
                  </w:r>
                  <w:r>
                    <w:rPr>
                      <w:rFonts w:hint="eastAsia" w:ascii="Times New Roman" w:hAnsi="Times New Roman" w:eastAsia="宋体" w:cs="Times New Roman"/>
                      <w:i w:val="0"/>
                      <w:iCs w:val="0"/>
                      <w:color w:val="auto"/>
                      <w:kern w:val="0"/>
                      <w:sz w:val="22"/>
                      <w:szCs w:val="22"/>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792" w:type="dxa"/>
                  <w:vMerge w:val="restart"/>
                  <w:tcBorders>
                    <w:tl2br w:val="nil"/>
                    <w:tr2bl w:val="nil"/>
                  </w:tcBorders>
                  <w:noWrap/>
                  <w:vAlign w:val="center"/>
                </w:tcPr>
                <w:p>
                  <w:pPr>
                    <w:jc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生产区域</w:t>
                  </w:r>
                </w:p>
              </w:tc>
              <w:tc>
                <w:tcPr>
                  <w:tcW w:w="975"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颗粒物</w:t>
                  </w:r>
                </w:p>
              </w:tc>
              <w:tc>
                <w:tcPr>
                  <w:tcW w:w="1005"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rPr>
                  </w:pPr>
                  <w:r>
                    <w:rPr>
                      <w:rFonts w:hint="eastAsia" w:cs="Times New Roman"/>
                      <w:color w:val="auto"/>
                      <w:kern w:val="0"/>
                      <w:szCs w:val="24"/>
                      <w:lang w:val="en-US" w:eastAsia="zh-CN" w:bidi="ar"/>
                    </w:rPr>
                    <w:t>0.205</w:t>
                  </w:r>
                </w:p>
              </w:tc>
              <w:tc>
                <w:tcPr>
                  <w:tcW w:w="820"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400</w:t>
                  </w:r>
                </w:p>
              </w:tc>
              <w:tc>
                <w:tcPr>
                  <w:tcW w:w="899"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0.01</w:t>
                  </w:r>
                </w:p>
              </w:tc>
              <w:tc>
                <w:tcPr>
                  <w:tcW w:w="899"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1.85</w:t>
                  </w:r>
                </w:p>
              </w:tc>
              <w:tc>
                <w:tcPr>
                  <w:tcW w:w="899"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0.78</w:t>
                  </w:r>
                </w:p>
              </w:tc>
              <w:tc>
                <w:tcPr>
                  <w:tcW w:w="899"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13.0</w:t>
                  </w:r>
                </w:p>
              </w:tc>
              <w:tc>
                <w:tcPr>
                  <w:tcW w:w="899" w:type="dxa"/>
                  <w:tcBorders>
                    <w:tl2br w:val="nil"/>
                    <w:tr2bl w:val="nil"/>
                  </w:tcBorders>
                  <w:noWrap/>
                  <w:vAlign w:val="center"/>
                </w:tcPr>
                <w:p>
                  <w:pPr>
                    <w:jc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792" w:type="dxa"/>
                  <w:vMerge w:val="continue"/>
                  <w:tcBorders>
                    <w:tl2br w:val="nil"/>
                    <w:tr2bl w:val="nil"/>
                  </w:tcBorders>
                  <w:noWrap/>
                  <w:vAlign w:val="center"/>
                </w:tcPr>
                <w:p>
                  <w:pPr>
                    <w:jc w:val="center"/>
                    <w:rPr>
                      <w:rFonts w:hint="eastAsia" w:ascii="宋体" w:hAnsi="宋体" w:eastAsia="宋体" w:cs="宋体"/>
                      <w:i w:val="0"/>
                      <w:iCs w:val="0"/>
                      <w:color w:val="auto"/>
                      <w:sz w:val="22"/>
                      <w:szCs w:val="22"/>
                      <w:u w:val="none"/>
                      <w:lang w:val="en-US" w:eastAsia="zh-CN"/>
                    </w:rPr>
                  </w:pPr>
                </w:p>
              </w:tc>
              <w:tc>
                <w:tcPr>
                  <w:tcW w:w="975" w:type="dxa"/>
                  <w:tcBorders>
                    <w:tl2br w:val="nil"/>
                    <w:tr2bl w:val="nil"/>
                  </w:tcBorders>
                  <w:noWrap/>
                  <w:vAlign w:val="center"/>
                </w:tcPr>
                <w:p>
                  <w:pPr>
                    <w:jc w:val="center"/>
                    <w:rPr>
                      <w:rFonts w:hint="default"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VOCs</w:t>
                  </w:r>
                </w:p>
              </w:tc>
              <w:tc>
                <w:tcPr>
                  <w:tcW w:w="1005" w:type="dxa"/>
                  <w:tcBorders>
                    <w:tl2br w:val="nil"/>
                    <w:tr2bl w:val="nil"/>
                  </w:tcBorders>
                  <w:noWrap/>
                  <w:vAlign w:val="center"/>
                </w:tcPr>
                <w:p>
                  <w:pPr>
                    <w:jc w:val="center"/>
                    <w:rPr>
                      <w:rFonts w:hint="default"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0.1695</w:t>
                  </w:r>
                </w:p>
              </w:tc>
              <w:tc>
                <w:tcPr>
                  <w:tcW w:w="820" w:type="dxa"/>
                  <w:tcBorders>
                    <w:tl2br w:val="nil"/>
                    <w:tr2bl w:val="nil"/>
                  </w:tcBorders>
                  <w:noWrap/>
                  <w:vAlign w:val="center"/>
                </w:tcPr>
                <w:p>
                  <w:pPr>
                    <w:jc w:val="center"/>
                    <w:rPr>
                      <w:rFonts w:hint="default" w:cs="Times New Roman"/>
                      <w:i w:val="0"/>
                      <w:iCs w:val="0"/>
                      <w:color w:val="auto"/>
                      <w:sz w:val="22"/>
                      <w:szCs w:val="22"/>
                      <w:u w:val="none"/>
                      <w:lang w:val="en-US" w:eastAsia="zh-CN"/>
                    </w:rPr>
                  </w:pPr>
                  <w:r>
                    <w:rPr>
                      <w:rFonts w:hint="default" w:cs="Times New Roman"/>
                      <w:i w:val="0"/>
                      <w:iCs w:val="0"/>
                      <w:color w:val="auto"/>
                      <w:sz w:val="22"/>
                      <w:szCs w:val="22"/>
                      <w:u w:val="none"/>
                      <w:lang w:val="en-US" w:eastAsia="zh-CN"/>
                    </w:rPr>
                    <w:t>400</w:t>
                  </w:r>
                </w:p>
              </w:tc>
              <w:tc>
                <w:tcPr>
                  <w:tcW w:w="899" w:type="dxa"/>
                  <w:tcBorders>
                    <w:tl2br w:val="nil"/>
                    <w:tr2bl w:val="nil"/>
                  </w:tcBorders>
                  <w:noWrap/>
                  <w:vAlign w:val="center"/>
                </w:tcPr>
                <w:p>
                  <w:pPr>
                    <w:jc w:val="center"/>
                    <w:rPr>
                      <w:rFonts w:hint="default" w:ascii="Times New Roman" w:hAnsi="Times New Roman"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0.01</w:t>
                  </w:r>
                </w:p>
              </w:tc>
              <w:tc>
                <w:tcPr>
                  <w:tcW w:w="899" w:type="dxa"/>
                  <w:tcBorders>
                    <w:tl2br w:val="nil"/>
                    <w:tr2bl w:val="nil"/>
                  </w:tcBorders>
                  <w:noWrap/>
                  <w:vAlign w:val="center"/>
                </w:tcPr>
                <w:p>
                  <w:pPr>
                    <w:jc w:val="center"/>
                    <w:rPr>
                      <w:rFonts w:hint="default" w:ascii="Times New Roman" w:hAnsi="Times New Roman"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1.85</w:t>
                  </w:r>
                </w:p>
              </w:tc>
              <w:tc>
                <w:tcPr>
                  <w:tcW w:w="899" w:type="dxa"/>
                  <w:tcBorders>
                    <w:tl2br w:val="nil"/>
                    <w:tr2bl w:val="nil"/>
                  </w:tcBorders>
                  <w:noWrap/>
                  <w:vAlign w:val="center"/>
                </w:tcPr>
                <w:p>
                  <w:pPr>
                    <w:jc w:val="center"/>
                    <w:rPr>
                      <w:rFonts w:hint="default" w:ascii="Times New Roman" w:hAnsi="Times New Roman" w:cs="Times New Roman"/>
                      <w:i w:val="0"/>
                      <w:iCs w:val="0"/>
                      <w:color w:val="auto"/>
                      <w:sz w:val="22"/>
                      <w:szCs w:val="22"/>
                      <w:u w:val="none"/>
                      <w:lang w:val="en-US" w:eastAsia="zh-CN"/>
                    </w:rPr>
                  </w:pPr>
                  <w:r>
                    <w:rPr>
                      <w:rFonts w:hint="default" w:ascii="Times New Roman" w:hAnsi="Times New Roman" w:cs="Times New Roman"/>
                      <w:i w:val="0"/>
                      <w:iCs w:val="0"/>
                      <w:color w:val="auto"/>
                      <w:sz w:val="22"/>
                      <w:szCs w:val="22"/>
                      <w:u w:val="none"/>
                      <w:lang w:val="en-US" w:eastAsia="zh-CN"/>
                    </w:rPr>
                    <w:t>0.78</w:t>
                  </w:r>
                </w:p>
              </w:tc>
              <w:tc>
                <w:tcPr>
                  <w:tcW w:w="899" w:type="dxa"/>
                  <w:tcBorders>
                    <w:tl2br w:val="nil"/>
                    <w:tr2bl w:val="nil"/>
                  </w:tcBorders>
                  <w:noWrap/>
                  <w:vAlign w:val="center"/>
                </w:tcPr>
                <w:p>
                  <w:pPr>
                    <w:jc w:val="center"/>
                    <w:rPr>
                      <w:rFonts w:hint="default" w:ascii="Times New Roman" w:hAnsi="Times New Roman"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16.5</w:t>
                  </w:r>
                </w:p>
              </w:tc>
              <w:tc>
                <w:tcPr>
                  <w:tcW w:w="899" w:type="dxa"/>
                  <w:tcBorders>
                    <w:tl2br w:val="nil"/>
                    <w:tr2bl w:val="nil"/>
                  </w:tcBorders>
                  <w:noWrap/>
                  <w:vAlign w:val="center"/>
                </w:tcPr>
                <w:p>
                  <w:pPr>
                    <w:jc w:val="center"/>
                    <w:rPr>
                      <w:rFonts w:hint="default" w:ascii="Times New Roman" w:hAnsi="Times New Roman" w:cs="Times New Roman"/>
                      <w:i w:val="0"/>
                      <w:iCs w:val="0"/>
                      <w:color w:val="auto"/>
                      <w:sz w:val="22"/>
                      <w:szCs w:val="22"/>
                      <w:u w:val="none"/>
                      <w:lang w:val="en-US" w:eastAsia="zh-CN"/>
                    </w:rPr>
                  </w:pPr>
                  <w:r>
                    <w:rPr>
                      <w:rFonts w:hint="eastAsia" w:cs="Times New Roman"/>
                      <w:i w:val="0"/>
                      <w:iCs w:val="0"/>
                      <w:color w:val="auto"/>
                      <w:sz w:val="22"/>
                      <w:szCs w:val="22"/>
                      <w:u w:val="none"/>
                      <w:lang w:val="en-US" w:eastAsia="zh-CN"/>
                    </w:rPr>
                    <w:t>50</w:t>
                  </w:r>
                </w:p>
              </w:tc>
            </w:tr>
          </w:tbl>
          <w:p>
            <w:pPr>
              <w:pStyle w:val="66"/>
              <w:bidi w:val="0"/>
              <w:rPr>
                <w:rFonts w:hint="default"/>
                <w:lang w:val="en-US" w:eastAsia="zh-CN"/>
              </w:rPr>
            </w:pPr>
            <w:r>
              <w:rPr>
                <w:rFonts w:hint="default"/>
                <w:lang w:val="en-US" w:eastAsia="zh-CN"/>
              </w:rPr>
              <w:t>根据计算，本项目L</w:t>
            </w:r>
            <w:r>
              <w:rPr>
                <w:rFonts w:hint="eastAsia"/>
                <w:lang w:val="en-US" w:eastAsia="zh-CN"/>
              </w:rPr>
              <w:t>&lt;50</w:t>
            </w:r>
            <w:r>
              <w:rPr>
                <w:rFonts w:hint="default"/>
                <w:lang w:val="en-US" w:eastAsia="zh-CN"/>
              </w:rPr>
              <w:t>m，因卫生防护距离初值小于50m时，级差为50m。因此本项目以无组织排放车间为界，卫生防护距离终值取50m。</w:t>
            </w:r>
          </w:p>
          <w:p>
            <w:pPr>
              <w:pStyle w:val="66"/>
              <w:bidi w:val="0"/>
              <w:rPr>
                <w:rFonts w:hint="default" w:ascii="Times New Roman" w:hAnsi="Times New Roman" w:cs="Times New Roman"/>
                <w:color w:val="auto"/>
                <w:highlight w:val="none"/>
              </w:rPr>
            </w:pPr>
            <w:r>
              <w:rPr>
                <w:rFonts w:hint="eastAsia"/>
                <w:lang w:val="en-US" w:eastAsia="zh-CN"/>
              </w:rPr>
              <w:t>卫生防护距离内管理要求：项目卫生防护距离内不得新建粉尘敏感项目，如食品、医药等。</w:t>
            </w:r>
          </w:p>
          <w:p>
            <w:pPr>
              <w:spacing w:line="360" w:lineRule="auto"/>
              <w:ind w:firstLine="422" w:firstLineChars="200"/>
              <w:rPr>
                <w:color w:val="auto"/>
                <w:sz w:val="24"/>
                <w:highlight w:val="none"/>
              </w:rPr>
            </w:pPr>
            <w:r>
              <w:rPr>
                <w:b/>
                <w:bCs/>
                <w:color w:val="auto"/>
                <w:highlight w:val="none"/>
              </w:rPr>
              <w:t>（</w:t>
            </w:r>
            <w:r>
              <w:rPr>
                <w:rFonts w:hint="eastAsia"/>
                <w:b/>
                <w:bCs/>
                <w:color w:val="auto"/>
                <w:highlight w:val="none"/>
                <w:lang w:val="en-US" w:eastAsia="zh-CN"/>
              </w:rPr>
              <w:t>4</w:t>
            </w:r>
            <w:r>
              <w:rPr>
                <w:b/>
                <w:bCs/>
                <w:color w:val="auto"/>
                <w:highlight w:val="none"/>
              </w:rPr>
              <w:t>）</w:t>
            </w:r>
            <w:r>
              <w:rPr>
                <w:b/>
                <w:bCs/>
                <w:color w:val="auto"/>
                <w:sz w:val="24"/>
                <w:szCs w:val="20"/>
                <w:highlight w:val="none"/>
              </w:rPr>
              <w:t>废气排放环境影响定性分析</w:t>
            </w:r>
          </w:p>
          <w:p>
            <w:pPr>
              <w:spacing w:line="420" w:lineRule="auto"/>
              <w:ind w:firstLine="480" w:firstLineChars="200"/>
              <w:rPr>
                <w:color w:val="auto"/>
                <w:sz w:val="24"/>
                <w:highlight w:val="none"/>
              </w:rPr>
            </w:pPr>
            <w:r>
              <w:rPr>
                <w:color w:val="auto"/>
                <w:kern w:val="0"/>
                <w:sz w:val="24"/>
                <w:highlight w:val="none"/>
                <w:lang w:bidi="ar"/>
              </w:rPr>
              <w:t>根据分析，项目采取本次环评提出的措施处理后，</w:t>
            </w:r>
            <w:r>
              <w:rPr>
                <w:rFonts w:hint="eastAsia"/>
                <w:color w:val="auto"/>
                <w:kern w:val="0"/>
                <w:sz w:val="24"/>
                <w:highlight w:val="none"/>
                <w:lang w:eastAsia="zh-CN" w:bidi="ar"/>
              </w:rPr>
              <w:t>颗粒物排放速率为</w:t>
            </w:r>
            <w:r>
              <w:rPr>
                <w:rFonts w:hint="eastAsia"/>
                <w:color w:val="auto"/>
                <w:kern w:val="0"/>
                <w:sz w:val="24"/>
                <w:highlight w:val="none"/>
                <w:lang w:val="en-US" w:eastAsia="zh-CN" w:bidi="ar"/>
              </w:rPr>
              <w:t>0.2520kg/h，VOCs排放速率为0.5088kg/h，</w:t>
            </w:r>
            <w:r>
              <w:rPr>
                <w:color w:val="auto"/>
                <w:kern w:val="0"/>
                <w:sz w:val="24"/>
                <w:highlight w:val="none"/>
                <w:lang w:bidi="ar"/>
              </w:rPr>
              <w:t>废气污染源均可以做到达标排放</w:t>
            </w:r>
            <w:r>
              <w:rPr>
                <w:color w:val="auto"/>
                <w:sz w:val="24"/>
                <w:highlight w:val="none"/>
              </w:rPr>
              <w:t>。整体而言，本项目的建设和运营，不会对周边的大气环境造成明显影响。</w:t>
            </w:r>
          </w:p>
          <w:p>
            <w:pPr>
              <w:spacing w:line="420" w:lineRule="auto"/>
              <w:rPr>
                <w:rFonts w:hint="eastAsia"/>
                <w:b/>
                <w:bCs/>
                <w:snapToGrid w:val="0"/>
                <w:kern w:val="0"/>
                <w:sz w:val="24"/>
                <w:szCs w:val="22"/>
              </w:rPr>
            </w:pPr>
          </w:p>
          <w:p>
            <w:pPr>
              <w:spacing w:line="360" w:lineRule="auto"/>
              <w:ind w:left="420" w:leftChars="200"/>
              <w:rPr>
                <w:b/>
                <w:bCs/>
                <w:sz w:val="24"/>
                <w:szCs w:val="20"/>
              </w:rPr>
            </w:pPr>
            <w:r>
              <w:rPr>
                <w:b/>
                <w:bCs/>
                <w:sz w:val="24"/>
                <w:szCs w:val="20"/>
              </w:rPr>
              <w:t>2、废水排放及处理措施</w:t>
            </w:r>
          </w:p>
          <w:p>
            <w:pPr>
              <w:spacing w:line="420" w:lineRule="auto"/>
              <w:ind w:firstLine="480" w:firstLineChars="200"/>
              <w:rPr>
                <w:sz w:val="24"/>
                <w:szCs w:val="20"/>
              </w:rPr>
            </w:pPr>
            <w:r>
              <w:rPr>
                <w:sz w:val="24"/>
                <w:szCs w:val="20"/>
              </w:rPr>
              <w:t>本项目运营期废水</w:t>
            </w:r>
            <w:r>
              <w:rPr>
                <w:rFonts w:hint="eastAsia"/>
                <w:sz w:val="24"/>
                <w:szCs w:val="20"/>
                <w:lang w:val="en-US" w:eastAsia="zh-CN"/>
              </w:rPr>
              <w:t>分为</w:t>
            </w:r>
            <w:r>
              <w:rPr>
                <w:sz w:val="24"/>
                <w:szCs w:val="20"/>
              </w:rPr>
              <w:t>生活</w:t>
            </w:r>
            <w:r>
              <w:rPr>
                <w:rFonts w:hint="eastAsia"/>
                <w:sz w:val="24"/>
                <w:szCs w:val="20"/>
                <w:lang w:val="en-US" w:eastAsia="zh-CN"/>
              </w:rPr>
              <w:t>污水和生产废水</w:t>
            </w:r>
            <w:r>
              <w:rPr>
                <w:sz w:val="24"/>
                <w:szCs w:val="20"/>
              </w:rPr>
              <w:t>。</w:t>
            </w:r>
          </w:p>
          <w:p>
            <w:pPr>
              <w:spacing w:line="420" w:lineRule="auto"/>
              <w:ind w:firstLine="482" w:firstLineChars="200"/>
              <w:rPr>
                <w:rFonts w:hint="default" w:ascii="Times New Roman" w:hAnsi="Times New Roman" w:cs="Times New Roman"/>
                <w:b/>
                <w:bCs/>
                <w:color w:val="auto"/>
                <w:sz w:val="24"/>
                <w:szCs w:val="20"/>
                <w:lang w:eastAsia="zh-CN"/>
              </w:rPr>
            </w:pPr>
            <w:r>
              <w:rPr>
                <w:rFonts w:hint="default" w:ascii="Times New Roman" w:hAnsi="Times New Roman" w:cs="Times New Roman"/>
                <w:b/>
                <w:bCs/>
                <w:color w:val="auto"/>
                <w:sz w:val="24"/>
                <w:szCs w:val="20"/>
                <w:lang w:eastAsia="zh-CN"/>
              </w:rPr>
              <w:t>①</w:t>
            </w:r>
            <w:r>
              <w:rPr>
                <w:rFonts w:hint="eastAsia" w:ascii="Times New Roman" w:hAnsi="Times New Roman" w:cs="Times New Roman"/>
                <w:b/>
                <w:bCs/>
                <w:color w:val="auto"/>
                <w:sz w:val="24"/>
                <w:szCs w:val="20"/>
                <w:lang w:eastAsia="zh-CN"/>
              </w:rPr>
              <w:t>生活污水</w:t>
            </w:r>
            <w:r>
              <w:rPr>
                <w:rFonts w:hint="default" w:ascii="Times New Roman" w:hAnsi="Times New Roman" w:cs="Times New Roman"/>
                <w:b/>
                <w:bCs/>
                <w:color w:val="auto"/>
                <w:sz w:val="24"/>
                <w:szCs w:val="20"/>
                <w:lang w:eastAsia="zh-CN"/>
              </w:rPr>
              <w:t>：</w:t>
            </w:r>
          </w:p>
          <w:p>
            <w:pPr>
              <w:spacing w:line="420" w:lineRule="auto"/>
              <w:ind w:firstLine="480" w:firstLineChars="200"/>
              <w:rPr>
                <w:rFonts w:hint="default" w:ascii="Times New Roman" w:hAnsi="Times New Roman" w:eastAsia="宋体" w:cs="Times New Roman"/>
                <w:b/>
                <w:bCs/>
                <w:color w:val="auto"/>
                <w:sz w:val="24"/>
                <w:szCs w:val="20"/>
                <w:lang w:val="en-US" w:eastAsia="zh-CN"/>
              </w:rPr>
            </w:pPr>
            <w:r>
              <w:rPr>
                <w:rFonts w:hint="eastAsia"/>
                <w:sz w:val="24"/>
                <w:szCs w:val="20"/>
              </w:rPr>
              <w:t>根据《四川省用水定额》（川府函〔2021〕8号），结合遂宁市当地实际情况确定本项目办公生活用水定额为160L每人每日。项目定员40人，据此本项目生活和办公用水的最大日用量为6.4m</w:t>
            </w:r>
            <w:r>
              <w:rPr>
                <w:rFonts w:hint="eastAsia"/>
                <w:sz w:val="24"/>
                <w:szCs w:val="20"/>
                <w:vertAlign w:val="superscript"/>
              </w:rPr>
              <w:t>3</w:t>
            </w:r>
            <w:r>
              <w:rPr>
                <w:rFonts w:hint="eastAsia"/>
                <w:sz w:val="24"/>
                <w:szCs w:val="20"/>
              </w:rPr>
              <w:t>/d。在使用过程中自然耗散20%，则</w:t>
            </w:r>
            <w:r>
              <w:rPr>
                <w:rFonts w:hint="eastAsia"/>
                <w:sz w:val="24"/>
                <w:szCs w:val="20"/>
                <w:lang w:eastAsia="zh-CN"/>
              </w:rPr>
              <w:t>生活污水</w:t>
            </w:r>
            <w:r>
              <w:rPr>
                <w:rFonts w:hint="eastAsia"/>
                <w:sz w:val="24"/>
                <w:szCs w:val="20"/>
              </w:rPr>
              <w:t>产生及排放量约5.12m</w:t>
            </w:r>
            <w:r>
              <w:rPr>
                <w:rFonts w:hint="eastAsia"/>
                <w:sz w:val="24"/>
                <w:szCs w:val="20"/>
                <w:vertAlign w:val="superscript"/>
              </w:rPr>
              <w:t>3</w:t>
            </w:r>
            <w:r>
              <w:rPr>
                <w:rFonts w:hint="eastAsia"/>
                <w:sz w:val="24"/>
                <w:szCs w:val="20"/>
              </w:rPr>
              <w:t>/d</w:t>
            </w:r>
            <w:r>
              <w:rPr>
                <w:sz w:val="24"/>
                <w:szCs w:val="20"/>
              </w:rPr>
              <w:t>。</w:t>
            </w:r>
            <w:r>
              <w:rPr>
                <w:rFonts w:hint="eastAsia"/>
                <w:sz w:val="24"/>
                <w:szCs w:val="20"/>
                <w:lang w:eastAsia="zh-CN"/>
              </w:rPr>
              <w:t>生活污水经既有</w:t>
            </w:r>
            <w:r>
              <w:rPr>
                <w:sz w:val="24"/>
                <w:szCs w:val="20"/>
              </w:rPr>
              <w:t>预处理池处理达《污水综合排放标准》（GB8978-1996）三级标准及《污水排入城市下水道水质标准》GB/T31962-2015 B级标准后排入市政污水管网送蓬溪县经开区污水处理厂处理</w:t>
            </w:r>
            <w:r>
              <w:rPr>
                <w:rFonts w:hint="default" w:ascii="Times New Roman" w:hAnsi="Times New Roman" w:cs="Times New Roman"/>
                <w:color w:val="auto"/>
                <w:sz w:val="24"/>
                <w:szCs w:val="22"/>
                <w:lang w:val="en-US" w:eastAsia="zh-CN"/>
              </w:rPr>
              <w:t>。</w:t>
            </w:r>
          </w:p>
          <w:p>
            <w:pPr>
              <w:pStyle w:val="66"/>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②生产废水</w:t>
            </w:r>
          </w:p>
          <w:p>
            <w:pPr>
              <w:pStyle w:val="66"/>
              <w:bidi w:val="0"/>
              <w:rPr>
                <w:rFonts w:hint="eastAsia" w:ascii="Times New Roman" w:hAnsi="Times New Roman" w:cs="Times New Roman"/>
                <w:color w:val="auto"/>
                <w:lang w:val="en-US" w:eastAsia="zh-CN"/>
              </w:rPr>
            </w:pPr>
            <w:r>
              <w:rPr>
                <w:rFonts w:hint="eastAsia" w:ascii="Times New Roman" w:hAnsi="Times New Roman" w:cs="Times New Roman"/>
                <w:b w:val="0"/>
                <w:bCs w:val="0"/>
                <w:color w:val="auto"/>
                <w:lang w:val="en-US" w:eastAsia="zh-CN"/>
              </w:rPr>
              <w:t>本项目生产废水主要为塑料框生产线循环冷却水更新排水、造粒生产线循环冷却水更新排水、废塑料破碎</w:t>
            </w:r>
            <w:r>
              <w:rPr>
                <w:rFonts w:hint="eastAsia" w:ascii="Times New Roman" w:hAnsi="Times New Roman" w:cs="Times New Roman"/>
                <w:color w:val="auto"/>
                <w:lang w:val="en-US" w:eastAsia="zh-CN"/>
              </w:rPr>
              <w:t>洗线用水，生产废水总量约17.15m³/d。</w:t>
            </w:r>
          </w:p>
          <w:p>
            <w:pPr>
              <w:pStyle w:val="67"/>
              <w:bidi w:val="0"/>
              <w:rPr>
                <w:rFonts w:hint="eastAsia"/>
                <w:color w:val="auto"/>
                <w:lang w:val="en-US" w:eastAsia="zh-CN"/>
              </w:rPr>
            </w:pPr>
            <w:r>
              <w:rPr>
                <w:rFonts w:hint="eastAsia" w:ascii="Times New Roman" w:hAnsi="Times New Roman" w:cs="Times New Roman"/>
                <w:color w:val="auto"/>
                <w:lang w:val="en-US" w:eastAsia="zh-CN"/>
              </w:rPr>
              <w:t>本项目废水处理工艺参考同行业方誉科技的废水处理工艺建设，具体处理工艺为：“</w:t>
            </w:r>
            <w:r>
              <w:rPr>
                <w:rFonts w:hint="eastAsia"/>
                <w:color w:val="auto"/>
              </w:rPr>
              <w:t>pH调节+</w:t>
            </w:r>
            <w:r>
              <w:rPr>
                <w:color w:val="auto"/>
              </w:rPr>
              <w:t>三级沉淀池+滤网+洗渣机(滚筒式</w:t>
            </w:r>
            <w:r>
              <w:rPr>
                <w:rFonts w:hint="eastAsia"/>
                <w:color w:val="auto"/>
                <w:lang w:eastAsia="zh-CN"/>
              </w:rPr>
              <w:t>）</w:t>
            </w:r>
            <w:r>
              <w:rPr>
                <w:color w:val="auto"/>
              </w:rPr>
              <w:t>+压滤机+一级气浮+二级气浮+调节池+A/O</w:t>
            </w:r>
            <w:r>
              <w:rPr>
                <w:rFonts w:hint="eastAsia"/>
                <w:color w:val="auto"/>
                <w:lang w:val="en-US" w:eastAsia="zh-CN"/>
              </w:rPr>
              <w:t>生化处理</w:t>
            </w:r>
            <w:r>
              <w:rPr>
                <w:color w:val="auto"/>
              </w:rPr>
              <w:t>+</w:t>
            </w:r>
            <w:r>
              <w:rPr>
                <w:rFonts w:hint="eastAsia" w:ascii="Times New Roman" w:hAnsi="Times New Roman" w:cs="Times New Roman"/>
                <w:color w:val="auto"/>
                <w:sz w:val="24"/>
                <w:szCs w:val="24"/>
                <w:lang w:val="en-US" w:eastAsia="zh-CN"/>
              </w:rPr>
              <w:t>二次池淀</w:t>
            </w:r>
            <w:r>
              <w:rPr>
                <w:rFonts w:hint="eastAsia" w:ascii="Times New Roman" w:hAnsi="Times New Roman" w:cs="Times New Roman"/>
                <w:color w:val="auto"/>
                <w:lang w:val="en-US" w:eastAsia="zh-CN"/>
              </w:rPr>
              <w:t>”</w:t>
            </w:r>
            <w:r>
              <w:rPr>
                <w:color w:val="auto"/>
              </w:rPr>
              <w:t>处理工艺，设计处理能力</w:t>
            </w:r>
            <w:r>
              <w:rPr>
                <w:rFonts w:hint="eastAsia"/>
                <w:color w:val="auto"/>
                <w:lang w:val="en-US" w:eastAsia="zh-CN"/>
              </w:rPr>
              <w:t>2</w:t>
            </w:r>
            <w:r>
              <w:rPr>
                <w:color w:val="auto"/>
              </w:rPr>
              <w:t>0m³/d</w:t>
            </w:r>
            <w:r>
              <w:rPr>
                <w:rFonts w:hint="eastAsia"/>
                <w:color w:val="auto"/>
                <w:lang w:eastAsia="zh-CN"/>
              </w:rPr>
              <w:t>，</w:t>
            </w:r>
            <w:r>
              <w:rPr>
                <w:rFonts w:hint="eastAsia"/>
                <w:color w:val="auto"/>
                <w:lang w:val="en-US" w:eastAsia="zh-CN"/>
              </w:rPr>
              <w:t>项目污水处理工艺流程如下：</w:t>
            </w:r>
          </w:p>
          <w:p>
            <w:pPr>
              <w:pStyle w:val="66"/>
              <w:bidi w:val="0"/>
              <w:rPr>
                <w:rFonts w:hint="default" w:ascii="Times New Roman" w:hAnsi="Times New Roman" w:cs="Times New Roman"/>
                <w:color w:val="auto"/>
              </w:rPr>
            </w:pPr>
            <w:r>
              <w:rPr>
                <w:rFonts w:hint="default" w:ascii="Times New Roman" w:hAnsi="Times New Roman" w:cs="Times New Roman"/>
                <w:color w:val="auto"/>
              </w:rPr>
              <w:t>污水处理工艺流程说明：</w:t>
            </w:r>
          </w:p>
          <w:p>
            <w:pPr>
              <w:pStyle w:val="66"/>
              <w:bidi w:val="0"/>
              <w:rPr>
                <w:rFonts w:hint="default" w:ascii="Times New Roman" w:hAnsi="Times New Roman" w:cs="Times New Roman"/>
                <w:color w:val="auto"/>
              </w:rPr>
            </w:pPr>
            <w:r>
              <w:rPr>
                <w:rFonts w:hint="eastAsia" w:ascii="Times New Roman" w:hAnsi="Times New Roman" w:cs="Times New Roman"/>
                <w:color w:val="auto"/>
                <w:lang w:val="en-US" w:eastAsia="zh-CN"/>
              </w:rPr>
              <w:t>本项目废水处理工艺参考临近同类型企业方誉科技污水处理工艺</w:t>
            </w:r>
            <w:r>
              <w:rPr>
                <w:rFonts w:hint="eastAsia" w:ascii="Times New Roman" w:hAnsi="Times New Roman" w:cs="Times New Roman"/>
                <w:color w:val="auto"/>
                <w:lang w:eastAsia="zh-CN"/>
              </w:rPr>
              <w:t>：废水</w:t>
            </w:r>
            <w:r>
              <w:rPr>
                <w:rFonts w:hint="eastAsia" w:ascii="Times New Roman" w:hAnsi="Times New Roman" w:eastAsia="宋体" w:cs="Times New Roman"/>
                <w:color w:val="auto"/>
                <w:lang w:val="en-US" w:eastAsia="zh-CN"/>
              </w:rPr>
              <w:t>经pH调节后再进入沉淀池</w:t>
            </w:r>
            <w:r>
              <w:rPr>
                <w:rFonts w:hint="default" w:ascii="Times New Roman" w:hAnsi="Times New Roman" w:cs="Times New Roman"/>
                <w:color w:val="auto"/>
              </w:rPr>
              <w:t>，</w:t>
            </w:r>
            <w:r>
              <w:rPr>
                <w:rFonts w:hint="eastAsia" w:ascii="Times New Roman" w:hAnsi="Times New Roman" w:cs="Times New Roman"/>
                <w:color w:val="auto"/>
                <w:lang w:val="en-US" w:eastAsia="zh-CN"/>
              </w:rPr>
              <w:t>沉淀池内添加PAC/PAM对废水进行预处理</w:t>
            </w:r>
            <w:r>
              <w:rPr>
                <w:rFonts w:hint="default" w:ascii="Times New Roman" w:hAnsi="Times New Roman" w:cs="Times New Roman"/>
                <w:color w:val="auto"/>
              </w:rPr>
              <w:t>。</w:t>
            </w:r>
            <w:r>
              <w:rPr>
                <w:rFonts w:hint="eastAsia" w:ascii="Times New Roman" w:hAnsi="Times New Roman" w:cs="Times New Roman"/>
                <w:color w:val="auto"/>
                <w:lang w:val="en-US" w:eastAsia="zh-CN"/>
              </w:rPr>
              <w:t>沉淀</w:t>
            </w:r>
            <w:r>
              <w:rPr>
                <w:rFonts w:hint="default" w:ascii="Times New Roman" w:hAnsi="Times New Roman" w:cs="Times New Roman"/>
                <w:color w:val="auto"/>
              </w:rPr>
              <w:t>池</w:t>
            </w:r>
            <w:r>
              <w:rPr>
                <w:rFonts w:hint="eastAsia" w:ascii="Times New Roman" w:hAnsi="Times New Roman" w:cs="Times New Roman"/>
                <w:color w:val="auto"/>
                <w:lang w:val="en-US" w:eastAsia="zh-CN"/>
              </w:rPr>
              <w:t>出口设置</w:t>
            </w:r>
            <w:r>
              <w:rPr>
                <w:rFonts w:hint="default" w:ascii="Times New Roman" w:hAnsi="Times New Roman" w:cs="Times New Roman"/>
                <w:color w:val="auto"/>
              </w:rPr>
              <w:t>滤网</w:t>
            </w:r>
            <w:r>
              <w:rPr>
                <w:rFonts w:hint="eastAsia" w:ascii="Times New Roman" w:hAnsi="Times New Roman" w:cs="Times New Roman"/>
                <w:color w:val="auto"/>
                <w:lang w:val="en-US" w:eastAsia="zh-CN"/>
              </w:rPr>
              <w:t>过滤</w:t>
            </w:r>
            <w:r>
              <w:rPr>
                <w:rFonts w:hint="default" w:ascii="Times New Roman" w:hAnsi="Times New Roman" w:cs="Times New Roman"/>
                <w:color w:val="auto"/>
              </w:rPr>
              <w:t>，在滤网的截留作用下，能有效的去除废水中细小的固体杂物，比如纤维、碎片、碎石等；从而有效避免对后续处理设施及管路的堵塞与磨损。三级沉淀池出水通过洗渣机(滚筒式，内设置滚筛</w:t>
            </w:r>
            <w:r>
              <w:rPr>
                <w:rFonts w:hint="eastAsia" w:ascii="Times New Roman" w:hAnsi="Times New Roman" w:cs="Times New Roman"/>
                <w:color w:val="auto"/>
                <w:lang w:eastAsia="zh-CN"/>
              </w:rPr>
              <w:t>）</w:t>
            </w:r>
            <w:r>
              <w:rPr>
                <w:rFonts w:hint="default" w:ascii="Times New Roman" w:hAnsi="Times New Roman" w:cs="Times New Roman"/>
                <w:color w:val="auto"/>
              </w:rPr>
              <w:t>，去除更小粒径的颗粒悬浮物。</w:t>
            </w:r>
          </w:p>
          <w:p>
            <w:pPr>
              <w:pStyle w:val="66"/>
              <w:bidi w:val="0"/>
              <w:rPr>
                <w:rFonts w:hint="default" w:ascii="Times New Roman" w:hAnsi="Times New Roman" w:cs="Times New Roman"/>
                <w:color w:val="auto"/>
              </w:rPr>
            </w:pPr>
            <w:r>
              <w:rPr>
                <w:rFonts w:hint="eastAsia" w:ascii="Times New Roman" w:hAnsi="Times New Roman" w:cs="Times New Roman"/>
                <w:color w:val="auto"/>
                <w:lang w:val="en-US" w:eastAsia="zh-CN"/>
              </w:rPr>
              <w:t>废水经过沉淀预处理和滤网过滤后，排入</w:t>
            </w:r>
            <w:r>
              <w:rPr>
                <w:rFonts w:hint="default" w:ascii="Times New Roman" w:hAnsi="Times New Roman" w:cs="Times New Roman"/>
                <w:color w:val="auto"/>
              </w:rPr>
              <w:t>气浮池</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项目在气浮池</w:t>
            </w:r>
            <w:r>
              <w:rPr>
                <w:rFonts w:hint="default" w:ascii="Times New Roman" w:hAnsi="Times New Roman" w:cs="Times New Roman"/>
                <w:color w:val="auto"/>
              </w:rPr>
              <w:t>内PAC和PAM</w:t>
            </w:r>
            <w:r>
              <w:rPr>
                <w:rFonts w:hint="eastAsia" w:ascii="Times New Roman" w:hAnsi="Times New Roman" w:cs="Times New Roman"/>
                <w:color w:val="auto"/>
                <w:lang w:val="en-US" w:eastAsia="zh-CN"/>
              </w:rPr>
              <w:t>并在气浮池内鼓入空气</w:t>
            </w:r>
            <w:r>
              <w:rPr>
                <w:rFonts w:hint="eastAsia" w:ascii="Times New Roman" w:hAnsi="Times New Roman" w:cs="Times New Roman"/>
                <w:color w:val="auto"/>
                <w:lang w:eastAsia="zh-CN"/>
              </w:rPr>
              <w:t>，</w:t>
            </w:r>
            <w:r>
              <w:rPr>
                <w:rFonts w:hint="default" w:ascii="Times New Roman" w:hAnsi="Times New Roman" w:cs="Times New Roman"/>
                <w:color w:val="auto"/>
              </w:rPr>
              <w:t>形成微小气泡，迅速附着在悬浮物上，将它提升至气浮池的表面。从而形成了很容易去除的污泥浮层。出水排入后续A/</w:t>
            </w:r>
            <w:r>
              <w:rPr>
                <w:rFonts w:hint="eastAsia" w:ascii="Times New Roman" w:hAnsi="Times New Roman" w:cs="Times New Roman"/>
                <w:color w:val="auto"/>
                <w:lang w:val="en-US" w:eastAsia="zh-CN"/>
              </w:rPr>
              <w:t>O</w:t>
            </w:r>
            <w:r>
              <w:rPr>
                <w:rFonts w:hint="default" w:ascii="Times New Roman" w:hAnsi="Times New Roman" w:cs="Times New Roman"/>
                <w:color w:val="auto"/>
              </w:rPr>
              <w:t>系统。A/</w:t>
            </w:r>
            <w:r>
              <w:rPr>
                <w:rFonts w:hint="eastAsia" w:ascii="Times New Roman" w:hAnsi="Times New Roman" w:cs="Times New Roman"/>
                <w:color w:val="auto"/>
                <w:lang w:val="en-US" w:eastAsia="zh-CN"/>
              </w:rPr>
              <w:t>O生化处理单元</w:t>
            </w:r>
            <w:r>
              <w:rPr>
                <w:rFonts w:hint="default" w:ascii="Times New Roman" w:hAnsi="Times New Roman" w:cs="Times New Roman"/>
                <w:color w:val="auto"/>
              </w:rPr>
              <w:t>主要是去除废水中的各类有机物质与氨氮。A/</w:t>
            </w:r>
            <w:r>
              <w:rPr>
                <w:rFonts w:hint="eastAsia" w:ascii="Times New Roman" w:hAnsi="Times New Roman" w:cs="Times New Roman"/>
                <w:color w:val="auto"/>
                <w:lang w:val="en-US" w:eastAsia="zh-CN"/>
              </w:rPr>
              <w:t>O</w:t>
            </w:r>
            <w:r>
              <w:rPr>
                <w:rFonts w:hint="default" w:ascii="Times New Roman" w:hAnsi="Times New Roman" w:cs="Times New Roman"/>
                <w:color w:val="auto"/>
              </w:rPr>
              <w:t>系统由A池、</w:t>
            </w:r>
            <w:r>
              <w:rPr>
                <w:rFonts w:hint="eastAsia" w:ascii="Times New Roman" w:hAnsi="Times New Roman" w:cs="Times New Roman"/>
                <w:color w:val="auto"/>
                <w:lang w:val="en-US" w:eastAsia="zh-CN"/>
              </w:rPr>
              <w:t>O</w:t>
            </w:r>
            <w:r>
              <w:rPr>
                <w:rFonts w:hint="default" w:ascii="Times New Roman" w:hAnsi="Times New Roman" w:cs="Times New Roman"/>
                <w:color w:val="auto"/>
              </w:rPr>
              <w:t>池。A池内置搅拌机，溶解氧&lt;0.5mg/L，主要起反硝化与水解的作用；</w:t>
            </w:r>
            <w:r>
              <w:rPr>
                <w:rFonts w:hint="eastAsia" w:ascii="Times New Roman" w:hAnsi="Times New Roman" w:cs="Times New Roman"/>
                <w:color w:val="auto"/>
                <w:lang w:val="en-US" w:eastAsia="zh-CN"/>
              </w:rPr>
              <w:t>O</w:t>
            </w:r>
            <w:r>
              <w:rPr>
                <w:rFonts w:hint="default" w:ascii="Times New Roman" w:hAnsi="Times New Roman" w:cs="Times New Roman"/>
                <w:color w:val="auto"/>
              </w:rPr>
              <w:t>池内置微孔曝气系统，溶解氧在2</w:t>
            </w:r>
            <w:r>
              <w:rPr>
                <w:rFonts w:hint="eastAsia" w:ascii="Times New Roman" w:hAnsi="Times New Roman" w:cs="Times New Roman"/>
                <w:color w:val="auto"/>
                <w:lang w:eastAsia="zh-CN"/>
              </w:rPr>
              <w:t>～</w:t>
            </w:r>
            <w:r>
              <w:rPr>
                <w:rFonts w:hint="default" w:ascii="Times New Roman" w:hAnsi="Times New Roman" w:cs="Times New Roman"/>
                <w:color w:val="auto"/>
              </w:rPr>
              <w:t>6mg/L，主要起降解废水中有机物、硝化的作用；</w:t>
            </w:r>
          </w:p>
          <w:p>
            <w:pPr>
              <w:pStyle w:val="66"/>
              <w:bidi w:val="0"/>
              <w:rPr>
                <w:rFonts w:hint="default" w:ascii="Times New Roman" w:hAnsi="Times New Roman" w:cs="Times New Roman"/>
                <w:color w:val="auto"/>
              </w:rPr>
            </w:pPr>
            <w:r>
              <w:rPr>
                <w:rFonts w:hint="default" w:ascii="Times New Roman" w:hAnsi="Times New Roman" w:cs="Times New Roman"/>
                <w:color w:val="auto"/>
              </w:rPr>
              <w:t>二沉池主要起到泥水分离的作用，使废水清澈。</w:t>
            </w:r>
          </w:p>
          <w:p>
            <w:pPr>
              <w:pStyle w:val="66"/>
              <w:bidi w:val="0"/>
              <w:rPr>
                <w:rFonts w:hint="default"/>
                <w:color w:val="auto"/>
                <w:lang w:val="en-US" w:eastAsia="zh-CN"/>
              </w:rPr>
            </w:pPr>
            <w:r>
              <w:rPr>
                <w:rFonts w:hint="default" w:ascii="Times New Roman" w:hAnsi="Times New Roman" w:cs="Times New Roman"/>
                <w:color w:val="auto"/>
              </w:rPr>
              <w:t>在处理过程中，洗渣机和压滤机</w:t>
            </w:r>
            <w:r>
              <w:rPr>
                <w:rFonts w:hint="eastAsia" w:ascii="Times New Roman" w:hAnsi="Times New Roman" w:cs="Times New Roman"/>
                <w:color w:val="auto"/>
                <w:lang w:eastAsia="zh-CN"/>
              </w:rPr>
              <w:t>会</w:t>
            </w:r>
            <w:r>
              <w:rPr>
                <w:rFonts w:hint="default" w:ascii="Times New Roman" w:hAnsi="Times New Roman" w:cs="Times New Roman"/>
                <w:color w:val="auto"/>
              </w:rPr>
              <w:t>产生一定量废渣，气浮池</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三级沉淀池和二沉池</w:t>
            </w:r>
            <w:r>
              <w:rPr>
                <w:rFonts w:hint="default" w:ascii="Times New Roman" w:hAnsi="Times New Roman" w:cs="Times New Roman"/>
                <w:color w:val="auto"/>
              </w:rPr>
              <w:t>均</w:t>
            </w:r>
            <w:r>
              <w:rPr>
                <w:rFonts w:hint="eastAsia" w:ascii="Times New Roman" w:hAnsi="Times New Roman" w:cs="Times New Roman"/>
                <w:color w:val="auto"/>
                <w:lang w:eastAsia="zh-CN"/>
              </w:rPr>
              <w:t>会</w:t>
            </w:r>
            <w:r>
              <w:rPr>
                <w:rFonts w:hint="default" w:ascii="Times New Roman" w:hAnsi="Times New Roman" w:cs="Times New Roman"/>
                <w:color w:val="auto"/>
              </w:rPr>
              <w:t>产生一定量的污泥，污泥经过排泥泵的作用首先进入压滤机进行脱水，脱水污泥的含水率控制在</w:t>
            </w:r>
            <w:r>
              <w:rPr>
                <w:rFonts w:hint="eastAsia" w:ascii="Times New Roman" w:hAnsi="Times New Roman" w:cs="Times New Roman"/>
                <w:color w:val="auto"/>
                <w:lang w:val="en-US" w:eastAsia="zh-CN"/>
              </w:rPr>
              <w:t>60</w:t>
            </w:r>
            <w:r>
              <w:rPr>
                <w:rFonts w:hint="default" w:ascii="Times New Roman" w:hAnsi="Times New Roman" w:cs="Times New Roman"/>
                <w:color w:val="auto"/>
              </w:rPr>
              <w:t>%以下。</w:t>
            </w:r>
          </w:p>
          <w:p>
            <w:pPr>
              <w:pStyle w:val="66"/>
              <w:bidi w:val="0"/>
              <w:rPr>
                <w:rFonts w:hint="eastAsia" w:ascii="Times New Roman" w:hAnsi="Times New Roman" w:cs="Times New Roman"/>
                <w:color w:val="auto"/>
                <w:lang w:val="en-US" w:eastAsia="zh-CN"/>
              </w:rPr>
            </w:pPr>
          </w:p>
          <w:p>
            <w:pPr>
              <w:pStyle w:val="66"/>
              <w:bidi w:val="0"/>
              <w:rPr>
                <w:rFonts w:hint="eastAsia" w:ascii="Times New Roman" w:hAnsi="Times New Roman" w:cs="Times New Roman"/>
                <w:color w:val="auto"/>
                <w:lang w:val="en-US" w:eastAsia="zh-CN"/>
              </w:rPr>
            </w:pPr>
          </w:p>
          <w:p>
            <w:pPr>
              <w:pStyle w:val="2"/>
              <w:rPr>
                <w:rFonts w:hint="default"/>
                <w:color w:val="auto"/>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column">
                        <wp:posOffset>1909445</wp:posOffset>
                      </wp:positionH>
                      <wp:positionV relativeFrom="paragraph">
                        <wp:posOffset>577215</wp:posOffset>
                      </wp:positionV>
                      <wp:extent cx="559435" cy="113030"/>
                      <wp:effectExtent l="0" t="6350" r="12065" b="52070"/>
                      <wp:wrapNone/>
                      <wp:docPr id="3" name="肘形连接符 3"/>
                      <wp:cNvGraphicFramePr/>
                      <a:graphic xmlns:a="http://schemas.openxmlformats.org/drawingml/2006/main">
                        <a:graphicData uri="http://schemas.microsoft.com/office/word/2010/wordprocessingShape">
                          <wps:wsp>
                            <wps:cNvCnPr/>
                            <wps:spPr>
                              <a:xfrm>
                                <a:off x="0" y="0"/>
                                <a:ext cx="559435" cy="113030"/>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50.35pt;margin-top:45.45pt;height:8.9pt;width:44.05pt;z-index:251664384;mso-width-relative:page;mso-height-relative:page;" filled="f" stroked="t" coordsize="21600,21600" o:gfxdata="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56aFg9kAAAAKAQAADwAAAAAAAAABACAAAAA4AAAAZHJzL2Rvd25y&#10;ZXYueG1sUEsBAhQAFAAAAAgAh07iQMM0jxAgAgAAIgQAAA4AAAAAAAAAAQAgAAAAPgEAAGRycy9l&#10;Mm9Eb2MueG1sUEsFBgAAAAAGAAYAWQEAANAFAAAAAA==&#10;" adj="10812">
                      <v:fill on="f" focussize="0,0"/>
                      <v:stroke weight="1pt" color="#000000" joinstyle="miter" endarrow="block"/>
                      <v:imagedata o:title=""/>
                      <o:lock v:ext="edit" aspectratio="f"/>
                    </v:shape>
                  </w:pict>
                </mc:Fallback>
              </mc:AlternateContent>
            </w:r>
            <w:r>
              <w:rPr>
                <w:rFonts w:hint="eastAsia"/>
                <w:sz w:val="18"/>
                <w:lang w:val="en-US" w:eastAsia="zh-CN"/>
              </w:rPr>
              <w:t xml:space="preserve">      </w:t>
            </w:r>
            <w:r>
              <w:rPr>
                <w:color w:val="auto"/>
                <w:sz w:val="18"/>
              </w:rPr>
              <mc:AlternateContent>
                <mc:Choice Requires="wpc">
                  <w:drawing>
                    <wp:inline distT="0" distB="0" distL="114300" distR="114300">
                      <wp:extent cx="4792980" cy="5105400"/>
                      <wp:effectExtent l="0" t="0" r="6985" b="0"/>
                      <wp:docPr id="92" name="画布 92"/>
                      <wp:cNvGraphicFramePr/>
                      <a:graphic xmlns:a="http://schemas.openxmlformats.org/drawingml/2006/main">
                        <a:graphicData uri="http://schemas.microsoft.com/office/word/2010/wordprocessingCanvas">
                          <wpc:wpc>
                            <wpc:bg>
                              <a:noFill/>
                            </wpc:bg>
                            <wpc:whole>
                              <a:ln>
                                <a:noFill/>
                              </a:ln>
                            </wpc:whole>
                            <wps:wsp>
                              <wps:cNvPr id="137" name="文本框 4"/>
                              <wps:cNvSpPr txBox="1"/>
                              <wps:spPr>
                                <a:xfrm>
                                  <a:off x="2003425" y="22860"/>
                                  <a:ext cx="1057910" cy="29591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生产废水</w:t>
                                    </w:r>
                                  </w:p>
                                </w:txbxContent>
                              </wps:txbx>
                              <wps:bodyPr upright="1"/>
                            </wps:wsp>
                            <wps:wsp>
                              <wps:cNvPr id="138" name="文本框 5"/>
                              <wps:cNvSpPr txBox="1"/>
                              <wps:spPr>
                                <a:xfrm>
                                  <a:off x="2042795" y="1402716"/>
                                  <a:ext cx="1054100" cy="2921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滤网过滤</w:t>
                                    </w:r>
                                  </w:p>
                                </w:txbxContent>
                              </wps:txbx>
                              <wps:bodyPr upright="1"/>
                            </wps:wsp>
                            <wps:wsp>
                              <wps:cNvPr id="139" name="文本框 6"/>
                              <wps:cNvSpPr txBox="1"/>
                              <wps:spPr>
                                <a:xfrm>
                                  <a:off x="2022475" y="895986"/>
                                  <a:ext cx="1054100" cy="2921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沉淀池</w:t>
                                    </w:r>
                                  </w:p>
                                </w:txbxContent>
                              </wps:txbx>
                              <wps:bodyPr upright="1"/>
                            </wps:wsp>
                            <wps:wsp>
                              <wps:cNvPr id="140" name="文本框 7"/>
                              <wps:cNvSpPr txBox="1"/>
                              <wps:spPr>
                                <a:xfrm>
                                  <a:off x="2054225" y="4642487"/>
                                  <a:ext cx="1054100" cy="45275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排入市政污水管网</w:t>
                                    </w:r>
                                  </w:p>
                                </w:txbxContent>
                              </wps:txbx>
                              <wps:bodyPr upright="1"/>
                            </wps:wsp>
                            <wps:wsp>
                              <wps:cNvPr id="141" name="直接箭头连接符 8"/>
                              <wps:cNvCnPr/>
                              <wps:spPr>
                                <a:xfrm>
                                  <a:off x="2532380" y="318770"/>
                                  <a:ext cx="1270" cy="165100"/>
                                </a:xfrm>
                                <a:prstGeom prst="straightConnector1">
                                  <a:avLst/>
                                </a:prstGeom>
                                <a:ln w="12700" cap="flat" cmpd="sng">
                                  <a:solidFill>
                                    <a:srgbClr val="000000"/>
                                  </a:solidFill>
                                  <a:prstDash val="solid"/>
                                  <a:headEnd type="none" w="med" len="med"/>
                                  <a:tailEnd type="triangle" w="med" len="med"/>
                                </a:ln>
                              </wps:spPr>
                              <wps:bodyPr/>
                            </wps:wsp>
                            <wps:wsp>
                              <wps:cNvPr id="142" name="直接箭头连接符 9"/>
                              <wps:cNvCnPr/>
                              <wps:spPr>
                                <a:xfrm>
                                  <a:off x="2549525" y="1188086"/>
                                  <a:ext cx="1270" cy="227330"/>
                                </a:xfrm>
                                <a:prstGeom prst="straightConnector1">
                                  <a:avLst/>
                                </a:prstGeom>
                                <a:ln w="12700" cap="flat" cmpd="sng">
                                  <a:solidFill>
                                    <a:srgbClr val="000000"/>
                                  </a:solidFill>
                                  <a:prstDash val="solid"/>
                                  <a:headEnd type="none" w="med" len="med"/>
                                  <a:tailEnd type="triangle" w="med" len="med"/>
                                </a:ln>
                              </wps:spPr>
                              <wps:bodyPr/>
                            </wps:wsp>
                            <wps:wsp>
                              <wps:cNvPr id="143" name="直接箭头连接符 10"/>
                              <wps:cNvCnPr/>
                              <wps:spPr>
                                <a:xfrm flipH="1">
                                  <a:off x="2563495" y="1694816"/>
                                  <a:ext cx="6350" cy="304800"/>
                                </a:xfrm>
                                <a:prstGeom prst="straightConnector1">
                                  <a:avLst/>
                                </a:prstGeom>
                                <a:ln w="12700" cap="flat" cmpd="sng">
                                  <a:solidFill>
                                    <a:srgbClr val="000000"/>
                                  </a:solidFill>
                                  <a:prstDash val="solid"/>
                                  <a:headEnd type="none" w="med" len="med"/>
                                  <a:tailEnd type="triangle" w="med" len="med"/>
                                </a:ln>
                              </wps:spPr>
                              <wps:bodyPr/>
                            </wps:wsp>
                            <wps:wsp>
                              <wps:cNvPr id="144" name="直接箭头连接符 11"/>
                              <wps:cNvCnPr/>
                              <wps:spPr>
                                <a:xfrm flipH="1">
                                  <a:off x="2560320" y="2291716"/>
                                  <a:ext cx="3175" cy="365125"/>
                                </a:xfrm>
                                <a:prstGeom prst="straightConnector1">
                                  <a:avLst/>
                                </a:prstGeom>
                                <a:ln w="12700" cap="flat" cmpd="sng">
                                  <a:solidFill>
                                    <a:srgbClr val="000000"/>
                                  </a:solidFill>
                                  <a:prstDash val="solid"/>
                                  <a:headEnd type="none" w="med" len="med"/>
                                  <a:tailEnd type="triangle" w="med" len="med"/>
                                </a:ln>
                              </wps:spPr>
                              <wps:bodyPr/>
                            </wps:wsp>
                            <wps:wsp>
                              <wps:cNvPr id="145" name="文本框 12"/>
                              <wps:cNvSpPr txBox="1"/>
                              <wps:spPr>
                                <a:xfrm>
                                  <a:off x="2042795" y="1997075"/>
                                  <a:ext cx="1054100" cy="2921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一级气浮</w:t>
                                    </w:r>
                                  </w:p>
                                </w:txbxContent>
                              </wps:txbx>
                              <wps:bodyPr upright="1"/>
                            </wps:wsp>
                            <wps:wsp>
                              <wps:cNvPr id="146" name="文本框 50"/>
                              <wps:cNvSpPr txBox="1"/>
                              <wps:spPr>
                                <a:xfrm>
                                  <a:off x="2042795" y="2656841"/>
                                  <a:ext cx="1054100" cy="2921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二级气浮</w:t>
                                    </w:r>
                                  </w:p>
                                </w:txbxContent>
                              </wps:txbx>
                              <wps:bodyPr upright="1"/>
                            </wps:wsp>
                            <wps:wsp>
                              <wps:cNvPr id="147" name="文本框 51"/>
                              <wps:cNvSpPr txBox="1"/>
                              <wps:spPr>
                                <a:xfrm>
                                  <a:off x="2050415" y="3294381"/>
                                  <a:ext cx="1054100" cy="2921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A/O生化处理</w:t>
                                    </w:r>
                                  </w:p>
                                </w:txbxContent>
                              </wps:txbx>
                              <wps:bodyPr upright="1"/>
                            </wps:wsp>
                            <wps:wsp>
                              <wps:cNvPr id="148" name="文本框 52"/>
                              <wps:cNvSpPr txBox="1"/>
                              <wps:spPr>
                                <a:xfrm>
                                  <a:off x="2050415" y="3931921"/>
                                  <a:ext cx="1054100" cy="2921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二沉池</w:t>
                                    </w:r>
                                  </w:p>
                                </w:txbxContent>
                              </wps:txbx>
                              <wps:bodyPr upright="1"/>
                            </wps:wsp>
                            <wps:wsp>
                              <wps:cNvPr id="149" name="直接箭头连接符 53"/>
                              <wps:cNvCnPr/>
                              <wps:spPr>
                                <a:xfrm>
                                  <a:off x="2569845" y="2948941"/>
                                  <a:ext cx="7620" cy="345440"/>
                                </a:xfrm>
                                <a:prstGeom prst="straightConnector1">
                                  <a:avLst/>
                                </a:prstGeom>
                                <a:ln w="12700" cap="flat" cmpd="sng">
                                  <a:solidFill>
                                    <a:srgbClr val="000000"/>
                                  </a:solidFill>
                                  <a:prstDash val="solid"/>
                                  <a:headEnd type="none" w="med" len="med"/>
                                  <a:tailEnd type="triangle" w="med" len="med"/>
                                </a:ln>
                              </wps:spPr>
                              <wps:bodyPr/>
                            </wps:wsp>
                            <wps:wsp>
                              <wps:cNvPr id="150" name="直接箭头连接符 54"/>
                              <wps:cNvCnPr/>
                              <wps:spPr>
                                <a:xfrm>
                                  <a:off x="2577465" y="3586481"/>
                                  <a:ext cx="0" cy="345440"/>
                                </a:xfrm>
                                <a:prstGeom prst="straightConnector1">
                                  <a:avLst/>
                                </a:prstGeom>
                                <a:ln w="12700" cap="flat" cmpd="sng">
                                  <a:solidFill>
                                    <a:srgbClr val="000000"/>
                                  </a:solidFill>
                                  <a:prstDash val="solid"/>
                                  <a:headEnd type="none" w="med" len="med"/>
                                  <a:tailEnd type="triangle" w="med" len="med"/>
                                </a:ln>
                              </wps:spPr>
                              <wps:bodyPr/>
                            </wps:wsp>
                            <wps:wsp>
                              <wps:cNvPr id="151" name="直接箭头连接符 55"/>
                              <wps:cNvCnPr/>
                              <wps:spPr>
                                <a:xfrm>
                                  <a:off x="2577465" y="4224021"/>
                                  <a:ext cx="3810" cy="418465"/>
                                </a:xfrm>
                                <a:prstGeom prst="straightConnector1">
                                  <a:avLst/>
                                </a:prstGeom>
                                <a:ln w="12700" cap="flat" cmpd="sng">
                                  <a:solidFill>
                                    <a:srgbClr val="000000"/>
                                  </a:solidFill>
                                  <a:prstDash val="solid"/>
                                  <a:headEnd type="none" w="med" len="med"/>
                                  <a:tailEnd type="triangle" w="med" len="med"/>
                                </a:ln>
                              </wps:spPr>
                              <wps:bodyPr/>
                            </wps:wsp>
                            <wps:wsp>
                              <wps:cNvPr id="152" name="文本框 56"/>
                              <wps:cNvSpPr txBox="1"/>
                              <wps:spPr>
                                <a:xfrm>
                                  <a:off x="563245" y="1915160"/>
                                  <a:ext cx="1003300" cy="4572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聚合氯化铝、聚丙烯酰胺</w:t>
                                    </w:r>
                                  </w:p>
                                </w:txbxContent>
                              </wps:txbx>
                              <wps:bodyPr upright="1"/>
                            </wps:wsp>
                            <wps:wsp>
                              <wps:cNvPr id="153" name="直接箭头连接符 57"/>
                              <wps:cNvCnPr/>
                              <wps:spPr>
                                <a:xfrm>
                                  <a:off x="1566545" y="2143760"/>
                                  <a:ext cx="469900" cy="0"/>
                                </a:xfrm>
                                <a:prstGeom prst="straightConnector1">
                                  <a:avLst/>
                                </a:prstGeom>
                                <a:ln w="12700" cap="flat" cmpd="sng">
                                  <a:solidFill>
                                    <a:srgbClr val="000000"/>
                                  </a:solidFill>
                                  <a:prstDash val="solid"/>
                                  <a:headEnd type="none" w="med" len="med"/>
                                  <a:tailEnd type="triangle" w="med" len="med"/>
                                </a:ln>
                              </wps:spPr>
                              <wps:bodyPr/>
                            </wps:wsp>
                            <wps:wsp>
                              <wps:cNvPr id="154" name="文本框 58"/>
                              <wps:cNvSpPr txBox="1"/>
                              <wps:spPr>
                                <a:xfrm>
                                  <a:off x="563245" y="2581910"/>
                                  <a:ext cx="1003300" cy="4572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聚合氯化铝、聚丙烯酰胺</w:t>
                                    </w:r>
                                  </w:p>
                                </w:txbxContent>
                              </wps:txbx>
                              <wps:bodyPr upright="1"/>
                            </wps:wsp>
                            <wps:wsp>
                              <wps:cNvPr id="155" name="直接箭头连接符 59"/>
                              <wps:cNvCnPr/>
                              <wps:spPr>
                                <a:xfrm>
                                  <a:off x="1566545" y="2810511"/>
                                  <a:ext cx="469900" cy="0"/>
                                </a:xfrm>
                                <a:prstGeom prst="straightConnector1">
                                  <a:avLst/>
                                </a:prstGeom>
                                <a:ln w="12700" cap="flat" cmpd="sng">
                                  <a:solidFill>
                                    <a:srgbClr val="000000"/>
                                  </a:solidFill>
                                  <a:prstDash val="solid"/>
                                  <a:headEnd type="none" w="med" len="med"/>
                                  <a:tailEnd type="triangle" w="med" len="med"/>
                                </a:ln>
                              </wps:spPr>
                              <wps:bodyPr/>
                            </wps:wsp>
                            <wps:wsp>
                              <wps:cNvPr id="156" name="文本框 60"/>
                              <wps:cNvSpPr txBox="1"/>
                              <wps:spPr>
                                <a:xfrm>
                                  <a:off x="3507740" y="1418591"/>
                                  <a:ext cx="761365" cy="2774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洗渣机</w:t>
                                    </w:r>
                                  </w:p>
                                </w:txbxContent>
                              </wps:txbx>
                              <wps:bodyPr upright="1"/>
                            </wps:wsp>
                            <wps:wsp>
                              <wps:cNvPr id="157" name="文本框 61"/>
                              <wps:cNvSpPr txBox="1"/>
                              <wps:spPr>
                                <a:xfrm>
                                  <a:off x="3990975" y="2364740"/>
                                  <a:ext cx="749300" cy="2667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压滤机</w:t>
                                    </w:r>
                                  </w:p>
                                </w:txbxContent>
                              </wps:txbx>
                              <wps:bodyPr upright="1"/>
                            </wps:wsp>
                            <wps:wsp>
                              <wps:cNvPr id="158" name="直接箭头连接符 62"/>
                              <wps:cNvCnPr/>
                              <wps:spPr>
                                <a:xfrm>
                                  <a:off x="3096895" y="1548765"/>
                                  <a:ext cx="410845" cy="8890"/>
                                </a:xfrm>
                                <a:prstGeom prst="straightConnector1">
                                  <a:avLst/>
                                </a:prstGeom>
                                <a:ln w="12700" cap="flat" cmpd="sng">
                                  <a:solidFill>
                                    <a:srgbClr val="000000"/>
                                  </a:solidFill>
                                  <a:prstDash val="solid"/>
                                  <a:headEnd type="none" w="med" len="med"/>
                                  <a:tailEnd type="triangle" w="med" len="med"/>
                                </a:ln>
                              </wps:spPr>
                              <wps:bodyPr/>
                            </wps:wsp>
                            <wps:wsp>
                              <wps:cNvPr id="159" name="肘形连接符 63"/>
                              <wps:cNvCnPr/>
                              <wps:spPr>
                                <a:xfrm rot="5400000">
                                  <a:off x="3268980" y="1523366"/>
                                  <a:ext cx="447040" cy="791844"/>
                                </a:xfrm>
                                <a:prstGeom prst="bentConnector2">
                                  <a:avLst/>
                                </a:prstGeom>
                                <a:ln w="12700" cap="flat" cmpd="sng">
                                  <a:solidFill>
                                    <a:srgbClr val="000000"/>
                                  </a:solidFill>
                                  <a:prstDash val="solid"/>
                                  <a:miter/>
                                  <a:headEnd type="none" w="med" len="med"/>
                                  <a:tailEnd type="triangle" w="med" len="med"/>
                                </a:ln>
                              </wps:spPr>
                              <wps:bodyPr/>
                            </wps:wsp>
                            <wps:wsp>
                              <wps:cNvPr id="160" name="肘形连接符 64"/>
                              <wps:cNvCnPr/>
                              <wps:spPr>
                                <a:xfrm>
                                  <a:off x="4269105" y="1557656"/>
                                  <a:ext cx="96520" cy="807084"/>
                                </a:xfrm>
                                <a:prstGeom prst="bentConnector2">
                                  <a:avLst/>
                                </a:prstGeom>
                                <a:ln w="12700" cap="flat" cmpd="sng">
                                  <a:solidFill>
                                    <a:srgbClr val="000000"/>
                                  </a:solidFill>
                                  <a:prstDash val="solid"/>
                                  <a:miter/>
                                  <a:headEnd type="none" w="med" len="med"/>
                                  <a:tailEnd type="triangle" w="med" len="med"/>
                                </a:ln>
                              </wps:spPr>
                              <wps:bodyPr/>
                            </wps:wsp>
                            <wps:wsp>
                              <wps:cNvPr id="161" name="肘形连接符 65"/>
                              <wps:cNvCnPr/>
                              <wps:spPr>
                                <a:xfrm rot="5400000" flipV="1">
                                  <a:off x="3176259" y="1682740"/>
                                  <a:ext cx="208915" cy="1421130"/>
                                </a:xfrm>
                                <a:prstGeom prst="bentConnector2">
                                  <a:avLst/>
                                </a:prstGeom>
                                <a:ln w="12700" cap="flat" cmpd="sng">
                                  <a:solidFill>
                                    <a:srgbClr val="000000"/>
                                  </a:solidFill>
                                  <a:prstDash val="solid"/>
                                  <a:miter/>
                                  <a:headEnd type="none" w="med" len="med"/>
                                  <a:tailEnd type="triangle" w="med" len="med"/>
                                </a:ln>
                              </wps:spPr>
                              <wps:bodyPr/>
                            </wps:wsp>
                            <wps:wsp>
                              <wps:cNvPr id="162" name="肘形连接符 66"/>
                              <wps:cNvCnPr/>
                              <wps:spPr>
                                <a:xfrm flipV="1">
                                  <a:off x="3096895" y="2498090"/>
                                  <a:ext cx="894080" cy="304800"/>
                                </a:xfrm>
                                <a:prstGeom prst="bentConnector3">
                                  <a:avLst>
                                    <a:gd name="adj1" fmla="val 50000"/>
                                  </a:avLst>
                                </a:prstGeom>
                                <a:ln w="12700" cap="flat" cmpd="sng">
                                  <a:solidFill>
                                    <a:srgbClr val="000000"/>
                                  </a:solidFill>
                                  <a:prstDash val="solid"/>
                                  <a:miter/>
                                  <a:headEnd type="none" w="med" len="med"/>
                                  <a:tailEnd type="triangle" w="med" len="med"/>
                                </a:ln>
                              </wps:spPr>
                              <wps:bodyPr/>
                            </wps:wsp>
                            <wps:wsp>
                              <wps:cNvPr id="163" name="肘形连接符 67"/>
                              <wps:cNvCnPr/>
                              <wps:spPr>
                                <a:xfrm flipV="1">
                                  <a:off x="3104515" y="2498090"/>
                                  <a:ext cx="886460" cy="1579881"/>
                                </a:xfrm>
                                <a:prstGeom prst="bentConnector3">
                                  <a:avLst>
                                    <a:gd name="adj1" fmla="val 50000"/>
                                  </a:avLst>
                                </a:prstGeom>
                                <a:ln w="12700" cap="flat" cmpd="sng">
                                  <a:solidFill>
                                    <a:srgbClr val="000000"/>
                                  </a:solidFill>
                                  <a:prstDash val="solid"/>
                                  <a:miter/>
                                  <a:headEnd type="none" w="med" len="med"/>
                                  <a:tailEnd type="triangle" w="med" len="med"/>
                                </a:ln>
                              </wps:spPr>
                              <wps:bodyPr/>
                            </wps:wsp>
                            <wps:wsp>
                              <wps:cNvPr id="164" name="文本框 68"/>
                              <wps:cNvSpPr txBox="1"/>
                              <wps:spPr>
                                <a:xfrm>
                                  <a:off x="3998595" y="2973071"/>
                                  <a:ext cx="749300" cy="2667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污泥暂存</w:t>
                                    </w:r>
                                  </w:p>
                                </w:txbxContent>
                              </wps:txbx>
                              <wps:bodyPr upright="1"/>
                            </wps:wsp>
                            <wps:wsp>
                              <wps:cNvPr id="165" name="肘形连接符 69"/>
                              <wps:cNvCnPr/>
                              <wps:spPr>
                                <a:xfrm rot="10800000">
                                  <a:off x="3108325" y="2228215"/>
                                  <a:ext cx="857250" cy="175895"/>
                                </a:xfrm>
                                <a:prstGeom prst="bentConnector3">
                                  <a:avLst>
                                    <a:gd name="adj1" fmla="val 49926"/>
                                  </a:avLst>
                                </a:prstGeom>
                                <a:ln w="12700" cap="flat" cmpd="sng">
                                  <a:solidFill>
                                    <a:srgbClr val="000000"/>
                                  </a:solidFill>
                                  <a:prstDash val="solid"/>
                                  <a:miter/>
                                  <a:headEnd type="none" w="med" len="med"/>
                                  <a:tailEnd type="triangle" w="med" len="med"/>
                                </a:ln>
                              </wps:spPr>
                              <wps:bodyPr/>
                            </wps:wsp>
                            <wps:wsp>
                              <wps:cNvPr id="166" name="直接箭头连接符 71"/>
                              <wps:cNvCnPr/>
                              <wps:spPr>
                                <a:xfrm>
                                  <a:off x="4365625" y="2631441"/>
                                  <a:ext cx="7620" cy="341630"/>
                                </a:xfrm>
                                <a:prstGeom prst="straightConnector1">
                                  <a:avLst/>
                                </a:prstGeom>
                                <a:ln w="12700" cap="flat" cmpd="sng">
                                  <a:solidFill>
                                    <a:srgbClr val="000000"/>
                                  </a:solidFill>
                                  <a:prstDash val="solid"/>
                                  <a:headEnd type="none" w="med" len="med"/>
                                  <a:tailEnd type="triangle" w="med" len="med"/>
                                </a:ln>
                              </wps:spPr>
                              <wps:bodyPr/>
                            </wps:wsp>
                            <wps:wsp>
                              <wps:cNvPr id="167" name="文本框 72"/>
                              <wps:cNvSpPr txBox="1"/>
                              <wps:spPr>
                                <a:xfrm>
                                  <a:off x="3302635" y="1932305"/>
                                  <a:ext cx="501015" cy="17907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废水</w:t>
                                    </w:r>
                                  </w:p>
                                </w:txbxContent>
                              </wps:txbx>
                              <wps:bodyPr lIns="0" tIns="0" rIns="0" bIns="0" upright="1"/>
                            </wps:wsp>
                            <wps:wsp>
                              <wps:cNvPr id="168" name="文本框 78"/>
                              <wps:cNvSpPr txBox="1"/>
                              <wps:spPr>
                                <a:xfrm>
                                  <a:off x="3061335" y="1368426"/>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滤渣</w:t>
                                    </w:r>
                                  </w:p>
                                </w:txbxContent>
                              </wps:txbx>
                              <wps:bodyPr lIns="0" tIns="0" rIns="0" bIns="0" upright="1"/>
                            </wps:wsp>
                            <wps:wsp>
                              <wps:cNvPr id="169" name="文本框 80"/>
                              <wps:cNvSpPr txBox="1"/>
                              <wps:spPr>
                                <a:xfrm>
                                  <a:off x="3500120" y="2239645"/>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废水</w:t>
                                    </w:r>
                                  </w:p>
                                </w:txbxContent>
                              </wps:txbx>
                              <wps:bodyPr lIns="0" tIns="0" rIns="0" bIns="0" upright="1"/>
                            </wps:wsp>
                            <wps:wsp>
                              <wps:cNvPr id="170" name="文本框 81"/>
                              <wps:cNvSpPr txBox="1"/>
                              <wps:spPr>
                                <a:xfrm>
                                  <a:off x="4299585" y="1851660"/>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污泥</w:t>
                                    </w:r>
                                  </w:p>
                                </w:txbxContent>
                              </wps:txbx>
                              <wps:bodyPr lIns="0" tIns="0" rIns="0" bIns="0" upright="1"/>
                            </wps:wsp>
                            <wps:wsp>
                              <wps:cNvPr id="171" name="文本框 82"/>
                              <wps:cNvSpPr txBox="1"/>
                              <wps:spPr>
                                <a:xfrm>
                                  <a:off x="2966085" y="2336165"/>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浮渣</w:t>
                                    </w:r>
                                  </w:p>
                                </w:txbxContent>
                              </wps:txbx>
                              <wps:bodyPr lIns="0" tIns="0" rIns="0" bIns="0" upright="1"/>
                            </wps:wsp>
                            <wps:wsp>
                              <wps:cNvPr id="172" name="文本框 83"/>
                              <wps:cNvSpPr txBox="1"/>
                              <wps:spPr>
                                <a:xfrm>
                                  <a:off x="3068320" y="2644141"/>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浮渣</w:t>
                                    </w:r>
                                  </w:p>
                                </w:txbxContent>
                              </wps:txbx>
                              <wps:bodyPr lIns="0" tIns="0" rIns="0" bIns="0" upright="1"/>
                            </wps:wsp>
                            <wps:wsp>
                              <wps:cNvPr id="173" name="文本框 84"/>
                              <wps:cNvSpPr txBox="1"/>
                              <wps:spPr>
                                <a:xfrm>
                                  <a:off x="3097530" y="3882391"/>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污泥</w:t>
                                    </w:r>
                                  </w:p>
                                </w:txbxContent>
                              </wps:txbx>
                              <wps:bodyPr lIns="0" tIns="0" rIns="0" bIns="0" upright="1"/>
                            </wps:wsp>
                            <wps:wsp>
                              <wps:cNvPr id="174" name="文本框 85"/>
                              <wps:cNvSpPr txBox="1"/>
                              <wps:spPr>
                                <a:xfrm>
                                  <a:off x="506730" y="802640"/>
                                  <a:ext cx="1003300" cy="457200"/>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聚合氯化铝、聚丙烯酰胺</w:t>
                                    </w:r>
                                  </w:p>
                                </w:txbxContent>
                              </wps:txbx>
                              <wps:bodyPr upright="1"/>
                            </wps:wsp>
                            <wps:wsp>
                              <wps:cNvPr id="175" name="直接箭头连接符 86"/>
                              <wps:cNvCnPr/>
                              <wps:spPr>
                                <a:xfrm>
                                  <a:off x="1510030" y="1031241"/>
                                  <a:ext cx="512445" cy="10795"/>
                                </a:xfrm>
                                <a:prstGeom prst="straightConnector1">
                                  <a:avLst/>
                                </a:prstGeom>
                                <a:ln w="12700" cap="flat" cmpd="sng">
                                  <a:solidFill>
                                    <a:srgbClr val="000000"/>
                                  </a:solidFill>
                                  <a:prstDash val="solid"/>
                                  <a:headEnd type="none" w="med" len="med"/>
                                  <a:tailEnd type="triangle" w="med" len="med"/>
                                </a:ln>
                              </wps:spPr>
                              <wps:bodyPr/>
                            </wps:wsp>
                            <wps:wsp>
                              <wps:cNvPr id="176" name="肘形连接符 87"/>
                              <wps:cNvCnPr/>
                              <wps:spPr>
                                <a:xfrm>
                                  <a:off x="3076575" y="1042036"/>
                                  <a:ext cx="1289050" cy="1322705"/>
                                </a:xfrm>
                                <a:prstGeom prst="bentConnector2">
                                  <a:avLst/>
                                </a:prstGeom>
                                <a:ln w="12700" cap="flat" cmpd="sng">
                                  <a:solidFill>
                                    <a:srgbClr val="000000"/>
                                  </a:solidFill>
                                  <a:prstDash val="solid"/>
                                  <a:miter/>
                                  <a:headEnd type="none" w="med" len="med"/>
                                  <a:tailEnd type="triangle" w="med" len="med"/>
                                </a:ln>
                              </wps:spPr>
                              <wps:bodyPr/>
                            </wps:wsp>
                            <wps:wsp>
                              <wps:cNvPr id="177" name="文本框 88"/>
                              <wps:cNvSpPr txBox="1"/>
                              <wps:spPr>
                                <a:xfrm>
                                  <a:off x="3544570" y="796290"/>
                                  <a:ext cx="495300" cy="17780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污泥</w:t>
                                    </w:r>
                                  </w:p>
                                </w:txbxContent>
                              </wps:txbx>
                              <wps:bodyPr lIns="0" tIns="0" rIns="0" bIns="0" upright="1"/>
                            </wps:wsp>
                            <wps:wsp>
                              <wps:cNvPr id="178" name="文本框 89"/>
                              <wps:cNvSpPr txBox="1"/>
                              <wps:spPr>
                                <a:xfrm>
                                  <a:off x="2138045" y="486410"/>
                                  <a:ext cx="833120" cy="264795"/>
                                </a:xfrm>
                                <a:prstGeom prst="rect">
                                  <a:avLst/>
                                </a:prstGeom>
                                <a:noFill/>
                                <a:ln w="1270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pH调节池</w:t>
                                    </w:r>
                                  </w:p>
                                </w:txbxContent>
                              </wps:txbx>
                              <wps:bodyPr upright="1"/>
                            </wps:wsp>
                            <wps:wsp>
                              <wps:cNvPr id="179" name="直接箭头连接符 90"/>
                              <wps:cNvCnPr/>
                              <wps:spPr>
                                <a:xfrm flipH="1">
                                  <a:off x="2549525" y="734060"/>
                                  <a:ext cx="5080" cy="161925"/>
                                </a:xfrm>
                                <a:prstGeom prst="straightConnector1">
                                  <a:avLst/>
                                </a:prstGeom>
                                <a:ln w="12700" cap="flat" cmpd="sng">
                                  <a:solidFill>
                                    <a:srgbClr val="000000"/>
                                  </a:solidFill>
                                  <a:prstDash val="solid"/>
                                  <a:headEnd type="none" w="med" len="med"/>
                                  <a:tailEnd type="triangle" w="med" len="med"/>
                                </a:ln>
                              </wps:spPr>
                              <wps:bodyPr/>
                            </wps:wsp>
                            <wps:wsp>
                              <wps:cNvPr id="180" name="文本框 91"/>
                              <wps:cNvSpPr txBox="1"/>
                              <wps:spPr>
                                <a:xfrm>
                                  <a:off x="1024255" y="401320"/>
                                  <a:ext cx="509905" cy="274320"/>
                                </a:xfrm>
                                <a:prstGeom prst="rect">
                                  <a:avLst/>
                                </a:prstGeom>
                                <a:noFill/>
                                <a:ln w="12700">
                                  <a:noFill/>
                                </a:ln>
                              </wps:spPr>
                              <wps:txbx>
                                <w:txbxContent>
                                  <w:p>
                                    <w:pPr>
                                      <w:jc w:val="center"/>
                                      <w:rPr>
                                        <w:rFonts w:hint="default" w:eastAsia="宋体"/>
                                        <w:lang w:val="en-US" w:eastAsia="zh-CN"/>
                                      </w:rPr>
                                    </w:pPr>
                                    <w:r>
                                      <w:rPr>
                                        <w:rFonts w:hint="eastAsia" w:eastAsia="宋体"/>
                                        <w:lang w:val="en-US" w:eastAsia="zh-CN"/>
                                      </w:rPr>
                                      <w:t>硫酸</w:t>
                                    </w:r>
                                  </w:p>
                                </w:txbxContent>
                              </wps:txbx>
                              <wps:bodyPr upright="1"/>
                            </wps:wsp>
                          </wpc:wpc>
                        </a:graphicData>
                      </a:graphic>
                    </wp:inline>
                  </w:drawing>
                </mc:Choice>
                <mc:Fallback>
                  <w:pict>
                    <v:group id="_x0000_s1026" o:spid="_x0000_s1026" o:spt="203" style="height:402pt;width:377.4pt;" coordsize="4792980,5105400" editas="canvas" o:gfxdata="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FgAAAGRy&#10;cy9QSwECFAAUAAAACACHTuJA4mjoUdcAAAAFAQAADwAAAAAAAAABACAAAAA4AAAAZHJzL2Rvd25y&#10;ZXYueG1sUEsBAhQAFAAAAAgAh07iQNhZ6ZC0CQAAW18AAA4AAAAAAAAAAQAgAAAAPAEAAGRycy9l&#10;Mm9Eb2MueG1sUEsFBgAAAAAGAAYAWQEAAGINAAAAAA==&#10;">
                      <o:lock v:ext="edit" aspectratio="f"/>
                      <v:shape id="_x0000_s1026" o:spid="_x0000_s1026" style="position:absolute;left:0;top:0;height:5105400;width:4792980;" filled="f" stroked="f" coordsize="21600,21600" o:gfxdata="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">
                        <v:fill on="f" focussize="0,0"/>
                        <v:stroke on="f"/>
                        <v:imagedata o:title=""/>
                        <o:lock v:ext="edit" aspectratio="f"/>
                      </v:shape>
                      <v:shape id="文本框 4" o:spid="_x0000_s1026" o:spt="202" type="#_x0000_t202" style="position:absolute;left:2003425;top:22860;height:295910;width:105791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rCb5d0wAA&#10;AAUBAAAPAAAAAAAAAAEAIAAAADgAAABkcnMvZG93bnJldi54bWxQSwECFAAUAAAACACHTuJABPoN&#10;LA0CAAAaBAAADgAAAAAAAAABACAAAAA4AQAAZHJzL2Uyb0RvYy54bWxQSwUGAAAAAAYABgBZAQAA&#10;twUAAAAA&#10;">
                        <v:fill on="f" focussize="0,0"/>
                        <v:stroke weight="1pt" color="#000000" joinstyle="miter"/>
                        <v:imagedata o:title=""/>
                        <o:lock v:ext="edit" aspectratio="f"/>
                        <v:textbox>
                          <w:txbxContent>
                            <w:p>
                              <w:pPr>
                                <w:jc w:val="center"/>
                                <w:rPr>
                                  <w:rFonts w:hint="default" w:eastAsia="宋体"/>
                                  <w:lang w:val="en-US" w:eastAsia="zh-CN"/>
                                </w:rPr>
                              </w:pPr>
                              <w:r>
                                <w:rPr>
                                  <w:rFonts w:hint="eastAsia"/>
                                  <w:lang w:val="en-US" w:eastAsia="zh-CN"/>
                                </w:rPr>
                                <w:t>生产废水</w:t>
                              </w:r>
                            </w:p>
                          </w:txbxContent>
                        </v:textbox>
                      </v:shape>
                      <v:shape id="文本框 5" o:spid="_x0000_s1026" o:spt="202" type="#_x0000_t202" style="position:absolute;left:2042795;top:1402716;height:292100;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6wm+XdMA&#10;AAAFAQAADwAAAAAAAAABACAAAAA4AAAAZHJzL2Rvd25yZXYueG1sUEsBAhQAFAAAAAgAh07iQI72&#10;1EYOAgAAHAQAAA4AAAAAAAAAAQAgAAAAOAEAAGRycy9lMm9Eb2MueG1sUEsFBgAAAAAGAAYAWQEA&#10;ALg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滤网过滤</w:t>
                              </w:r>
                            </w:p>
                          </w:txbxContent>
                        </v:textbox>
                      </v:shape>
                      <v:shape id="文本框 6" o:spid="_x0000_s1026" o:spt="202" type="#_x0000_t202" style="position:absolute;left:2022475;top:895986;height:292100;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rCb5d&#10;0wAAAAUBAAAPAAAAAAAAAAEAIAAAADgAAABkcnMvZG93bnJldi54bWxQSwECFAAUAAAACACHTuJA&#10;eKX7MRACAAAbBAAADgAAAAAAAAABACAAAAA4AQAAZHJzL2Uyb0RvYy54bWxQSwUGAAAAAAYABgBZ&#10;AQAAugU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沉淀池</w:t>
                              </w:r>
                            </w:p>
                          </w:txbxContent>
                        </v:textbox>
                      </v:shape>
                      <v:shape id="文本框 7" o:spid="_x0000_s1026" o:spt="202" type="#_x0000_t202" style="position:absolute;left:2054225;top:4642487;height:452755;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sJvl3T&#10;AAAABQEAAA8AAAAAAAAAAQAgAAAAOAAAAGRycy9kb3ducmV2LnhtbFBLAQIUABQAAAAIAIdO4kCF&#10;WXSjDwIAABwEAAAOAAAAAAAAAAEAIAAAADgBAABkcnMvZTJvRG9jLnhtbFBLBQYAAAAABgAGAFkB&#10;AAC5BQ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排入市政污水管网</w:t>
                              </w:r>
                            </w:p>
                          </w:txbxContent>
                        </v:textbox>
                      </v:shape>
                      <v:shape id="直接箭头连接符 8" o:spid="_x0000_s1026" o:spt="32" type="#_x0000_t32" style="position:absolute;left:2532380;top:318770;height:165100;width:127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8&#10;+cSq1AAAAAUBAAAPAAAAAAAAAAEAIAAAADgAAABkcnMvZG93bnJldi54bWxQSwECFAAUAAAACACH&#10;TuJAhyFAVxICAAAABAAADgAAAAAAAAABACAAAAA5AQAAZHJzL2Uyb0RvYy54bWxQSwUGAAAAAAYA&#10;BgBZAQAAvQUAAAAA&#10;">
                        <v:fill on="f" focussize="0,0"/>
                        <v:stroke weight="1pt" color="#000000" joinstyle="round" endarrow="block"/>
                        <v:imagedata o:title=""/>
                        <o:lock v:ext="edit" aspectratio="f"/>
                      </v:shape>
                      <v:shape id="直接箭头连接符 9" o:spid="_x0000_s1026" o:spt="32" type="#_x0000_t32" style="position:absolute;left:2549525;top:1188086;height:227330;width:127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PnEqtQAAAAFAQAADwAAAAAAAAABACAAAAA4AAAAZHJzL2Rvd25yZXYueG1sUEsBAhQAFAAA&#10;AAgAh07iQMO74H4WAgAAAQQAAA4AAAAAAAAAAQAgAAAAOQEAAGRycy9lMm9Eb2MueG1sUEsFBgAA&#10;AAAGAAYAWQEAAMEFAAAAAA==&#10;">
                        <v:fill on="f" focussize="0,0"/>
                        <v:stroke weight="1pt" color="#000000" joinstyle="round" endarrow="block"/>
                        <v:imagedata o:title=""/>
                        <o:lock v:ext="edit" aspectratio="f"/>
                      </v:shape>
                      <v:shape id="直接箭头连接符 10" o:spid="_x0000_s1026" o:spt="32" type="#_x0000_t32" style="position:absolute;left:2563495;top:1694816;flip:x;height:304800;width:6350;" filled="f" stroked="t" coordsize="21600,21600" o:gfxdata="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DCuMZrXAAAABQEAAA8AAAAAAAAAAQAgAAAAOAAAAGRycy9kb3ducmV2Lnht&#10;bFBLAQIUABQAAAAIAIdO4kBjiob1HQIAAAwEAAAOAAAAAAAAAAEAIAAAADwBAABkcnMvZTJvRG9j&#10;LnhtbFBLBQYAAAAABgAGAFkBAADLBQAAAAA=&#10;">
                        <v:fill on="f" focussize="0,0"/>
                        <v:stroke weight="1pt" color="#000000" joinstyle="round" endarrow="block"/>
                        <v:imagedata o:title=""/>
                        <o:lock v:ext="edit" aspectratio="f"/>
                      </v:shape>
                      <v:shape id="直接箭头连接符 11" o:spid="_x0000_s1026" o:spt="32" type="#_x0000_t32" style="position:absolute;left:2560320;top:2291716;flip:x;height:365125;width:3175;" filled="f" stroked="t" coordsize="21600,21600" o:gfxdata="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DCuMZrXAAAABQEAAA8AAAAAAAAAAQAgAAAAOAAAAGRycy9kb3ducmV2Lnht&#10;bFBLAQIUABQAAAAIAIdO4kAfHpdVHQIAAAwEAAAOAAAAAAAAAAEAIAAAADwBAABkcnMvZTJvRG9j&#10;LnhtbFBLBQYAAAAABgAGAFkBAADLBQAAAAA=&#10;">
                        <v:fill on="f" focussize="0,0"/>
                        <v:stroke weight="1pt" color="#000000" joinstyle="round" endarrow="block"/>
                        <v:imagedata o:title=""/>
                        <o:lock v:ext="edit" aspectratio="f"/>
                      </v:shape>
                      <v:shape id="文本框 12" o:spid="_x0000_s1026" o:spt="202" type="#_x0000_t202" style="position:absolute;left:2042795;top:1997075;height:292100;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6wm+XdMA&#10;AAAFAQAADwAAAAAAAAABACAAAAA4AAAAZHJzL2Rvd25yZXYueG1sUEsBAhQAFAAAAAgAh07iQJZh&#10;d2cOAgAAHQQAAA4AAAAAAAAAAQAgAAAAOAEAAGRycy9lMm9Eb2MueG1sUEsFBgAAAAAGAAYAWQEA&#10;ALg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一级气浮</w:t>
                              </w:r>
                            </w:p>
                          </w:txbxContent>
                        </v:textbox>
                      </v:shape>
                      <v:shape id="文本框 50" o:spid="_x0000_s1026" o:spt="202" type="#_x0000_t202" style="position:absolute;left:2042795;top:2656841;height:292100;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6wm+XdMA&#10;AAAFAQAADwAAAAAAAAABACAAAAA4AAAAZHJzL2Rvd25yZXYueG1sUEsBAhQAFAAAAAgAh07iQOr2&#10;0ksOAgAAHQQAAA4AAAAAAAAAAQAgAAAAOAEAAGRycy9lMm9Eb2MueG1sUEsFBgAAAAAGAAYAWQEA&#10;ALg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二级气浮</w:t>
                              </w:r>
                            </w:p>
                          </w:txbxContent>
                        </v:textbox>
                      </v:shape>
                      <v:shape id="文本框 51" o:spid="_x0000_s1026" o:spt="202" type="#_x0000_t202" style="position:absolute;left:2050415;top:3294381;height:292100;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sJ&#10;vl3TAAAABQEAAA8AAAAAAAAAAQAgAAAAOAAAAGRycy9kb3ducmV2LnhtbFBLAQIUABQAAAAIAIdO&#10;4kC4Sy3AEgIAAB0EAAAOAAAAAAAAAAEAIAAAADgBAABkcnMvZTJvRG9jLnhtbFBLBQYAAAAABgAG&#10;AFkBAAC8BQ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A/O生化处理</w:t>
                              </w:r>
                            </w:p>
                          </w:txbxContent>
                        </v:textbox>
                      </v:shape>
                      <v:shape id="文本框 52" o:spid="_x0000_s1026" o:spt="202" type="#_x0000_t202" style="position:absolute;left:2050415;top:3931921;height:292100;width:10541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sJvl3T&#10;AAAABQEAAA8AAAAAAAAAAQAgAAAAOAAAAGRycy9kb3ducmV2LnhtbFBLAQIUABQAAAAIAIdO4kCZ&#10;c2VQDwIAAB0EAAAOAAAAAAAAAAEAIAAAADgBAABkcnMvZTJvRG9jLnhtbFBLBQYAAAAABgAGAFkB&#10;AAC5BQ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二沉池</w:t>
                              </w:r>
                            </w:p>
                          </w:txbxContent>
                        </v:textbox>
                      </v:shape>
                      <v:shape id="直接箭头连接符 53" o:spid="_x0000_s1026" o:spt="32" type="#_x0000_t32" style="position:absolute;left:2569845;top:2948941;height:345440;width:762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PnEqtQAAAAFAQAADwAAAAAAAAABACAAAAA4AAAAZHJzL2Rvd25yZXYueG1sUEsBAhQA&#10;FAAAAAgAh07iQFl+kZ0ZAgAAAgQAAA4AAAAAAAAAAQAgAAAAOQEAAGRycy9lMm9Eb2MueG1sUEsF&#10;BgAAAAAGAAYAWQEAAMQFAAAAAA==&#10;">
                        <v:fill on="f" focussize="0,0"/>
                        <v:stroke weight="1pt" color="#000000" joinstyle="round" endarrow="block"/>
                        <v:imagedata o:title=""/>
                        <o:lock v:ext="edit" aspectratio="f"/>
                      </v:shape>
                      <v:shape id="直接箭头连接符 54" o:spid="_x0000_s1026" o:spt="32" type="#_x0000_t32" style="position:absolute;left:2577465;top:3586481;height:345440;width: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5xKrUAAAABQEAAA8AAAAAAAAAAQAgAAAAOAAAAGRycy9kb3ducmV2LnhtbFBLAQIUABQAAAAI&#10;AIdO4kAgysePFAIAAP8DAAAOAAAAAAAAAAEAIAAAADkBAABkcnMvZTJvRG9jLnhtbFBLBQYAAAAA&#10;BgAGAFkBAAC/BQAAAAA=&#10;">
                        <v:fill on="f" focussize="0,0"/>
                        <v:stroke weight="1pt" color="#000000" joinstyle="round" endarrow="block"/>
                        <v:imagedata o:title=""/>
                        <o:lock v:ext="edit" aspectratio="f"/>
                      </v:shape>
                      <v:shape id="直接箭头连接符 55" o:spid="_x0000_s1026" o:spt="32" type="#_x0000_t32" style="position:absolute;left:2577465;top:4224021;height:418465;width:381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5xKrUAAAABQEAAA8AAAAAAAAAAQAgAAAAOAAAAGRycy9kb3ducmV2LnhtbFBLAQIUABQAAAAI&#10;AIdO4kAx8OI9FAIAAAIEAAAOAAAAAAAAAAEAIAAAADkBAABkcnMvZTJvRG9jLnhtbFBLBQYAAAAA&#10;BgAGAFkBAAC/BQAAAAA=&#10;">
                        <v:fill on="f" focussize="0,0"/>
                        <v:stroke weight="1pt" color="#000000" joinstyle="round" endarrow="block"/>
                        <v:imagedata o:title=""/>
                        <o:lock v:ext="edit" aspectratio="f"/>
                      </v:shape>
                      <v:shape id="文本框 56" o:spid="_x0000_s1026" o:spt="202" type="#_x0000_t202" style="position:absolute;left:563245;top:1915160;height:457200;width:10033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rCb5d&#10;0wAAAAUBAAAPAAAAAAAAAAEAIAAAADgAAABkcnMvZG93bnJldi54bWxQSwECFAAUAAAACACHTuJA&#10;DQe6mRACAAAcBAAADgAAAAAAAAABACAAAAA4AQAAZHJzL2Uyb0RvYy54bWxQSwUGAAAAAAYABgBZ&#10;AQAAugU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聚合氯化铝、聚丙烯酰胺</w:t>
                              </w:r>
                            </w:p>
                          </w:txbxContent>
                        </v:textbox>
                      </v:shape>
                      <v:shape id="直接箭头连接符 57" o:spid="_x0000_s1026" o:spt="32" type="#_x0000_t32" style="position:absolute;left:1566545;top:2143760;height:0;width:46990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PnEqtQAAAAFAQAADwAAAAAAAAABACAAAAA4AAAAZHJzL2Rvd25yZXYueG1sUEsBAhQAFAAAAAgA&#10;h07iQNgYwT4TAgAA/wMAAA4AAAAAAAAAAQAgAAAAOQEAAGRycy9lMm9Eb2MueG1sUEsFBgAAAAAG&#10;AAYAWQEAAL4FAAAAAA==&#10;">
                        <v:fill on="f" focussize="0,0"/>
                        <v:stroke weight="1pt" color="#000000" joinstyle="round" endarrow="block"/>
                        <v:imagedata o:title=""/>
                        <o:lock v:ext="edit" aspectratio="f"/>
                      </v:shape>
                      <v:shape id="文本框 58" o:spid="_x0000_s1026" o:spt="202" type="#_x0000_t202" style="position:absolute;left:563245;top:2581910;height:457200;width:10033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6wm+&#10;XdMAAAAFAQAADwAAAAAAAAABACAAAAA4AAAAZHJzL2Rvd25yZXYueG1sUEsBAhQAFAAAAAgAh07i&#10;QLrrmQgRAgAAHAQAAA4AAAAAAAAAAQAgAAAAOAEAAGRycy9lMm9Eb2MueG1sUEsFBgAAAAAGAAYA&#10;WQEAALs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聚合氯化铝、聚丙烯酰胺</w:t>
                              </w:r>
                            </w:p>
                          </w:txbxContent>
                        </v:textbox>
                      </v:shape>
                      <v:shape id="直接箭头连接符 59" o:spid="_x0000_s1026" o:spt="32" type="#_x0000_t32" style="position:absolute;left:1566545;top:2810511;height:0;width:46990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PnEqtQAAAAFAQAADwAAAAAAAAABACAAAAA4AAAAZHJzL2Rvd25yZXYueG1sUEsBAhQAFAAAAAgA&#10;h07iQI++GhQTAgAA/wMAAA4AAAAAAAAAAQAgAAAAOQEAAGRycy9lMm9Eb2MueG1sUEsFBgAAAAAG&#10;AAYAWQEAAL4FAAAAAA==&#10;">
                        <v:fill on="f" focussize="0,0"/>
                        <v:stroke weight="1pt" color="#000000" joinstyle="round" endarrow="block"/>
                        <v:imagedata o:title=""/>
                        <o:lock v:ext="edit" aspectratio="f"/>
                      </v:shape>
                      <v:shape id="文本框 60" o:spid="_x0000_s1026" o:spt="202" type="#_x0000_t202" style="position:absolute;left:3507740;top:1418591;height:277495;width:761365;"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6wm+&#10;XdMAAAAFAQAADwAAAAAAAAABACAAAAA4AAAAZHJzL2Rvd25yZXYueG1sUEsBAhQAFAAAAAgAh07i&#10;QK8GN4cRAgAAHAQAAA4AAAAAAAAAAQAgAAAAOAEAAGRycy9lMm9Eb2MueG1sUEsFBgAAAAAGAAYA&#10;WQEAALs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洗渣机</w:t>
                              </w:r>
                            </w:p>
                          </w:txbxContent>
                        </v:textbox>
                      </v:shape>
                      <v:shape id="文本框 61" o:spid="_x0000_s1026" o:spt="202" type="#_x0000_t202" style="position:absolute;left:3990975;top:2364740;height:266700;width:7493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6wm+&#10;XdMAAAAFAQAADwAAAAAAAAABACAAAAA4AAAAZHJzL2Rvd25yZXYueG1sUEsBAhQAFAAAAAgAh07i&#10;QN30i3cRAgAAHAQAAA4AAAAAAAAAAQAgAAAAOAEAAGRycy9lMm9Eb2MueG1sUEsFBgAAAAAGAAYA&#10;WQEAALs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压滤机</w:t>
                              </w:r>
                            </w:p>
                          </w:txbxContent>
                        </v:textbox>
                      </v:shape>
                      <v:shape id="直接箭头连接符 62" o:spid="_x0000_s1026" o:spt="32" type="#_x0000_t32" style="position:absolute;left:3096895;top:1548765;height:8890;width:410845;"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8+cSq1AAAAAUBAAAPAAAAAAAAAAEAIAAAADgAAABkcnMvZG93bnJldi54bWxQSwECFAAU&#10;AAAACACHTuJAvE78FBgCAAACBAAADgAAAAAAAAABACAAAAA5AQAAZHJzL2Uyb0RvYy54bWxQSwUG&#10;AAAAAAYABgBZAQAAwwUAAAAA&#10;">
                        <v:fill on="f" focussize="0,0"/>
                        <v:stroke weight="1pt" color="#000000" joinstyle="round" endarrow="block"/>
                        <v:imagedata o:title=""/>
                        <o:lock v:ext="edit" aspectratio="f"/>
                      </v:shape>
                      <v:shape id="肘形连接符 63" o:spid="_x0000_s1026" o:spt="33" type="#_x0000_t33" style="position:absolute;left:3268980;top:1523366;height:791844;width:447040;rotation:5898240f;" filled="f" stroked="t" coordsize="21600,21600" o:gfxdata="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E5JPk1QAAAAUBAAAPAAAAAAAAAAEAIAAAADgAAABkcnMvZG93bnJldi54&#10;bWxQSwECFAAUAAAACACHTuJAMrW6YiACAAASBAAADgAAAAAAAAABACAAAAA6AQAAZHJzL2Uyb0Rv&#10;Yy54bWxQSwUGAAAAAAYABgBZAQAAzAUAAAAA&#10;">
                        <v:fill on="f" focussize="0,0"/>
                        <v:stroke weight="1pt" color="#000000" joinstyle="miter" endarrow="block"/>
                        <v:imagedata o:title=""/>
                        <o:lock v:ext="edit" aspectratio="f"/>
                      </v:shape>
                      <v:shape id="肘形连接符 64" o:spid="_x0000_s1026" o:spt="33" type="#_x0000_t33" style="position:absolute;left:4269105;top:1557656;height:807084;width:96520;" filled="f" stroked="t" coordsize="21600,21600" o:gfxdata="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HqLKNdMAAAAFAQAADwAAAAAAAAABACAAAAA4AAAAZHJzL2Rvd25yZXYueG1sUEsBAhQAFAAA&#10;AAgAh07iQNdroK0XAgAAAwQAAA4AAAAAAAAAAQAgAAAAOAEAAGRycy9lMm9Eb2MueG1sUEsFBgAA&#10;AAAGAAYAWQEAAMEFAAAAAA==&#10;">
                        <v:fill on="f" focussize="0,0"/>
                        <v:stroke weight="1pt" color="#000000" joinstyle="miter" endarrow="block"/>
                        <v:imagedata o:title=""/>
                        <o:lock v:ext="edit" aspectratio="f"/>
                      </v:shape>
                      <v:shape id="肘形连接符 65" o:spid="_x0000_s1026" o:spt="33" type="#_x0000_t33" style="position:absolute;left:3176259;top:1682740;flip:y;height:1421130;width:208915;rotation:-5898240f;" filled="f" stroked="t" coordsize="21600,21600" o:gfxdata="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KkHIyDVAAAABQEAAA8AAAAAAAAAAQAgAAAAOAAAAGRycy9kb3du&#10;cmV2LnhtbFBLAQIUABQAAAAIAIdO4kAyD1yVJQIAAB0EAAAOAAAAAAAAAAEAIAAAADoBAABkcnMv&#10;ZTJvRG9jLnhtbFBLBQYAAAAABgAGAFkBAADRBQAAAAA=&#10;">
                        <v:fill on="f" focussize="0,0"/>
                        <v:stroke weight="1pt" color="#000000" joinstyle="miter" endarrow="block"/>
                        <v:imagedata o:title=""/>
                        <o:lock v:ext="edit" aspectratio="f"/>
                      </v:shape>
                      <v:shape id="肘形连接符 66" o:spid="_x0000_s1026" o:spt="34" type="#_x0000_t34" style="position:absolute;left:3096895;top:2498090;flip:y;height:304800;width:894080;" filled="f" stroked="t" coordsize="21600,21600" o:gfxdata="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qC+mzVAAAABQEAAA8AAAAAAAAAAQAg&#10;AAAAOAAAAGRycy9kb3ducmV2LnhtbFBLAQIUABQAAAAIAIdO4kBBAso5NAIAADsEAAAOAAAAAAAA&#10;AAEAIAAAADoBAABkcnMvZTJvRG9jLnhtbFBLBQYAAAAABgAGAFkBAADgBQAAAAA=&#10;" adj="10800">
                        <v:fill on="f" focussize="0,0"/>
                        <v:stroke weight="1pt" color="#000000" joinstyle="miter" endarrow="block"/>
                        <v:imagedata o:title=""/>
                        <o:lock v:ext="edit" aspectratio="f"/>
                      </v:shape>
                      <v:shape id="肘形连接符 67" o:spid="_x0000_s1026" o:spt="34" type="#_x0000_t34" style="position:absolute;left:3104515;top:2498090;flip:y;height:1579881;width:886460;" filled="f" stroked="t" coordsize="21600,21600" o:gfxdata="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qC+mzVAAAABQEAAA8AAAAAAAAAAQAg&#10;AAAAOAAAAGRycy9kb3ducmV2LnhtbFBLAQIUABQAAAAIAIdO4kBLmWiWNAIAADwEAAAOAAAAAAAA&#10;AAEAIAAAADoBAABkcnMvZTJvRG9jLnhtbFBLBQYAAAAABgAGAFkBAADgBQAAAAA=&#10;" adj="10800">
                        <v:fill on="f" focussize="0,0"/>
                        <v:stroke weight="1pt" color="#000000" joinstyle="miter" endarrow="block"/>
                        <v:imagedata o:title=""/>
                        <o:lock v:ext="edit" aspectratio="f"/>
                      </v:shape>
                      <v:shape id="文本框 68" o:spid="_x0000_s1026" o:spt="202" type="#_x0000_t202" style="position:absolute;left:3998595;top:2973071;height:266700;width:7493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sJ&#10;vl3TAAAABQEAAA8AAAAAAAAAAQAgAAAAOAAAAGRycy9kb3ducmV2LnhtbFBLAQIUABQAAAAIAIdO&#10;4kBfSaBuEgIAABwEAAAOAAAAAAAAAAEAIAAAADgBAABkcnMvZTJvRG9jLnhtbFBLBQYAAAAABgAG&#10;AFkBAAC8BQ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污泥暂存</w:t>
                              </w:r>
                            </w:p>
                          </w:txbxContent>
                        </v:textbox>
                      </v:shape>
                      <v:shape id="肘形连接符 69" o:spid="_x0000_s1026" o:spt="34" type="#_x0000_t34" style="position:absolute;left:3108325;top:2228215;height:175895;width:857250;rotation:11796480f;" filled="f" stroked="t" coordsize="21600,21600" o:gfxdata="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EwlZt/UAAAABQEAAA8AAAAAAAAA&#10;AQAgAAAAOAAAAGRycy9kb3ducmV2LnhtbFBLAQIUABQAAAAIAIdO4kB0NypVOAIAAEAEAAAOAAAA&#10;AAAAAAEAIAAAADkBAABkcnMvZTJvRG9jLnhtbFBLBQYAAAAABgAGAFkBAADjBQAAAAA=&#10;" adj="10784">
                        <v:fill on="f" focussize="0,0"/>
                        <v:stroke weight="1pt" color="#000000" joinstyle="miter" endarrow="block"/>
                        <v:imagedata o:title=""/>
                        <o:lock v:ext="edit" aspectratio="f"/>
                      </v:shape>
                      <v:shape id="直接箭头连接符 71" o:spid="_x0000_s1026" o:spt="32" type="#_x0000_t32" style="position:absolute;left:4365625;top:2631441;height:341630;width:7620;"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8+cSq1AAAAAUBAAAPAAAAAAAAAAEAIAAAADgAAABkcnMvZG93bnJldi54bWxQSwECFAAU&#10;AAAACACHTuJA2gtIfBgCAAACBAAADgAAAAAAAAABACAAAAA5AQAAZHJzL2Uyb0RvYy54bWxQSwUG&#10;AAAAAAYABgBZAQAAwwUAAAAA&#10;">
                        <v:fill on="f" focussize="0,0"/>
                        <v:stroke weight="1pt" color="#000000" joinstyle="round" endarrow="block"/>
                        <v:imagedata o:title=""/>
                        <o:lock v:ext="edit" aspectratio="f"/>
                      </v:shape>
                      <v:shape id="文本框 72" o:spid="_x0000_s1026" o:spt="202" type="#_x0000_t202" style="position:absolute;left:3302635;top:1932305;height:179070;width:501015;"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DQqnYc1QAAAAUB&#10;AAAPAAAAAAAAAAEAIAAAADgAAABkcnMvZG93bnJldi54bWxQSwECFAAUAAAACACHTuJAOh9WOs8B&#10;AACKAwAADgAAAAAAAAABACAAAAA6AQAAZHJzL2Uyb0RvYy54bWxQSwUGAAAAAAYABgBZAQAAewUA&#10;A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废水</w:t>
                              </w:r>
                            </w:p>
                          </w:txbxContent>
                        </v:textbox>
                      </v:shape>
                      <v:shape id="文本框 78" o:spid="_x0000_s1026" o:spt="202" type="#_x0000_t202" style="position:absolute;left:3061335;top:1368426;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NCqdhzVAAAABQEA&#10;AA8AAAAAAAAAAQAgAAAAOAAAAGRycy9kb3ducmV2LnhtbFBLAQIUABQAAAAIAIdO4kADnbdJzgEA&#10;AIoDAAAOAAAAAAAAAAEAIAAAADoBAABkcnMvZTJvRG9jLnhtbFBLBQYAAAAABgAGAFkBAAB6BQAA&#10;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滤渣</w:t>
                              </w:r>
                            </w:p>
                          </w:txbxContent>
                        </v:textbox>
                      </v:shape>
                      <v:shape id="文本框 80" o:spid="_x0000_s1026" o:spt="202" type="#_x0000_t202" style="position:absolute;left:3500120;top:2239645;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NCqdhzVAAAABQEA&#10;AA8AAAAAAAAAAQAgAAAAOAAAAGRycy9kb3ducmV2LnhtbFBLAQIUABQAAAAIAIdO4kA3LB6fzgEA&#10;AIoDAAAOAAAAAAAAAAEAIAAAADoBAABkcnMvZTJvRG9jLnhtbFBLBQYAAAAABgAGAFkBAAB6BQAA&#10;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废水</w:t>
                              </w:r>
                            </w:p>
                          </w:txbxContent>
                        </v:textbox>
                      </v:shape>
                      <v:shape id="文本框 81" o:spid="_x0000_s1026" o:spt="202" type="#_x0000_t202" style="position:absolute;left:4299585;top:1851660;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QqnYc1QAAAAUBAAAP&#10;AAAAAAAAAAEAIAAAADgAAABkcnMvZG93bnJldi54bWxQSwECFAAUAAAACACHTuJA15wFY8wBAACK&#10;AwAADgAAAAAAAAABACAAAAA6AQAAZHJzL2Uyb0RvYy54bWxQSwUGAAAAAAYABgBZAQAAeAUAA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污泥</w:t>
                              </w:r>
                            </w:p>
                          </w:txbxContent>
                        </v:textbox>
                      </v:shape>
                      <v:shape id="文本框 82" o:spid="_x0000_s1026" o:spt="202" type="#_x0000_t202" style="position:absolute;left:2966085;top:2336165;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NCqdhzVAAAABQEA&#10;AA8AAAAAAAAAAQAgAAAAOAAAAGRycy9kb3ducmV2LnhtbFBLAQIUABQAAAAIAIdO4kAof9mozgEA&#10;AIoDAAAOAAAAAAAAAAEAIAAAADoBAABkcnMvZTJvRG9jLnhtbFBLBQYAAAAABgAGAFkBAAB6BQAA&#10;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浮渣</w:t>
                              </w:r>
                            </w:p>
                          </w:txbxContent>
                        </v:textbox>
                      </v:shape>
                      <v:shape id="文本框 83" o:spid="_x0000_s1026" o:spt="202" type="#_x0000_t202" style="position:absolute;left:3068320;top:2644141;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0Kp2HNUAAAAF&#10;AQAADwAAAAAAAAABACAAAAA4AAAAZHJzL2Rvd25yZXYueG1sUEsBAhQAFAAAAAgAh07iQFhSeDXQ&#10;AQAAigMAAA4AAAAAAAAAAQAgAAAAOgEAAGRycy9lMm9Eb2MueG1sUEsFBgAAAAAGAAYAWQEAAHwF&#10;AAA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浮渣</w:t>
                              </w:r>
                            </w:p>
                          </w:txbxContent>
                        </v:textbox>
                      </v:shape>
                      <v:shape id="文本框 84" o:spid="_x0000_s1026" o:spt="202" type="#_x0000_t202" style="position:absolute;left:3097530;top:3882391;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0Kp2HNUAAAAFAQAA&#10;DwAAAAAAAAABACAAAAA4AAAAZHJzL2Rvd25yZXYueG1sUEsBAhQAFAAAAAgAh07iQAfUtlPNAQAA&#10;igMAAA4AAAAAAAAAAQAgAAAAOgEAAGRycy9lMm9Eb2MueG1sUEsFBgAAAAAGAAYAWQEAAHkFAAAA&#10;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污泥</w:t>
                              </w:r>
                            </w:p>
                          </w:txbxContent>
                        </v:textbox>
                      </v:shape>
                      <v:shape id="文本框 85" o:spid="_x0000_s1026" o:spt="202" type="#_x0000_t202" style="position:absolute;left:506730;top:802640;height:457200;width:100330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rCb5d0wAA&#10;AAUBAAAPAAAAAAAAAAEAIAAAADgAAABkcnMvZG93bnJldi54bWxQSwECFAAUAAAACACHTuJAYi+q&#10;Qw0CAAAbBAAADgAAAAAAAAABACAAAAA4AQAAZHJzL2Uyb0RvYy54bWxQSwUGAAAAAAYABgBZAQAA&#10;twU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聚合氯化铝、聚丙烯酰胺</w:t>
                              </w:r>
                            </w:p>
                          </w:txbxContent>
                        </v:textbox>
                      </v:shape>
                      <v:shape id="直接箭头连接符 86" o:spid="_x0000_s1026" o:spt="32" type="#_x0000_t32" style="position:absolute;left:1510030;top:1031241;height:10795;width:512445;" filled="f" stroked="t" coordsize="21600,21600" o:gfxdata="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PnEqtQAAAAFAQAADwAAAAAAAAABACAAAAA4AAAAZHJzL2Rvd25yZXYueG1sUEsBAhQAFAAAAAgA&#10;h07iQF/KlkYTAgAAAwQAAA4AAAAAAAAAAQAgAAAAOQEAAGRycy9lMm9Eb2MueG1sUEsFBgAAAAAG&#10;AAYAWQEAAL4FAAAAAA==&#10;">
                        <v:fill on="f" focussize="0,0"/>
                        <v:stroke weight="1pt" color="#000000" joinstyle="round" endarrow="block"/>
                        <v:imagedata o:title=""/>
                        <o:lock v:ext="edit" aspectratio="f"/>
                      </v:shape>
                      <v:shape id="肘形连接符 87" o:spid="_x0000_s1026" o:spt="33" type="#_x0000_t33" style="position:absolute;left:3076575;top:1042036;height:1322705;width:1289050;" filled="f" stroked="t" coordsize="21600,21600" o:gfxdata="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HqLKNdMAAAAFAQAADwAAAAAAAAABACAAAAA4AAAAZHJzL2Rvd25yZXYueG1sUEsBAhQAFAAA&#10;AAgAh07iQECmCa4XAgAABgQAAA4AAAAAAAAAAQAgAAAAOAEAAGRycy9lMm9Eb2MueG1sUEsFBgAA&#10;AAAGAAYAWQEAAMEFAAAAAA==&#10;">
                        <v:fill on="f" focussize="0,0"/>
                        <v:stroke weight="1pt" color="#000000" joinstyle="miter" endarrow="block"/>
                        <v:imagedata o:title=""/>
                        <o:lock v:ext="edit" aspectratio="f"/>
                      </v:shape>
                      <v:shape id="文本框 88" o:spid="_x0000_s1026" o:spt="202" type="#_x0000_t202" style="position:absolute;left:3544570;top:796290;height:177800;width:495300;" filled="f" stroked="f" coordsize="21600,21600" o:gfxdata="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DQqnYc1QAAAAUBAAAP&#10;AAAAAAAAAAEAIAAAADgAAABkcnMvZG93bnJldi54bWxQSwECFAAUAAAACACHTuJAVSWLKswBAACJ&#10;AwAADgAAAAAAAAABACAAAAA6AQAAZHJzL2Uyb0RvYy54bWxQSwUGAAAAAAYABgBZAQAAeAUAAAAA&#10;">
                        <v:fill on="f" focussize="0,0"/>
                        <v:stroke on="f" weight="1pt"/>
                        <v:imagedata o:title=""/>
                        <o:lock v:ext="edit" aspectratio="f"/>
                        <v:textbox inset="0mm,0mm,0mm,0mm">
                          <w:txbxContent>
                            <w:p>
                              <w:pPr>
                                <w:jc w:val="center"/>
                                <w:rPr>
                                  <w:rFonts w:hint="default" w:eastAsia="宋体"/>
                                  <w:lang w:val="en-US" w:eastAsia="zh-CN"/>
                                </w:rPr>
                              </w:pPr>
                              <w:r>
                                <w:rPr>
                                  <w:rFonts w:hint="eastAsia" w:eastAsia="宋体"/>
                                  <w:lang w:val="en-US" w:eastAsia="zh-CN"/>
                                </w:rPr>
                                <w:t>污泥</w:t>
                              </w:r>
                            </w:p>
                          </w:txbxContent>
                        </v:textbox>
                      </v:shape>
                      <v:shape id="文本框 89" o:spid="_x0000_s1026" o:spt="202" type="#_x0000_t202" style="position:absolute;left:2138045;top:486410;height:264795;width:833120;" filled="f" stroked="t" coordsize="21600,21600" o:gfxdata="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6wm+&#10;XdMAAAAFAQAADwAAAAAAAAABACAAAAA4AAAAZHJzL2Rvd25yZXYueG1sUEsBAhQAFAAAAAgAh07i&#10;QLzfkOoRAgAAGwQAAA4AAAAAAAAAAQAgAAAAOAEAAGRycy9lMm9Eb2MueG1sUEsFBgAAAAAGAAYA&#10;WQEAALsFAAAAAA==&#10;">
                        <v:fill on="f" focussize="0,0"/>
                        <v:stroke weight="1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pH调节池</w:t>
                              </w:r>
                            </w:p>
                          </w:txbxContent>
                        </v:textbox>
                      </v:shape>
                      <v:shape id="直接箭头连接符 90" o:spid="_x0000_s1026" o:spt="32" type="#_x0000_t32" style="position:absolute;left:2549525;top:734060;flip:x;height:161925;width:5080;" filled="f" stroked="t" coordsize="21600,21600" o:gfxdata="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AwrjGa1wAAAAUBAAAPAAAAAAAAAAEAIAAAADgAAABkcnMvZG93bnJldi54bWxQ&#10;SwECFAAUAAAACACHTuJAfm2VLhsCAAALBAAADgAAAAAAAAABACAAAAA8AQAAZHJzL2Uyb0RvYy54&#10;bWxQSwUGAAAAAAYABgBZAQAAyQUAAAAA&#10;">
                        <v:fill on="f" focussize="0,0"/>
                        <v:stroke weight="1pt" color="#000000" joinstyle="round" endarrow="block"/>
                        <v:imagedata o:title=""/>
                        <o:lock v:ext="edit" aspectratio="f"/>
                      </v:shape>
                      <v:shape id="文本框 91" o:spid="_x0000_s1026" o:spt="202" type="#_x0000_t202" style="position:absolute;left:1024255;top:401320;height:274320;width:509905;" filled="f" stroked="f" coordsize="21600,21600" o:gfxdata="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L3xbk9QAAAAFAQAADwAAAAAAAAABACAAAAA4&#10;AAAAZHJzL2Rvd25yZXYueG1sUEsBAhQAFAAAAAgAh07iQMJ3sr+/AQAAZQMAAA4AAAAAAAAAAQAg&#10;AAAAOQEAAGRycy9lMm9Eb2MueG1sUEsFBgAAAAAGAAYAWQEAAGoFAAAAAA==&#10;">
                        <v:fill on="f" focussize="0,0"/>
                        <v:stroke on="f" weight="1pt"/>
                        <v:imagedata o:title=""/>
                        <o:lock v:ext="edit" aspectratio="f"/>
                        <v:textbox>
                          <w:txbxContent>
                            <w:p>
                              <w:pPr>
                                <w:jc w:val="center"/>
                                <w:rPr>
                                  <w:rFonts w:hint="default" w:eastAsia="宋体"/>
                                  <w:lang w:val="en-US" w:eastAsia="zh-CN"/>
                                </w:rPr>
                              </w:pPr>
                              <w:r>
                                <w:rPr>
                                  <w:rFonts w:hint="eastAsia" w:eastAsia="宋体"/>
                                  <w:lang w:val="en-US" w:eastAsia="zh-CN"/>
                                </w:rPr>
                                <w:t>硫酸</w:t>
                              </w:r>
                            </w:p>
                          </w:txbxContent>
                        </v:textbox>
                      </v:shape>
                      <w10:wrap type="none"/>
                      <w10:anchorlock/>
                    </v:group>
                  </w:pict>
                </mc:Fallback>
              </mc:AlternateContent>
            </w:r>
          </w:p>
          <w:p>
            <w:pPr>
              <w:numPr>
                <w:ilvl w:val="0"/>
                <w:numId w:val="0"/>
              </w:numPr>
              <w:spacing w:line="360" w:lineRule="auto"/>
              <w:ind w:leftChars="200"/>
              <w:jc w:val="center"/>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图4-1污水处理工艺图</w:t>
            </w:r>
          </w:p>
          <w:p>
            <w:pPr>
              <w:numPr>
                <w:ilvl w:val="0"/>
                <w:numId w:val="0"/>
              </w:numPr>
              <w:spacing w:line="360" w:lineRule="auto"/>
              <w:ind w:leftChars="200"/>
              <w:rPr>
                <w:rFonts w:hint="default"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3）本项目建成后废水排放情况</w:t>
            </w:r>
          </w:p>
          <w:p>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eastAsia" w:ascii="Times New Roman" w:hAnsi="Times New Roman" w:cs="Times New Roman"/>
                <w:bCs/>
                <w:color w:val="auto"/>
                <w:sz w:val="24"/>
                <w:szCs w:val="24"/>
                <w:lang w:val="en-US" w:eastAsia="zh-CN"/>
              </w:rPr>
            </w:pPr>
            <w:r>
              <w:rPr>
                <w:rFonts w:hint="eastAsia" w:ascii="Times New Roman" w:hAnsi="Times New Roman" w:eastAsia="宋体" w:cs="Times New Roman"/>
                <w:color w:val="auto"/>
                <w:sz w:val="24"/>
                <w:szCs w:val="20"/>
                <w:lang w:val="en-US" w:eastAsia="zh-CN"/>
              </w:rPr>
              <w:t>本项目生活污水与生产废水经厂区总排口排入市政污水管网送蓬溪县经开区污水处理厂处理，</w:t>
            </w:r>
            <w:r>
              <w:rPr>
                <w:rFonts w:hint="eastAsia" w:cs="Times New Roman"/>
                <w:color w:val="auto"/>
                <w:sz w:val="24"/>
                <w:szCs w:val="20"/>
                <w:lang w:val="en-US" w:eastAsia="zh-CN"/>
              </w:rPr>
              <w:t>根据前文计算，本项目生产废水和生活污水总排放量为22.04m³/d</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生产废水与生活污水在总排放口排放信息如下：</w:t>
            </w:r>
          </w:p>
          <w:p>
            <w:pPr>
              <w:pStyle w:val="6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ascii="Times New Roman" w:hAnsi="Times New Roman" w:cs="Times New Roman"/>
                <w:color w:val="auto"/>
                <w:lang w:val="en-US" w:eastAsia="zh-CN"/>
              </w:rPr>
              <w:t>13</w:t>
            </w:r>
            <w:r>
              <w:rPr>
                <w:rFonts w:hint="eastAsia" w:ascii="Times New Roman" w:hAnsi="Times New Roman" w:eastAsia="宋体" w:cs="Times New Roman"/>
                <w:color w:val="auto"/>
                <w:lang w:val="en-US" w:eastAsia="zh-CN"/>
              </w:rPr>
              <w:t>废水间接排放信息汇总</w:t>
            </w:r>
          </w:p>
          <w:tbl>
            <w:tblPr>
              <w:tblStyle w:val="24"/>
              <w:tblW w:w="849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4"/>
              <w:gridCol w:w="791"/>
              <w:gridCol w:w="939"/>
              <w:gridCol w:w="807"/>
              <w:gridCol w:w="967"/>
              <w:gridCol w:w="930"/>
              <w:gridCol w:w="655"/>
              <w:gridCol w:w="655"/>
              <w:gridCol w:w="655"/>
              <w:gridCol w:w="655"/>
              <w:gridCol w:w="6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01" w:hRule="atLeast"/>
                <w:jc w:val="center"/>
              </w:trPr>
              <w:tc>
                <w:tcPr>
                  <w:tcW w:w="78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产污环节</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9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排放量（m³/</w:t>
                  </w:r>
                  <w:r>
                    <w:rPr>
                      <w:rFonts w:hint="eastAsia" w:ascii="Times New Roman" w:hAnsi="Times New Roman" w:eastAsia="宋体" w:cs="Times New Roman"/>
                      <w:b/>
                      <w:bCs/>
                      <w:i w:val="0"/>
                      <w:iCs w:val="0"/>
                      <w:color w:val="auto"/>
                      <w:kern w:val="0"/>
                      <w:sz w:val="21"/>
                      <w:szCs w:val="21"/>
                      <w:u w:val="none"/>
                      <w:lang w:val="en-US" w:eastAsia="zh-CN" w:bidi="ar"/>
                    </w:rPr>
                    <w:t>a</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预测排放浓度</w:t>
                  </w:r>
                  <w:r>
                    <w:rPr>
                      <w:rFonts w:hint="eastAsia" w:ascii="Times New Roman" w:hAnsi="Times New Roman" w:eastAsia="宋体" w:cs="Times New Roman"/>
                      <w:b/>
                      <w:bCs/>
                      <w:i w:val="0"/>
                      <w:iCs w:val="0"/>
                      <w:color w:val="auto"/>
                      <w:kern w:val="0"/>
                      <w:sz w:val="18"/>
                      <w:szCs w:val="18"/>
                      <w:u w:val="none"/>
                      <w:lang w:val="en-US" w:eastAsia="zh-CN" w:bidi="ar"/>
                    </w:rPr>
                    <w:t>(</w:t>
                  </w:r>
                  <w:r>
                    <w:rPr>
                      <w:rFonts w:hint="default" w:ascii="Times New Roman" w:hAnsi="Times New Roman" w:eastAsia="宋体" w:cs="Times New Roman"/>
                      <w:b/>
                      <w:bCs/>
                      <w:i w:val="0"/>
                      <w:iCs w:val="0"/>
                      <w:color w:val="auto"/>
                      <w:kern w:val="0"/>
                      <w:sz w:val="18"/>
                      <w:szCs w:val="18"/>
                      <w:u w:val="none"/>
                      <w:lang w:val="en-US" w:eastAsia="zh-CN" w:bidi="ar"/>
                    </w:rPr>
                    <w:t>mg/L)</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排放标准</w:t>
                  </w: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mg/L)</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cs="Times New Roman"/>
                      <w:b/>
                      <w:bCs/>
                      <w:i w:val="0"/>
                      <w:iCs w:val="0"/>
                      <w:color w:val="auto"/>
                      <w:kern w:val="0"/>
                      <w:sz w:val="21"/>
                      <w:szCs w:val="21"/>
                      <w:u w:val="none"/>
                      <w:lang w:val="en-US" w:eastAsia="zh-CN" w:bidi="ar"/>
                    </w:rPr>
                    <w:t>总量控制</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6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排放方式</w:t>
                  </w:r>
                </w:p>
              </w:tc>
              <w:tc>
                <w:tcPr>
                  <w:tcW w:w="6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排放去向</w:t>
                  </w:r>
                </w:p>
              </w:tc>
              <w:tc>
                <w:tcPr>
                  <w:tcW w:w="6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排放口编号</w:t>
                  </w:r>
                </w:p>
              </w:tc>
              <w:tc>
                <w:tcPr>
                  <w:tcW w:w="6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排放口类型</w:t>
                  </w:r>
                </w:p>
              </w:tc>
              <w:tc>
                <w:tcPr>
                  <w:tcW w:w="6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坐标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78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生产废水</w:t>
                  </w:r>
                  <w:r>
                    <w:rPr>
                      <w:rFonts w:hint="eastAsia" w:cs="Times New Roman"/>
                      <w:i w:val="0"/>
                      <w:iCs w:val="0"/>
                      <w:color w:val="auto"/>
                      <w:kern w:val="0"/>
                      <w:sz w:val="21"/>
                      <w:szCs w:val="21"/>
                      <w:u w:val="none"/>
                      <w:lang w:val="en-US" w:eastAsia="zh-CN" w:bidi="ar"/>
                    </w:rPr>
                    <w:t>+生活污水</w:t>
                  </w: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9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6612</w:t>
                  </w: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96.93</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3.3060 </w:t>
                  </w:r>
                </w:p>
              </w:tc>
              <w:tc>
                <w:tcPr>
                  <w:tcW w:w="65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间接排放</w:t>
                  </w:r>
                </w:p>
              </w:tc>
              <w:tc>
                <w:tcPr>
                  <w:tcW w:w="65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蓬溪经开区污水处理厂</w:t>
                  </w:r>
                </w:p>
              </w:tc>
              <w:tc>
                <w:tcPr>
                  <w:tcW w:w="65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DW001</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65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一般排放口</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655" w:type="dxa"/>
                  <w:vMerge w:val="restart"/>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105.699484,30.732692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9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15.04</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0.2975 </w:t>
                  </w: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9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14.25</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0.4628 </w:t>
                  </w: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9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0.1322 </w:t>
                  </w: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8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9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0.0529 </w:t>
                  </w: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78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9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pH</w:t>
                  </w:r>
                </w:p>
              </w:tc>
              <w:tc>
                <w:tcPr>
                  <w:tcW w:w="939"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c>
                <w:tcPr>
                  <w:tcW w:w="9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w:t>
                  </w:r>
                </w:p>
              </w:tc>
              <w:tc>
                <w:tcPr>
                  <w:tcW w:w="93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420" w:lineRule="auto"/>
              <w:ind w:firstLine="210" w:firstLineChars="100"/>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备注：pH无量纲。</w:t>
            </w:r>
          </w:p>
          <w:p>
            <w:pPr>
              <w:keepNext w:val="0"/>
              <w:keepLines w:val="0"/>
              <w:pageBreakBefore w:val="0"/>
              <w:widowControl w:val="0"/>
              <w:tabs>
                <w:tab w:val="left" w:pos="820"/>
              </w:tabs>
              <w:kinsoku/>
              <w:wordWrap/>
              <w:overflowPunct/>
              <w:topLinePunct w:val="0"/>
              <w:autoSpaceDE/>
              <w:autoSpaceDN/>
              <w:bidi w:val="0"/>
              <w:adjustRightInd/>
              <w:snapToGrid/>
              <w:spacing w:line="420" w:lineRule="auto"/>
              <w:ind w:firstLine="480" w:firstLineChars="200"/>
              <w:textAlignment w:val="auto"/>
              <w:rPr>
                <w:rFonts w:hint="eastAsia"/>
                <w:b w:val="0"/>
                <w:bCs w:val="0"/>
                <w:color w:val="auto"/>
                <w:sz w:val="24"/>
                <w:szCs w:val="20"/>
                <w:lang w:val="en-US" w:eastAsia="zh-CN"/>
              </w:rPr>
            </w:pPr>
            <w:r>
              <w:rPr>
                <w:rFonts w:hint="eastAsia"/>
                <w:b w:val="0"/>
                <w:bCs w:val="0"/>
                <w:color w:val="auto"/>
                <w:sz w:val="24"/>
                <w:szCs w:val="20"/>
                <w:lang w:val="en-US" w:eastAsia="zh-CN"/>
              </w:rPr>
              <w:t>本项目废水经厂区总排放口排入市政污水管网送蓬溪经开区污水处理厂处理达《城镇污水处理厂污染物排放标准》GB18918-2002一级A标准后排入芝溪河，本项目水污染物经蓬溪经开区污水处理厂最终排入环境的量如下表所示：</w:t>
            </w:r>
          </w:p>
          <w:p>
            <w:pPr>
              <w:adjustRightInd w:val="0"/>
              <w:snapToGrid w:val="0"/>
              <w:spacing w:line="360" w:lineRule="auto"/>
              <w:jc w:val="center"/>
              <w:rPr>
                <w:rFonts w:hint="default" w:eastAsia="宋体"/>
                <w:color w:val="auto"/>
                <w:lang w:val="en-US" w:eastAsia="zh-CN"/>
              </w:rPr>
            </w:pPr>
            <w:r>
              <w:rPr>
                <w:b/>
                <w:color w:val="auto"/>
                <w:sz w:val="24"/>
              </w:rPr>
              <w:t>表4-</w:t>
            </w:r>
            <w:r>
              <w:rPr>
                <w:rFonts w:hint="eastAsia"/>
                <w:b/>
                <w:color w:val="auto"/>
                <w:sz w:val="24"/>
                <w:lang w:val="en-US" w:eastAsia="zh-CN"/>
              </w:rPr>
              <w:t>14水污染物最终排入环境总量</w:t>
            </w:r>
          </w:p>
          <w:tbl>
            <w:tblPr>
              <w:tblStyle w:val="24"/>
              <w:tblW w:w="83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3"/>
              <w:gridCol w:w="1814"/>
              <w:gridCol w:w="1383"/>
              <w:gridCol w:w="2227"/>
              <w:gridCol w:w="16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29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污水处理厂名称</w:t>
                  </w: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污染物种类</w:t>
                  </w:r>
                </w:p>
              </w:tc>
              <w:tc>
                <w:tcPr>
                  <w:tcW w:w="138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废水排放量m³/a</w:t>
                  </w:r>
                </w:p>
              </w:tc>
              <w:tc>
                <w:tcPr>
                  <w:tcW w:w="22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污水处理厂排放</w:t>
                  </w:r>
                  <w:r>
                    <w:rPr>
                      <w:rFonts w:hint="eastAsia" w:ascii="Times New Roman" w:hAnsi="Times New Roman" w:eastAsia="宋体" w:cs="Times New Roman"/>
                      <w:b/>
                      <w:bCs/>
                      <w:i w:val="0"/>
                      <w:iCs w:val="0"/>
                      <w:color w:val="auto"/>
                      <w:kern w:val="0"/>
                      <w:sz w:val="18"/>
                      <w:szCs w:val="18"/>
                      <w:u w:val="none"/>
                      <w:lang w:val="en-US" w:eastAsia="zh-CN" w:bidi="ar"/>
                    </w:rPr>
                    <w:t>标准</w:t>
                  </w:r>
                  <w:r>
                    <w:rPr>
                      <w:rFonts w:hint="default" w:ascii="Times New Roman" w:hAnsi="Times New Roman" w:eastAsia="宋体" w:cs="Times New Roman"/>
                      <w:b/>
                      <w:bCs/>
                      <w:i w:val="0"/>
                      <w:iCs w:val="0"/>
                      <w:color w:val="auto"/>
                      <w:kern w:val="0"/>
                      <w:sz w:val="18"/>
                      <w:szCs w:val="18"/>
                      <w:u w:val="none"/>
                      <w:lang w:val="en-US" w:eastAsia="zh-CN" w:bidi="ar"/>
                    </w:rPr>
                    <w:t>（mg/L）</w:t>
                  </w:r>
                </w:p>
              </w:tc>
              <w:tc>
                <w:tcPr>
                  <w:tcW w:w="16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排放量(t)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29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蓬溪经开区污水处理厂</w:t>
                  </w: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化学需氧量</w:t>
                  </w:r>
                </w:p>
              </w:tc>
              <w:tc>
                <w:tcPr>
                  <w:tcW w:w="1383"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sz w:val="21"/>
                      <w:szCs w:val="21"/>
                      <w:u w:val="none"/>
                      <w:lang w:val="en-US"/>
                    </w:rPr>
                    <w:t>6612</w:t>
                  </w:r>
                </w:p>
              </w:tc>
              <w:tc>
                <w:tcPr>
                  <w:tcW w:w="222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6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0.3306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cs="宋体"/>
                      <w:i w:val="0"/>
                      <w:iCs w:val="0"/>
                      <w:color w:val="auto"/>
                      <w:kern w:val="0"/>
                      <w:sz w:val="21"/>
                      <w:szCs w:val="21"/>
                      <w:u w:val="none"/>
                      <w:lang w:val="en-US" w:eastAsia="zh-CN" w:bidi="ar"/>
                    </w:rPr>
                    <w:t>总氮</w:t>
                  </w:r>
                </w:p>
              </w:tc>
              <w:tc>
                <w:tcPr>
                  <w:tcW w:w="1383" w:type="dxa"/>
                  <w:vMerge w:val="continue"/>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992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悬浮物</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0.0661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石油类</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氨氮</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总磷</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60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293"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81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pH</w:t>
                  </w:r>
                </w:p>
              </w:tc>
              <w:tc>
                <w:tcPr>
                  <w:tcW w:w="1383" w:type="dxa"/>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222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6-9（无量纲）</w:t>
                  </w:r>
                </w:p>
              </w:tc>
              <w:tc>
                <w:tcPr>
                  <w:tcW w:w="1600" w:type="dxa"/>
                  <w:tcBorders>
                    <w:tl2br w:val="nil"/>
                    <w:tr2bl w:val="nil"/>
                  </w:tcBorders>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w:t>
                  </w:r>
                </w:p>
              </w:tc>
            </w:tr>
          </w:tbl>
          <w:p>
            <w:pPr>
              <w:spacing w:line="420" w:lineRule="auto"/>
              <w:ind w:firstLine="480"/>
              <w:rPr>
                <w:rFonts w:hint="default" w:ascii="Times New Roman" w:hAnsi="Times New Roman" w:cs="Times New Roman"/>
                <w:b/>
                <w:bCs/>
                <w:color w:val="auto"/>
                <w:sz w:val="24"/>
                <w:lang w:eastAsia="zh-CN"/>
              </w:rPr>
            </w:pPr>
            <w:r>
              <w:rPr>
                <w:rFonts w:hint="eastAsia" w:ascii="Times New Roman" w:hAnsi="Times New Roman" w:eastAsia="宋体" w:cs="Times New Roman"/>
                <w:b w:val="0"/>
                <w:bCs w:val="0"/>
                <w:color w:val="auto"/>
                <w:sz w:val="24"/>
                <w:szCs w:val="20"/>
                <w:lang w:val="en-US" w:eastAsia="zh-CN"/>
              </w:rPr>
              <w:t>本项目水污染排</w:t>
            </w:r>
            <w:r>
              <w:rPr>
                <w:rFonts w:hint="eastAsia" w:cs="Times New Roman"/>
                <w:b w:val="0"/>
                <w:bCs w:val="0"/>
                <w:color w:val="FF0000"/>
                <w:sz w:val="24"/>
                <w:szCs w:val="20"/>
                <w:lang w:val="en-US" w:eastAsia="zh-CN"/>
              </w:rPr>
              <w:t>物</w:t>
            </w:r>
            <w:r>
              <w:rPr>
                <w:rFonts w:hint="eastAsia" w:ascii="Times New Roman" w:hAnsi="Times New Roman" w:eastAsia="宋体" w:cs="Times New Roman"/>
                <w:b w:val="0"/>
                <w:bCs w:val="0"/>
                <w:color w:val="auto"/>
                <w:sz w:val="24"/>
                <w:szCs w:val="20"/>
                <w:lang w:val="en-US" w:eastAsia="zh-CN"/>
              </w:rPr>
              <w:t>放总量纳入</w:t>
            </w:r>
            <w:r>
              <w:rPr>
                <w:rFonts w:hint="eastAsia"/>
                <w:b w:val="0"/>
                <w:bCs w:val="0"/>
                <w:color w:val="auto"/>
                <w:sz w:val="24"/>
                <w:szCs w:val="20"/>
                <w:lang w:val="en-US" w:eastAsia="zh-CN"/>
              </w:rPr>
              <w:t>蓬溪经开区污水处理厂</w:t>
            </w:r>
            <w:r>
              <w:rPr>
                <w:rFonts w:hint="eastAsia" w:ascii="Times New Roman" w:hAnsi="Times New Roman" w:eastAsia="宋体" w:cs="Times New Roman"/>
                <w:b w:val="0"/>
                <w:bCs w:val="0"/>
                <w:color w:val="auto"/>
                <w:sz w:val="24"/>
                <w:szCs w:val="20"/>
                <w:lang w:val="en-US" w:eastAsia="zh-CN"/>
              </w:rPr>
              <w:t>总量指标。</w:t>
            </w:r>
          </w:p>
          <w:p>
            <w:pPr>
              <w:spacing w:line="420" w:lineRule="auto"/>
              <w:ind w:firstLine="480"/>
              <w:rPr>
                <w:rFonts w:hint="default" w:ascii="Times New Roman" w:hAnsi="Times New Roman" w:cs="Times New Roman"/>
                <w:b/>
                <w:bCs/>
                <w:color w:val="auto"/>
                <w:sz w:val="24"/>
              </w:rPr>
            </w:pPr>
            <w:r>
              <w:rPr>
                <w:rFonts w:hint="eastAsia" w:ascii="Times New Roman" w:hAnsi="Times New Roman" w:cs="Times New Roman"/>
                <w:b/>
                <w:bCs/>
                <w:color w:val="auto"/>
                <w:sz w:val="24"/>
                <w:lang w:eastAsia="zh-CN"/>
              </w:rPr>
              <w:t>生活污水</w:t>
            </w:r>
            <w:r>
              <w:rPr>
                <w:rFonts w:hint="default" w:ascii="Times New Roman" w:hAnsi="Times New Roman" w:cs="Times New Roman"/>
                <w:b/>
                <w:bCs/>
                <w:color w:val="auto"/>
                <w:sz w:val="24"/>
              </w:rPr>
              <w:t>治理措施可行性：</w:t>
            </w:r>
          </w:p>
          <w:p>
            <w:pPr>
              <w:tabs>
                <w:tab w:val="left" w:pos="820"/>
              </w:tabs>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eastAsia" w:cs="Times New Roman"/>
                <w:color w:val="auto"/>
                <w:sz w:val="24"/>
                <w:lang w:eastAsia="zh-CN"/>
              </w:rPr>
              <w:t>生活</w:t>
            </w:r>
            <w:r>
              <w:rPr>
                <w:rFonts w:hint="default" w:ascii="Times New Roman" w:hAnsi="Times New Roman" w:cs="Times New Roman"/>
                <w:color w:val="auto"/>
                <w:sz w:val="24"/>
              </w:rPr>
              <w:t>污水产生量为</w:t>
            </w:r>
            <w:r>
              <w:rPr>
                <w:rFonts w:hint="eastAsia" w:cs="Times New Roman"/>
                <w:color w:val="auto"/>
                <w:sz w:val="24"/>
                <w:lang w:val="en-US" w:eastAsia="zh-CN"/>
              </w:rPr>
              <w:t>5.12</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/d</w:t>
            </w:r>
            <w:r>
              <w:rPr>
                <w:rFonts w:hint="default" w:ascii="Times New Roman" w:hAnsi="Times New Roman" w:cs="Times New Roman"/>
                <w:color w:val="auto"/>
                <w:sz w:val="24"/>
              </w:rPr>
              <w:t>，主要污染物为COD、BOD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-N、TP、TN。废水经</w:t>
            </w:r>
            <w:r>
              <w:rPr>
                <w:rFonts w:hint="eastAsia" w:cs="Times New Roman"/>
                <w:color w:val="auto"/>
                <w:sz w:val="24"/>
                <w:lang w:eastAsia="zh-CN"/>
              </w:rPr>
              <w:t>既有</w:t>
            </w:r>
            <w:r>
              <w:rPr>
                <w:rFonts w:hint="default" w:ascii="Times New Roman" w:hAnsi="Times New Roman" w:cs="Times New Roman"/>
                <w:color w:val="auto"/>
                <w:sz w:val="24"/>
              </w:rPr>
              <w:t>预处理池处理后排入市政污水管网，送</w:t>
            </w:r>
            <w:r>
              <w:rPr>
                <w:rFonts w:hint="default" w:ascii="Times New Roman" w:hAnsi="Times New Roman" w:cs="Times New Roman"/>
                <w:color w:val="auto"/>
                <w:sz w:val="24"/>
                <w:lang w:eastAsia="zh-CN"/>
              </w:rPr>
              <w:t>蓬溪县经开区污水处理厂</w:t>
            </w:r>
            <w:r>
              <w:rPr>
                <w:rFonts w:hint="default" w:ascii="Times New Roman" w:hAnsi="Times New Roman" w:cs="Times New Roman"/>
                <w:color w:val="auto"/>
                <w:sz w:val="24"/>
              </w:rPr>
              <w:t>处理，本项目</w:t>
            </w:r>
            <w:r>
              <w:rPr>
                <w:rFonts w:hint="eastAsia" w:ascii="Times New Roman" w:hAnsi="Times New Roman" w:cs="Times New Roman"/>
                <w:color w:val="auto"/>
                <w:sz w:val="24"/>
                <w:lang w:eastAsia="zh-CN"/>
              </w:rPr>
              <w:t>生活污水处理</w:t>
            </w:r>
            <w:r>
              <w:rPr>
                <w:rFonts w:hint="default" w:ascii="Times New Roman" w:hAnsi="Times New Roman" w:cs="Times New Roman"/>
                <w:color w:val="auto"/>
                <w:sz w:val="24"/>
              </w:rPr>
              <w:t>措施可行性如下：</w:t>
            </w:r>
          </w:p>
          <w:p>
            <w:pPr>
              <w:spacing w:line="444"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本项目废水为</w:t>
            </w:r>
            <w:r>
              <w:rPr>
                <w:rFonts w:hint="eastAsia" w:ascii="Times New Roman" w:hAnsi="Times New Roman" w:cs="Times New Roman"/>
                <w:color w:val="auto"/>
                <w:sz w:val="24"/>
                <w:szCs w:val="22"/>
                <w:lang w:eastAsia="zh-CN"/>
              </w:rPr>
              <w:t>生活污水</w:t>
            </w:r>
            <w:r>
              <w:rPr>
                <w:rFonts w:hint="default" w:ascii="Times New Roman" w:hAnsi="Times New Roman" w:cs="Times New Roman"/>
                <w:color w:val="auto"/>
                <w:sz w:val="24"/>
                <w:szCs w:val="22"/>
              </w:rPr>
              <w:t>，水质简单，满足</w:t>
            </w:r>
            <w:r>
              <w:rPr>
                <w:rFonts w:hint="default" w:ascii="Times New Roman" w:hAnsi="Times New Roman" w:cs="Times New Roman"/>
                <w:color w:val="auto"/>
                <w:sz w:val="24"/>
                <w:szCs w:val="22"/>
                <w:lang w:eastAsia="zh-CN"/>
              </w:rPr>
              <w:t>蓬溪县经开区污水处理厂</w:t>
            </w:r>
            <w:r>
              <w:rPr>
                <w:rFonts w:hint="default" w:ascii="Times New Roman" w:hAnsi="Times New Roman" w:cs="Times New Roman"/>
                <w:color w:val="auto"/>
                <w:sz w:val="24"/>
                <w:szCs w:val="22"/>
              </w:rPr>
              <w:t>的处理工艺需求；</w:t>
            </w:r>
          </w:p>
          <w:p>
            <w:pPr>
              <w:spacing w:line="444"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本项目处于</w:t>
            </w:r>
            <w:r>
              <w:rPr>
                <w:rFonts w:hint="default" w:ascii="Times New Roman" w:hAnsi="Times New Roman" w:cs="Times New Roman"/>
                <w:color w:val="auto"/>
                <w:sz w:val="24"/>
                <w:szCs w:val="22"/>
                <w:lang w:eastAsia="zh-CN"/>
              </w:rPr>
              <w:t>蓬溪县经开区污水处理厂</w:t>
            </w:r>
            <w:r>
              <w:rPr>
                <w:rFonts w:hint="default" w:ascii="Times New Roman" w:hAnsi="Times New Roman" w:cs="Times New Roman"/>
                <w:color w:val="auto"/>
                <w:sz w:val="24"/>
                <w:szCs w:val="22"/>
              </w:rPr>
              <w:t>的收水范围，污水管网已铺设到位；</w:t>
            </w:r>
          </w:p>
          <w:p>
            <w:pPr>
              <w:spacing w:line="444"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highlight w:val="none"/>
              </w:rPr>
              <w:t>蓬溪县经开区污水处理厂采用“</w:t>
            </w:r>
            <w:r>
              <w:rPr>
                <w:rFonts w:hint="default" w:ascii="Times New Roman" w:hAnsi="Times New Roman" w:cs="Times New Roman"/>
                <w:color w:val="auto"/>
                <w:sz w:val="24"/>
                <w:szCs w:val="24"/>
                <w:highlight w:val="none"/>
              </w:rPr>
              <w:t>A2/O+AO改良工艺</w:t>
            </w:r>
            <w:r>
              <w:rPr>
                <w:rFonts w:hint="default" w:ascii="Times New Roman" w:hAnsi="Times New Roman" w:cs="Times New Roman"/>
                <w:color w:val="auto"/>
                <w:sz w:val="24"/>
                <w:szCs w:val="22"/>
                <w:highlight w:val="none"/>
              </w:rPr>
              <w:t>”的化处理工艺，日处理能力2000m³，目前蓬溪县经开区污水处理厂</w:t>
            </w:r>
            <w:r>
              <w:rPr>
                <w:rFonts w:hint="default" w:ascii="Times New Roman" w:hAnsi="Times New Roman" w:cs="Times New Roman"/>
                <w:color w:val="auto"/>
                <w:sz w:val="24"/>
                <w:szCs w:val="22"/>
                <w:highlight w:val="none"/>
                <w:lang w:eastAsia="zh-CN"/>
              </w:rPr>
              <w:t>已正常运行且能做到稳定达标排放</w:t>
            </w:r>
            <w:r>
              <w:rPr>
                <w:rFonts w:hint="default" w:ascii="Times New Roman" w:hAnsi="Times New Roman" w:cs="Times New Roman"/>
                <w:color w:val="auto"/>
                <w:sz w:val="24"/>
                <w:szCs w:val="22"/>
              </w:rPr>
              <w:t>。</w:t>
            </w:r>
          </w:p>
          <w:p>
            <w:pPr>
              <w:spacing w:line="444" w:lineRule="auto"/>
              <w:ind w:firstLine="480" w:firstLineChars="20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szCs w:val="22"/>
                <w:lang w:val="en-US" w:eastAsia="zh-CN"/>
              </w:rPr>
              <w:t>4）遂宁耀荣塑料科技有限公司</w:t>
            </w:r>
            <w:r>
              <w:rPr>
                <w:rFonts w:hint="default" w:ascii="Times New Roman" w:hAnsi="Times New Roman" w:cs="Times New Roman"/>
                <w:color w:val="auto"/>
                <w:sz w:val="24"/>
                <w:lang w:eastAsia="zh-CN"/>
              </w:rPr>
              <w:t>已建设</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0m³的</w:t>
            </w:r>
            <w:r>
              <w:rPr>
                <w:rFonts w:hint="eastAsia" w:ascii="Times New Roman" w:hAnsi="Times New Roman" w:cs="Times New Roman"/>
                <w:color w:val="auto"/>
                <w:sz w:val="24"/>
                <w:lang w:val="en-US" w:eastAsia="zh-CN"/>
              </w:rPr>
              <w:t>生活污水</w:t>
            </w:r>
            <w:r>
              <w:rPr>
                <w:rFonts w:hint="default" w:ascii="Times New Roman" w:hAnsi="Times New Roman" w:cs="Times New Roman"/>
                <w:color w:val="auto"/>
                <w:sz w:val="24"/>
              </w:rPr>
              <w:t>预处理池</w:t>
            </w:r>
            <w:r>
              <w:rPr>
                <w:rFonts w:hint="eastAsia" w:ascii="Times New Roman" w:hAnsi="Times New Roman" w:cs="Times New Roman"/>
                <w:color w:val="auto"/>
                <w:sz w:val="24"/>
                <w:lang w:eastAsia="zh-CN"/>
              </w:rPr>
              <w:t>（化粪池）</w:t>
            </w:r>
            <w:r>
              <w:rPr>
                <w:rFonts w:hint="default" w:ascii="Times New Roman" w:hAnsi="Times New Roman" w:cs="Times New Roman"/>
                <w:color w:val="auto"/>
                <w:sz w:val="24"/>
                <w:lang w:eastAsia="zh-CN"/>
              </w:rPr>
              <w:t>，用于收集和预处理厂区所产生的</w:t>
            </w:r>
            <w:r>
              <w:rPr>
                <w:rFonts w:hint="eastAsia" w:ascii="Times New Roman" w:hAnsi="Times New Roman" w:cs="Times New Roman"/>
                <w:color w:val="auto"/>
                <w:sz w:val="24"/>
                <w:lang w:eastAsia="zh-CN"/>
              </w:rPr>
              <w:t>生活污水</w:t>
            </w:r>
            <w:r>
              <w:rPr>
                <w:rFonts w:hint="default" w:ascii="Times New Roman" w:hAnsi="Times New Roman" w:cs="Times New Roman"/>
                <w:color w:val="auto"/>
                <w:sz w:val="24"/>
                <w:lang w:eastAsia="zh-CN"/>
              </w:rPr>
              <w:t>，本项目</w:t>
            </w:r>
            <w:r>
              <w:rPr>
                <w:rFonts w:hint="eastAsia" w:ascii="Times New Roman" w:hAnsi="Times New Roman" w:cs="Times New Roman"/>
                <w:color w:val="auto"/>
                <w:sz w:val="24"/>
                <w:lang w:eastAsia="zh-CN"/>
              </w:rPr>
              <w:t>生活污水</w:t>
            </w:r>
            <w:r>
              <w:rPr>
                <w:rFonts w:hint="default" w:ascii="Times New Roman" w:hAnsi="Times New Roman" w:cs="Times New Roman"/>
                <w:color w:val="auto"/>
                <w:sz w:val="24"/>
                <w:lang w:eastAsia="zh-CN"/>
              </w:rPr>
              <w:t>产量仅</w:t>
            </w:r>
            <w:r>
              <w:rPr>
                <w:rFonts w:hint="eastAsia" w:cs="Times New Roman"/>
                <w:color w:val="auto"/>
                <w:sz w:val="24"/>
                <w:lang w:val="en-US" w:eastAsia="zh-CN"/>
              </w:rPr>
              <w:t>5.12</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，遂宁耀荣塑料科技有限公司既有预处理池还有足够的容量满足本项目</w:t>
            </w:r>
            <w:r>
              <w:rPr>
                <w:rFonts w:hint="eastAsia" w:cs="Times New Roman"/>
                <w:color w:val="auto"/>
                <w:sz w:val="24"/>
                <w:lang w:eastAsia="zh-CN"/>
              </w:rPr>
              <w:t>生活污水</w:t>
            </w:r>
            <w:r>
              <w:rPr>
                <w:rFonts w:hint="default" w:ascii="Times New Roman" w:hAnsi="Times New Roman" w:cs="Times New Roman"/>
                <w:color w:val="auto"/>
                <w:sz w:val="24"/>
                <w:lang w:eastAsia="zh-CN"/>
              </w:rPr>
              <w:t>的预处理需要。</w:t>
            </w:r>
          </w:p>
          <w:p>
            <w:pPr>
              <w:pStyle w:val="66"/>
              <w:bidi w:val="0"/>
              <w:rPr>
                <w:rFonts w:hint="default" w:ascii="Times New Roman" w:hAnsi="Times New Roman" w:cs="Times New Roman"/>
                <w:b/>
                <w:bCs/>
                <w:color w:val="auto"/>
                <w:sz w:val="24"/>
              </w:rPr>
            </w:pPr>
            <w:r>
              <w:rPr>
                <w:rFonts w:hint="default" w:ascii="Times New Roman" w:hAnsi="Times New Roman" w:cs="Times New Roman"/>
                <w:b/>
                <w:bCs/>
                <w:color w:val="auto"/>
                <w:lang w:eastAsia="zh-CN"/>
              </w:rPr>
              <w:t>生产废水</w:t>
            </w:r>
            <w:r>
              <w:rPr>
                <w:rFonts w:hint="default" w:ascii="Times New Roman" w:hAnsi="Times New Roman" w:cs="Times New Roman"/>
                <w:b/>
                <w:bCs/>
                <w:color w:val="auto"/>
                <w:sz w:val="24"/>
              </w:rPr>
              <w:t>治理措施可行性：</w:t>
            </w:r>
          </w:p>
          <w:p>
            <w:pPr>
              <w:spacing w:line="444" w:lineRule="auto"/>
              <w:ind w:firstLine="480" w:firstLineChars="200"/>
              <w:jc w:val="left"/>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本项目生产废水主要是塑料破碎及清洗废水，废水中主要污染物为SS、COD、氨氮等。本项目污水处理工艺为：“pH调节+三级沉淀池+滤网+洗渣机(滚筒式）+压滤机+一级气浮+二级气浮+调节池+A/O生化处理+二次池淀”。</w:t>
            </w:r>
          </w:p>
          <w:p>
            <w:pPr>
              <w:spacing w:line="444" w:lineRule="auto"/>
              <w:ind w:firstLine="480" w:firstLineChars="200"/>
              <w:jc w:val="left"/>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根据《排污许可证申请与核发技术规范 废弃资源加工工业》(HJ 1034－2019)，废塑料加工行业推荐的可行技术为预处理：沉淀，气浮，混凝，调节；生化处理：活性污泥法，序批式活性污泥法 (SBR) ，缺氧/好氧法 (A/O) ，厌氧/缺氧/好氧法 (A2/O) ，膜生物法 (MBR) ， 曝气生物滤池 (BAF) ，生物接触氧化法，周期循环活性污泥法 (CASS) 。本项目预处理采用沉淀+气浮组合工艺，生化处理采用缺氧/好氧法 (A/O)，因此本项目污水处理工艺为排污许可推荐工艺，因此废水处理工艺具有可行性。</w:t>
            </w:r>
          </w:p>
          <w:p>
            <w:pPr>
              <w:spacing w:line="444" w:lineRule="auto"/>
              <w:ind w:firstLine="480" w:firstLineChars="200"/>
              <w:jc w:val="left"/>
              <w:rPr>
                <w:rFonts w:hint="eastAsia" w:ascii="Times New Roman" w:hAnsi="Times New Roman" w:cs="Times New Roman"/>
                <w:color w:val="auto"/>
                <w:sz w:val="24"/>
                <w:szCs w:val="22"/>
                <w:lang w:eastAsia="zh-CN"/>
              </w:rPr>
            </w:pPr>
            <w:r>
              <w:rPr>
                <w:rFonts w:hint="eastAsia" w:ascii="Times New Roman" w:hAnsi="Times New Roman" w:eastAsia="宋体" w:cs="Times New Roman"/>
                <w:color w:val="auto"/>
                <w:sz w:val="24"/>
                <w:szCs w:val="22"/>
                <w:lang w:val="en-US" w:eastAsia="zh-CN"/>
              </w:rPr>
              <w:t>项目生产废水污染物成分简单，经过本项目废水处理设施处理后可满足</w:t>
            </w:r>
            <w:r>
              <w:rPr>
                <w:rFonts w:hint="default" w:ascii="Times New Roman" w:hAnsi="Times New Roman" w:eastAsia="宋体" w:cs="Times New Roman"/>
                <w:snapToGrid w:val="0"/>
                <w:color w:val="auto"/>
                <w:kern w:val="0"/>
                <w:sz w:val="24"/>
                <w:szCs w:val="22"/>
                <w:lang w:val="en-US" w:eastAsia="zh-CN" w:bidi="ar-SA"/>
              </w:rPr>
              <w:t>《污水综合排放标准》（GB8978-1996）三级标准</w:t>
            </w:r>
            <w:r>
              <w:rPr>
                <w:rFonts w:hint="eastAsia" w:ascii="Times New Roman" w:hAnsi="Times New Roman" w:eastAsia="宋体" w:cs="Times New Roman"/>
                <w:snapToGrid w:val="0"/>
                <w:color w:val="auto"/>
                <w:kern w:val="0"/>
                <w:sz w:val="24"/>
                <w:szCs w:val="22"/>
                <w:lang w:val="en-US" w:eastAsia="zh-CN" w:bidi="ar-SA"/>
              </w:rPr>
              <w:t>排放要求。项目生产废水预处理达标后排入市政污水管网送</w:t>
            </w:r>
            <w:r>
              <w:rPr>
                <w:rFonts w:hint="default" w:ascii="Times New Roman" w:hAnsi="Times New Roman" w:cs="Times New Roman"/>
                <w:color w:val="auto"/>
                <w:sz w:val="24"/>
                <w:szCs w:val="22"/>
                <w:lang w:eastAsia="zh-CN"/>
              </w:rPr>
              <w:t>蓬溪县经开区污水处理厂</w:t>
            </w:r>
            <w:r>
              <w:rPr>
                <w:rFonts w:hint="eastAsia" w:ascii="Times New Roman" w:hAnsi="Times New Roman" w:cs="Times New Roman"/>
                <w:color w:val="auto"/>
                <w:sz w:val="24"/>
                <w:szCs w:val="22"/>
                <w:lang w:eastAsia="zh-CN"/>
              </w:rPr>
              <w:t>处理。蓬溪经开区污水处理</w:t>
            </w:r>
            <w:r>
              <w:rPr>
                <w:rFonts w:hint="eastAsia" w:cs="Times New Roman"/>
                <w:color w:val="auto"/>
                <w:sz w:val="24"/>
                <w:szCs w:val="22"/>
                <w:lang w:eastAsia="zh-CN"/>
              </w:rPr>
              <w:t>厂</w:t>
            </w:r>
            <w:r>
              <w:rPr>
                <w:rFonts w:hint="eastAsia" w:ascii="Times New Roman" w:hAnsi="Times New Roman" w:cs="Times New Roman"/>
                <w:color w:val="auto"/>
                <w:sz w:val="24"/>
                <w:szCs w:val="22"/>
                <w:lang w:eastAsia="zh-CN"/>
              </w:rPr>
              <w:t>已正常投运，收水管网已覆盖本项目所在范围且还有足够的容量收纳本项目的废水，因此本项目所产生的废水经项目污水处理设施及蓬溪县经开区污水处理厂处理后可实现达标排放。</w:t>
            </w:r>
          </w:p>
          <w:p>
            <w:pPr>
              <w:spacing w:line="444" w:lineRule="auto"/>
              <w:ind w:firstLine="480" w:firstLineChars="200"/>
              <w:jc w:val="left"/>
              <w:rPr>
                <w:rFonts w:hint="default"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根据以上分析，本项目生产废水和生活污水经预处理后排入市政污水管网送蓬溪经开区污水处理厂处理的排水方案具有合理性。</w:t>
            </w:r>
          </w:p>
          <w:p>
            <w:pPr>
              <w:tabs>
                <w:tab w:val="left" w:pos="820"/>
              </w:tabs>
              <w:spacing w:line="360" w:lineRule="auto"/>
              <w:ind w:firstLine="482" w:firstLineChars="200"/>
              <w:rPr>
                <w:rFonts w:hint="eastAsia" w:ascii="Times New Roman" w:hAnsi="Times New Roman" w:eastAsia="宋体" w:cs="Times New Roman"/>
                <w:b/>
                <w:bCs/>
                <w:color w:val="auto"/>
                <w:sz w:val="24"/>
                <w:szCs w:val="20"/>
                <w:lang w:val="en-US" w:eastAsia="zh-CN"/>
              </w:rPr>
            </w:pPr>
            <w:r>
              <w:rPr>
                <w:rFonts w:hint="eastAsia" w:ascii="Times New Roman" w:hAnsi="Times New Roman" w:eastAsia="宋体" w:cs="Times New Roman"/>
                <w:b/>
                <w:bCs/>
                <w:color w:val="auto"/>
                <w:sz w:val="24"/>
                <w:szCs w:val="20"/>
                <w:lang w:val="en-US" w:eastAsia="zh-CN"/>
              </w:rPr>
              <w:t>废水影响定性分析：</w:t>
            </w:r>
          </w:p>
          <w:p>
            <w:pPr>
              <w:spacing w:line="420" w:lineRule="auto"/>
              <w:ind w:firstLine="480" w:firstLineChars="200"/>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根据分析，本项目废水的水质和水量不会对蓬溪县经开区污水处理厂的处理工艺和处理能力造成冲击，本项目废水均可得到合理处置，不会对周边水环境造成明显影响。</w:t>
            </w:r>
          </w:p>
          <w:p>
            <w:pPr>
              <w:pStyle w:val="66"/>
              <w:bidi w:val="0"/>
              <w:ind w:left="0" w:leftChars="0" w:firstLine="0" w:firstLineChars="0"/>
              <w:rPr>
                <w:rFonts w:hint="eastAsia" w:ascii="Times New Roman" w:hAnsi="Times New Roman" w:cs="Times New Roman"/>
                <w:color w:val="auto"/>
                <w:lang w:val="en-US" w:eastAsia="zh-CN"/>
              </w:rPr>
            </w:pPr>
          </w:p>
          <w:p>
            <w:pPr>
              <w:tabs>
                <w:tab w:val="left" w:pos="820"/>
              </w:tabs>
              <w:spacing w:line="360" w:lineRule="auto"/>
              <w:ind w:firstLine="482" w:firstLineChars="200"/>
              <w:rPr>
                <w:b/>
                <w:bCs/>
                <w:sz w:val="24"/>
                <w:szCs w:val="20"/>
              </w:rPr>
            </w:pPr>
            <w:r>
              <w:rPr>
                <w:b/>
                <w:bCs/>
                <w:sz w:val="24"/>
                <w:szCs w:val="20"/>
              </w:rPr>
              <w:t>3、噪声排放及处理措施</w:t>
            </w:r>
          </w:p>
          <w:p>
            <w:pPr>
              <w:spacing w:line="420" w:lineRule="auto"/>
              <w:ind w:firstLine="482" w:firstLineChars="200"/>
              <w:rPr>
                <w:sz w:val="24"/>
                <w:szCs w:val="22"/>
              </w:rPr>
            </w:pPr>
            <w:r>
              <w:rPr>
                <w:b/>
                <w:bCs/>
                <w:sz w:val="24"/>
                <w:szCs w:val="22"/>
              </w:rPr>
              <w:t>（1）主要噪声源及治理措施</w:t>
            </w:r>
          </w:p>
          <w:p>
            <w:pPr>
              <w:spacing w:line="420" w:lineRule="auto"/>
              <w:ind w:firstLine="480" w:firstLineChars="200"/>
              <w:rPr>
                <w:sz w:val="24"/>
                <w:szCs w:val="22"/>
              </w:rPr>
            </w:pPr>
            <w:r>
              <w:rPr>
                <w:sz w:val="24"/>
                <w:szCs w:val="22"/>
              </w:rPr>
              <w:t>本项目营运期主要噪声源为</w:t>
            </w:r>
            <w:r>
              <w:rPr>
                <w:rFonts w:hint="eastAsia"/>
                <w:sz w:val="24"/>
                <w:szCs w:val="22"/>
                <w:lang w:eastAsia="zh-CN"/>
              </w:rPr>
              <w:t>废气处理</w:t>
            </w:r>
            <w:r>
              <w:rPr>
                <w:sz w:val="24"/>
                <w:szCs w:val="22"/>
              </w:rPr>
              <w:t>系统风机</w:t>
            </w:r>
            <w:r>
              <w:rPr>
                <w:rFonts w:hint="eastAsia"/>
                <w:sz w:val="24"/>
                <w:szCs w:val="22"/>
                <w:lang w:eastAsia="zh-CN"/>
              </w:rPr>
              <w:t>、混料</w:t>
            </w:r>
            <w:r>
              <w:rPr>
                <w:rFonts w:hint="eastAsia"/>
                <w:sz w:val="24"/>
                <w:szCs w:val="22"/>
                <w:lang w:val="en-US" w:eastAsia="zh-CN"/>
              </w:rPr>
              <w:t>机</w:t>
            </w:r>
            <w:r>
              <w:rPr>
                <w:sz w:val="24"/>
                <w:szCs w:val="22"/>
              </w:rPr>
              <w:t>、空压机</w:t>
            </w:r>
            <w:r>
              <w:rPr>
                <w:rFonts w:hint="eastAsia"/>
                <w:sz w:val="24"/>
                <w:szCs w:val="22"/>
                <w:lang w:eastAsia="zh-CN"/>
              </w:rPr>
              <w:t>、破碎机、脱水机、切粒机</w:t>
            </w:r>
            <w:r>
              <w:rPr>
                <w:sz w:val="24"/>
                <w:szCs w:val="22"/>
              </w:rPr>
              <w:t xml:space="preserve">等设备运行噪声，噪声值约在 </w:t>
            </w:r>
            <w:r>
              <w:rPr>
                <w:rFonts w:hint="eastAsia"/>
                <w:sz w:val="24"/>
                <w:szCs w:val="22"/>
                <w:lang w:val="en-US" w:eastAsia="zh-CN"/>
              </w:rPr>
              <w:t>8</w:t>
            </w:r>
            <w:r>
              <w:rPr>
                <w:sz w:val="24"/>
                <w:szCs w:val="22"/>
              </w:rPr>
              <w:t>0-90dB（A）范围内，厂房为封闭式钢框架厂房，项目</w:t>
            </w:r>
            <w:r>
              <w:rPr>
                <w:rFonts w:hint="eastAsia"/>
                <w:sz w:val="24"/>
                <w:szCs w:val="22"/>
                <w:lang w:eastAsia="zh-CN"/>
              </w:rPr>
              <w:t>除废气处理系统排风机设置于室外外，其他</w:t>
            </w:r>
            <w:r>
              <w:rPr>
                <w:sz w:val="24"/>
                <w:szCs w:val="22"/>
              </w:rPr>
              <w:t>设备均设置于厂房内，可利用厂房建筑结构消减噪声对外环境的影响。主要声源治理前噪声源强值见下表。</w:t>
            </w:r>
          </w:p>
          <w:p>
            <w:pPr>
              <w:pStyle w:val="2"/>
              <w:rPr>
                <w:sz w:val="24"/>
                <w:szCs w:val="22"/>
              </w:rPr>
            </w:pPr>
          </w:p>
          <w:p>
            <w:pPr>
              <w:rPr>
                <w:sz w:val="24"/>
                <w:szCs w:val="22"/>
              </w:rPr>
            </w:pPr>
          </w:p>
          <w:p>
            <w:pPr>
              <w:pStyle w:val="2"/>
              <w:rPr>
                <w:sz w:val="24"/>
                <w:szCs w:val="22"/>
              </w:rPr>
            </w:pPr>
          </w:p>
          <w:p>
            <w:pPr>
              <w:rPr>
                <w:sz w:val="24"/>
                <w:szCs w:val="22"/>
              </w:rPr>
            </w:pPr>
          </w:p>
          <w:p>
            <w:pPr>
              <w:pStyle w:val="2"/>
              <w:rPr>
                <w:sz w:val="24"/>
                <w:szCs w:val="22"/>
              </w:rPr>
            </w:pPr>
          </w:p>
          <w:p>
            <w:pPr>
              <w:rPr>
                <w:sz w:val="24"/>
                <w:szCs w:val="22"/>
              </w:rPr>
            </w:pPr>
          </w:p>
          <w:p>
            <w:pPr>
              <w:pStyle w:val="2"/>
              <w:rPr>
                <w:sz w:val="24"/>
                <w:szCs w:val="22"/>
              </w:rPr>
            </w:pPr>
          </w:p>
          <w:p>
            <w:pPr>
              <w:rPr>
                <w:sz w:val="24"/>
                <w:szCs w:val="22"/>
              </w:rPr>
            </w:pPr>
          </w:p>
          <w:p>
            <w:pPr>
              <w:pStyle w:val="2"/>
              <w:rPr>
                <w:sz w:val="24"/>
                <w:szCs w:val="22"/>
              </w:rPr>
            </w:pPr>
          </w:p>
          <w:p>
            <w:pPr>
              <w:rPr>
                <w:sz w:val="24"/>
                <w:szCs w:val="22"/>
              </w:rPr>
            </w:pPr>
          </w:p>
          <w:p>
            <w:pPr>
              <w:pStyle w:val="2"/>
              <w:rPr>
                <w:sz w:val="24"/>
                <w:szCs w:val="22"/>
              </w:rPr>
            </w:pPr>
          </w:p>
          <w:p>
            <w:pPr>
              <w:rPr>
                <w:sz w:val="24"/>
                <w:szCs w:val="22"/>
              </w:rPr>
            </w:pPr>
          </w:p>
          <w:p>
            <w:pPr>
              <w:pStyle w:val="2"/>
              <w:rPr>
                <w:sz w:val="24"/>
                <w:szCs w:val="22"/>
              </w:rPr>
            </w:pPr>
          </w:p>
          <w:p>
            <w:pPr>
              <w:rPr>
                <w:sz w:val="24"/>
                <w:szCs w:val="22"/>
              </w:rPr>
            </w:pPr>
          </w:p>
          <w:p>
            <w:pPr>
              <w:pStyle w:val="2"/>
              <w:rPr>
                <w:sz w:val="24"/>
                <w:szCs w:val="22"/>
              </w:rPr>
            </w:pPr>
          </w:p>
          <w:p/>
        </w:tc>
      </w:tr>
    </w:tbl>
    <w:p>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adjustRightInd w:val="0"/>
        <w:snapToGrid w:val="0"/>
        <w:spacing w:before="120" w:beforeLines="50" w:line="360" w:lineRule="auto"/>
        <w:jc w:val="center"/>
        <w:rPr>
          <w:rStyle w:val="29"/>
          <w:rFonts w:hint="default" w:ascii="Times New Roman" w:hAnsi="Times New Roman" w:cs="Times New Roman"/>
          <w:color w:val="000000"/>
          <w:kern w:val="0"/>
          <w:szCs w:val="20"/>
        </w:rPr>
      </w:pPr>
      <w:r>
        <w:rPr>
          <w:rFonts w:hint="default" w:ascii="Times New Roman" w:hAnsi="Times New Roman" w:cs="Times New Roman"/>
          <w:b/>
          <w:color w:val="000000"/>
          <w:sz w:val="24"/>
        </w:rPr>
        <w:t>表4-</w:t>
      </w:r>
      <w:r>
        <w:rPr>
          <w:rFonts w:hint="default" w:ascii="Times New Roman" w:hAnsi="Times New Roman" w:cs="Times New Roman"/>
          <w:b/>
          <w:color w:val="000000"/>
          <w:sz w:val="24"/>
          <w:lang w:val="en-US" w:eastAsia="zh-CN"/>
        </w:rPr>
        <w:t>1</w:t>
      </w:r>
      <w:r>
        <w:rPr>
          <w:rFonts w:hint="eastAsia" w:cs="Times New Roman"/>
          <w:b/>
          <w:color w:val="000000"/>
          <w:sz w:val="24"/>
          <w:lang w:val="en-US" w:eastAsia="zh-CN"/>
        </w:rPr>
        <w:t>5</w:t>
      </w:r>
      <w:r>
        <w:rPr>
          <w:rFonts w:hint="default" w:ascii="Times New Roman" w:hAnsi="Times New Roman" w:cs="Times New Roman"/>
          <w:b/>
          <w:color w:val="000000"/>
          <w:sz w:val="24"/>
        </w:rPr>
        <w:tab/>
      </w:r>
      <w:r>
        <w:rPr>
          <w:rFonts w:hint="default" w:ascii="Times New Roman" w:hAnsi="Times New Roman" w:cs="Times New Roman"/>
          <w:b/>
          <w:color w:val="000000"/>
          <w:sz w:val="24"/>
        </w:rPr>
        <w:t>项目主要噪声源调查表（室内）</w:t>
      </w:r>
    </w:p>
    <w:tbl>
      <w:tblPr>
        <w:tblStyle w:val="24"/>
        <w:tblW w:w="1403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42"/>
        <w:gridCol w:w="661"/>
        <w:gridCol w:w="934"/>
        <w:gridCol w:w="937"/>
        <w:gridCol w:w="781"/>
        <w:gridCol w:w="859"/>
        <w:gridCol w:w="937"/>
        <w:gridCol w:w="1084"/>
        <w:gridCol w:w="782"/>
        <w:gridCol w:w="1050"/>
        <w:gridCol w:w="1197"/>
        <w:gridCol w:w="728"/>
        <w:gridCol w:w="1042"/>
        <w:gridCol w:w="1301"/>
        <w:gridCol w:w="9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742"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661"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建筑物名称</w:t>
            </w:r>
          </w:p>
        </w:tc>
        <w:tc>
          <w:tcPr>
            <w:tcW w:w="934"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937"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型号</w:t>
            </w:r>
          </w:p>
        </w:tc>
        <w:tc>
          <w:tcPr>
            <w:tcW w:w="781"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声源源强</w:t>
            </w:r>
            <w:r>
              <w:rPr>
                <w:rFonts w:hint="default" w:ascii="Times New Roman" w:hAnsi="Times New Roman" w:cs="Times New Roman"/>
                <w:b/>
                <w:bCs/>
                <w:color w:val="000000"/>
                <w:kern w:val="0"/>
                <w:sz w:val="21"/>
                <w:szCs w:val="21"/>
                <w:lang w:bidi="ar"/>
              </w:rPr>
              <w:t>dB(A)</w:t>
            </w:r>
          </w:p>
        </w:tc>
        <w:tc>
          <w:tcPr>
            <w:tcW w:w="859"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2803" w:type="dxa"/>
            <w:gridSpan w:val="3"/>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空间位置/m</w:t>
            </w:r>
          </w:p>
        </w:tc>
        <w:tc>
          <w:tcPr>
            <w:tcW w:w="1050"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距室内边界</w:t>
            </w:r>
            <w:r>
              <w:rPr>
                <w:rFonts w:hint="eastAsia" w:ascii="Times New Roman" w:hAnsi="Times New Roman" w:cs="Times New Roman"/>
                <w:color w:val="000000"/>
                <w:kern w:val="0"/>
                <w:sz w:val="21"/>
                <w:szCs w:val="21"/>
                <w:lang w:val="en-US" w:eastAsia="zh-CN" w:bidi="ar"/>
              </w:rPr>
              <w:t>最近</w:t>
            </w:r>
            <w:r>
              <w:rPr>
                <w:rFonts w:hint="default" w:ascii="Times New Roman" w:hAnsi="Times New Roman" w:cs="Times New Roman"/>
                <w:color w:val="000000"/>
                <w:kern w:val="0"/>
                <w:sz w:val="21"/>
                <w:szCs w:val="21"/>
                <w:lang w:bidi="ar"/>
              </w:rPr>
              <w:t>距离/m</w:t>
            </w:r>
          </w:p>
        </w:tc>
        <w:tc>
          <w:tcPr>
            <w:tcW w:w="1197"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室内边界声级/dB(A)</w:t>
            </w:r>
          </w:p>
        </w:tc>
        <w:tc>
          <w:tcPr>
            <w:tcW w:w="728"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c>
          <w:tcPr>
            <w:tcW w:w="1042"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建筑物插入损失/dB(A)</w:t>
            </w:r>
          </w:p>
        </w:tc>
        <w:tc>
          <w:tcPr>
            <w:tcW w:w="2299" w:type="dxa"/>
            <w:gridSpan w:val="2"/>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建筑物外噪声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742"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661"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934"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937"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781"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1084"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782"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1050"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197"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301" w:type="dxa"/>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声压级/dB(A)</w:t>
            </w:r>
          </w:p>
        </w:tc>
        <w:tc>
          <w:tcPr>
            <w:tcW w:w="998" w:type="dxa"/>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建筑物外距离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9"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61"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塑料筐生产线</w:t>
            </w: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混料机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选用低噪声设备，加强设备保养，加强建筑物封闭</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设置减震设施</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-25.83</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37.84</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61.94</w:t>
            </w:r>
          </w:p>
        </w:tc>
        <w:tc>
          <w:tcPr>
            <w:tcW w:w="72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8:00-18:00/20:00-6:00</w:t>
            </w: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45.94</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混料机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-18.53</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-43.52</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62.85</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46.85</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6"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破碎机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5.01</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-43.93</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70.85</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54.85</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空压机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0.8MPa</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-34.05</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-38.76</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5.33</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70.47</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54.47</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61"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废塑料破碎清洗线</w:t>
            </w: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破碎机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22.16</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75.85</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59.85</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破碎机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28.66</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-17.51</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73.48</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57.48</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破碎机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34.74</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-17.51</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88.42</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72.42</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破碎机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39.61</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-18.73</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67.20</w:t>
            </w:r>
          </w:p>
        </w:tc>
        <w:tc>
          <w:tcPr>
            <w:tcW w:w="72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51.20</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破碎机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44.48</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-18.32</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75.19</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59.19</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脱水机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27.69</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-42.01</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64.73</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48.73</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脱水机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33.78</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-43.63</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63.48</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47.48</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脱水机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38.65</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-43.63</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59.74</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43.74</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脱水机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29.72</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-48.50</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64.58</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48.58</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脱水机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37.84</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-55.00</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61.41</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45.41</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脱水机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39.86</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-53.78</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62.50</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46.50</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61" w:type="dxa"/>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造粒生产线</w:t>
            </w: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切粒机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-6.39</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28.59</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65.72</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49.72</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7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61" w:type="dxa"/>
            <w:vMerge w:val="continue"/>
            <w:tcBorders>
              <w:tl2br w:val="nil"/>
              <w:tr2bl w:val="nil"/>
            </w:tcBorders>
            <w:noWrap/>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p>
        </w:tc>
        <w:tc>
          <w:tcPr>
            <w:tcW w:w="93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切粒机</w:t>
            </w: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定制设备</w:t>
            </w:r>
          </w:p>
        </w:tc>
        <w:tc>
          <w:tcPr>
            <w:tcW w:w="78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859"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93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1084"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16.67</w:t>
            </w:r>
          </w:p>
        </w:tc>
        <w:tc>
          <w:tcPr>
            <w:tcW w:w="78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50"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119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65.09</w:t>
            </w:r>
          </w:p>
        </w:tc>
        <w:tc>
          <w:tcPr>
            <w:tcW w:w="728" w:type="dxa"/>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04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30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49.09</w:t>
            </w:r>
          </w:p>
        </w:tc>
        <w:tc>
          <w:tcPr>
            <w:tcW w:w="99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r>
    </w:tbl>
    <w:p>
      <w:pPr>
        <w:adjustRightInd w:val="0"/>
        <w:snapToGrid w:val="0"/>
        <w:spacing w:before="120" w:beforeLines="50" w:line="360" w:lineRule="auto"/>
        <w:jc w:val="center"/>
        <w:rPr>
          <w:rFonts w:hint="default" w:ascii="Times New Roman" w:hAnsi="Times New Roman" w:cs="Times New Roman"/>
          <w:b/>
          <w:color w:val="000000"/>
          <w:sz w:val="24"/>
        </w:rPr>
      </w:pPr>
      <w:r>
        <w:rPr>
          <w:rFonts w:hint="default" w:ascii="Times New Roman" w:hAnsi="Times New Roman" w:cs="Times New Roman"/>
          <w:b/>
          <w:color w:val="000000"/>
          <w:sz w:val="24"/>
        </w:rPr>
        <w:t>表4-</w:t>
      </w:r>
      <w:r>
        <w:rPr>
          <w:rFonts w:hint="default" w:ascii="Times New Roman" w:hAnsi="Times New Roman" w:cs="Times New Roman"/>
          <w:b/>
          <w:color w:val="000000"/>
          <w:sz w:val="24"/>
          <w:lang w:val="en-US" w:eastAsia="zh-CN"/>
        </w:rPr>
        <w:t>1</w:t>
      </w:r>
      <w:r>
        <w:rPr>
          <w:rFonts w:hint="eastAsia" w:cs="Times New Roman"/>
          <w:b/>
          <w:color w:val="000000"/>
          <w:sz w:val="24"/>
          <w:lang w:val="en-US" w:eastAsia="zh-CN"/>
        </w:rPr>
        <w:t>6</w:t>
      </w:r>
      <w:r>
        <w:rPr>
          <w:rFonts w:hint="default" w:ascii="Times New Roman" w:hAnsi="Times New Roman" w:cs="Times New Roman"/>
          <w:b/>
          <w:color w:val="000000"/>
          <w:sz w:val="24"/>
        </w:rPr>
        <w:tab/>
      </w:r>
      <w:r>
        <w:rPr>
          <w:rFonts w:hint="default" w:ascii="Times New Roman" w:hAnsi="Times New Roman" w:cs="Times New Roman"/>
          <w:b/>
          <w:color w:val="000000"/>
          <w:sz w:val="24"/>
        </w:rPr>
        <w:t>项目主要噪声源调查表（室外）</w:t>
      </w:r>
    </w:p>
    <w:tbl>
      <w:tblPr>
        <w:tblStyle w:val="24"/>
        <w:tblW w:w="14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471"/>
        <w:gridCol w:w="1707"/>
        <w:gridCol w:w="1602"/>
        <w:gridCol w:w="2158"/>
        <w:gridCol w:w="1263"/>
        <w:gridCol w:w="1807"/>
        <w:gridCol w:w="1655"/>
        <w:gridCol w:w="1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58"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1471" w:type="dxa"/>
            <w:vMerge w:val="restart"/>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1707"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型号</w:t>
            </w:r>
          </w:p>
        </w:tc>
        <w:tc>
          <w:tcPr>
            <w:tcW w:w="1602"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声源源强</w:t>
            </w:r>
            <w:r>
              <w:rPr>
                <w:rFonts w:hint="default" w:ascii="Times New Roman" w:hAnsi="Times New Roman" w:cs="Times New Roman"/>
                <w:b/>
                <w:bCs/>
                <w:color w:val="000000"/>
                <w:kern w:val="0"/>
                <w:sz w:val="21"/>
                <w:szCs w:val="21"/>
                <w:lang w:bidi="ar"/>
              </w:rPr>
              <w:t>dB(A)</w:t>
            </w:r>
          </w:p>
        </w:tc>
        <w:tc>
          <w:tcPr>
            <w:tcW w:w="2158"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4725" w:type="dxa"/>
            <w:gridSpan w:val="3"/>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空间位置/m</w:t>
            </w:r>
          </w:p>
        </w:tc>
        <w:tc>
          <w:tcPr>
            <w:tcW w:w="1655"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58"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1471" w:type="dxa"/>
            <w:vMerge w:val="continue"/>
            <w:tcBorders>
              <w:tl2br w:val="nil"/>
              <w:tr2bl w:val="nil"/>
            </w:tcBorders>
            <w:noWrap/>
            <w:vAlign w:val="center"/>
          </w:tcPr>
          <w:p>
            <w:pPr>
              <w:jc w:val="center"/>
              <w:rPr>
                <w:rFonts w:hint="default" w:ascii="Times New Roman" w:hAnsi="Times New Roman" w:cs="Times New Roman"/>
                <w:color w:val="000000"/>
                <w:sz w:val="21"/>
                <w:szCs w:val="21"/>
              </w:rPr>
            </w:pPr>
          </w:p>
        </w:tc>
        <w:tc>
          <w:tcPr>
            <w:tcW w:w="1707"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602"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2158"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c>
          <w:tcPr>
            <w:tcW w:w="1263"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1807"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1655" w:type="dxa"/>
            <w:tcBorders>
              <w:tl2br w:val="nil"/>
              <w:tr2bl w:val="nil"/>
            </w:tcBorders>
            <w:noWrap/>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1655" w:type="dxa"/>
            <w:vMerge w:val="continue"/>
            <w:tcBorders>
              <w:tl2br w:val="nil"/>
              <w:tr2bl w:val="nil"/>
            </w:tcBorders>
            <w:noWrap w:val="0"/>
            <w:vAlign w:val="center"/>
          </w:tcPr>
          <w:p>
            <w:pPr>
              <w:jc w:val="center"/>
              <w:rPr>
                <w:rFonts w:hint="default" w:ascii="Times New Roman" w:hAnsi="Times New Roman"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5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4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环保风机</w:t>
            </w:r>
          </w:p>
        </w:tc>
        <w:tc>
          <w:tcPr>
            <w:tcW w:w="17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7.5KW</w:t>
            </w:r>
          </w:p>
        </w:tc>
        <w:tc>
          <w:tcPr>
            <w:tcW w:w="160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215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设置减震设施、软接管道</w:t>
            </w: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-36.38</w:t>
            </w:r>
          </w:p>
        </w:tc>
        <w:tc>
          <w:tcPr>
            <w:tcW w:w="18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-45.55</w:t>
            </w:r>
          </w:p>
        </w:tc>
        <w:tc>
          <w:tcPr>
            <w:tcW w:w="16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55" w:type="dxa"/>
            <w:vMerge w:val="restart"/>
            <w:tcBorders>
              <w:tl2br w:val="nil"/>
              <w:tr2bl w:val="nil"/>
            </w:tcBorders>
            <w:noWrap w:val="0"/>
            <w:vAlign w:val="center"/>
          </w:tcPr>
          <w:p>
            <w:pPr>
              <w:widowControl/>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8:00-18:00/20:00-6:00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5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4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环保风机</w:t>
            </w:r>
          </w:p>
        </w:tc>
        <w:tc>
          <w:tcPr>
            <w:tcW w:w="17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7.5KW</w:t>
            </w:r>
          </w:p>
        </w:tc>
        <w:tc>
          <w:tcPr>
            <w:tcW w:w="160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2158" w:type="dxa"/>
            <w:vMerge w:val="continue"/>
            <w:tcBorders>
              <w:tl2br w:val="nil"/>
              <w:tr2bl w:val="nil"/>
            </w:tcBorders>
            <w:noWrap w:val="0"/>
            <w:vAlign w:val="center"/>
          </w:tcPr>
          <w:p>
            <w:pPr>
              <w:jc w:val="center"/>
              <w:rPr>
                <w:rFonts w:hint="default" w:ascii="Times New Roman" w:hAnsi="Times New Roman" w:cs="Times New Roman"/>
                <w:color w:val="000000"/>
                <w:kern w:val="0"/>
                <w:sz w:val="21"/>
                <w:szCs w:val="21"/>
                <w:lang w:bidi="ar"/>
              </w:rPr>
            </w:pPr>
          </w:p>
        </w:tc>
        <w:tc>
          <w:tcPr>
            <w:tcW w:w="1263"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-19.85</w:t>
            </w:r>
          </w:p>
        </w:tc>
        <w:tc>
          <w:tcPr>
            <w:tcW w:w="1807"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-54.42</w:t>
            </w:r>
          </w:p>
        </w:tc>
        <w:tc>
          <w:tcPr>
            <w:tcW w:w="1655"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cs="Times New Roman"/>
                <w:color w:val="000000"/>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55"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58"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471"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环保风机</w:t>
            </w:r>
          </w:p>
        </w:tc>
        <w:tc>
          <w:tcPr>
            <w:tcW w:w="1707" w:type="dxa"/>
            <w:tcBorders>
              <w:tl2br w:val="nil"/>
              <w:tr2bl w:val="nil"/>
            </w:tcBorders>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11KW</w:t>
            </w:r>
          </w:p>
        </w:tc>
        <w:tc>
          <w:tcPr>
            <w:tcW w:w="1602" w:type="dxa"/>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2158" w:type="dxa"/>
            <w:vMerge w:val="continue"/>
            <w:tcBorders>
              <w:tl2br w:val="nil"/>
              <w:tr2bl w:val="nil"/>
            </w:tcBorders>
            <w:noWrap w:val="0"/>
            <w:vAlign w:val="center"/>
          </w:tcPr>
          <w:p>
            <w:pPr>
              <w:jc w:val="center"/>
              <w:rPr>
                <w:rFonts w:hint="default" w:ascii="Times New Roman" w:hAnsi="Times New Roman" w:cs="Times New Roman"/>
                <w:color w:val="000000"/>
                <w:kern w:val="0"/>
                <w:sz w:val="21"/>
                <w:szCs w:val="21"/>
                <w:lang w:bidi="ar"/>
              </w:rPr>
            </w:pPr>
          </w:p>
        </w:tc>
        <w:tc>
          <w:tcPr>
            <w:tcW w:w="1263" w:type="dxa"/>
            <w:tcBorders>
              <w:tl2br w:val="nil"/>
              <w:tr2bl w:val="nil"/>
            </w:tcBorders>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5.93</w:t>
            </w:r>
          </w:p>
        </w:tc>
        <w:tc>
          <w:tcPr>
            <w:tcW w:w="1807" w:type="dxa"/>
            <w:tcBorders>
              <w:tl2br w:val="nil"/>
              <w:tr2bl w:val="nil"/>
            </w:tcBorders>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34.02</w:t>
            </w:r>
          </w:p>
        </w:tc>
        <w:tc>
          <w:tcPr>
            <w:tcW w:w="1655" w:type="dxa"/>
            <w:tcBorders>
              <w:tl2br w:val="nil"/>
              <w:tr2bl w:val="nil"/>
            </w:tcBorders>
            <w:noWrap/>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1655" w:type="dxa"/>
            <w:vMerge w:val="continue"/>
            <w:tcBorders>
              <w:tl2br w:val="nil"/>
              <w:tr2bl w:val="nil"/>
            </w:tcBorders>
            <w:noWrap w:val="0"/>
            <w:vAlign w:val="center"/>
          </w:tcPr>
          <w:p>
            <w:pPr>
              <w:widowControl/>
              <w:jc w:val="center"/>
              <w:textAlignment w:val="center"/>
              <w:rPr>
                <w:rFonts w:hint="default" w:ascii="Times New Roman" w:hAnsi="Times New Roman" w:cs="Times New Roman"/>
                <w:color w:val="000000"/>
                <w:kern w:val="0"/>
                <w:sz w:val="21"/>
                <w:szCs w:val="21"/>
                <w:lang w:bidi="ar"/>
              </w:rPr>
            </w:pPr>
          </w:p>
        </w:tc>
      </w:tr>
    </w:tbl>
    <w:p>
      <w:pPr>
        <w:adjustRightInd w:val="0"/>
        <w:snapToGrid w:val="0"/>
        <w:spacing w:line="360" w:lineRule="auto"/>
        <w:rPr>
          <w:b/>
          <w:ker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2"/>
              <w:spacing w:after="0" w:line="420" w:lineRule="auto"/>
              <w:rPr>
                <w:rFonts w:hint="default" w:ascii="Times New Roman" w:hAnsi="Times New Roman" w:cs="Times New Roman"/>
                <w:color w:val="auto"/>
                <w:sz w:val="24"/>
              </w:rPr>
            </w:pPr>
            <w:r>
              <w:rPr>
                <w:rFonts w:hint="default" w:ascii="Times New Roman" w:hAnsi="Times New Roman" w:cs="Times New Roman"/>
                <w:color w:val="auto"/>
                <w:sz w:val="24"/>
              </w:rPr>
              <w:t>本环评要求采取如下噪声控制措施：</w:t>
            </w:r>
          </w:p>
          <w:p>
            <w:pPr>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①合理布局，设置减震设施，利用车间建筑结构进行隔声，减轻噪声对厂界的影响。</w:t>
            </w:r>
          </w:p>
          <w:p>
            <w:pPr>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②选用低噪声设备：充分选用先进的低噪设备，以从声源上降低设备本身噪声；</w:t>
            </w:r>
          </w:p>
          <w:p>
            <w:pPr>
              <w:spacing w:line="420" w:lineRule="auto"/>
              <w:ind w:firstLine="480" w:firstLineChars="200"/>
              <w:rPr>
                <w:rFonts w:hint="default" w:ascii="Times New Roman" w:hAnsi="Times New Roman" w:eastAsia="宋体" w:cs="Times New Roman"/>
                <w:color w:val="auto"/>
                <w:sz w:val="24"/>
              </w:rPr>
            </w:pPr>
            <w:r>
              <w:rPr>
                <w:rFonts w:hint="default" w:ascii="Times New Roman" w:hAnsi="Times New Roman" w:cs="Times New Roman"/>
                <w:color w:val="auto"/>
                <w:sz w:val="24"/>
              </w:rPr>
              <w:t>③加</w:t>
            </w:r>
            <w:r>
              <w:rPr>
                <w:rFonts w:hint="default" w:ascii="Times New Roman" w:hAnsi="Times New Roman" w:eastAsia="宋体" w:cs="Times New Roman"/>
                <w:color w:val="auto"/>
                <w:sz w:val="24"/>
              </w:rPr>
              <w:t>强设备的维护，确保设备处于良好的运转状态，杜绝因设备不正常运转时产生的高噪声现象；</w:t>
            </w:r>
          </w:p>
          <w:p>
            <w:pPr>
              <w:spacing w:line="42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④废气处理系统风机与排气管道采用软接方式减振，风机基础设置减振措施。</w:t>
            </w:r>
          </w:p>
          <w:p>
            <w:pPr>
              <w:adjustRightInd w:val="0"/>
              <w:snapToGrid w:val="0"/>
              <w:spacing w:line="42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（2）噪声达标分析</w:t>
            </w:r>
          </w:p>
          <w:p>
            <w:pPr>
              <w:adjustRightInd w:val="0"/>
              <w:snapToGrid w:val="0"/>
              <w:spacing w:line="42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本项目周边50m范围内无声环境敏感目标，厂界噪声采用环安科技噪声软件进行预测，预测结果如下：</w:t>
            </w:r>
          </w:p>
          <w:p>
            <w:pPr>
              <w:pStyle w:val="2"/>
              <w:rPr>
                <w:rFonts w:hint="default" w:ascii="Times New Roman" w:hAnsi="Times New Roman" w:cs="Times New Roman"/>
                <w:color w:val="FF0000"/>
              </w:rPr>
            </w:pPr>
            <w:r>
              <w:drawing>
                <wp:inline distT="0" distB="0" distL="114300" distR="114300">
                  <wp:extent cx="5308600" cy="4069080"/>
                  <wp:effectExtent l="0" t="0" r="6350" b="762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
                          <pic:cNvPicPr>
                            <a:picLocks noChangeAspect="1"/>
                          </pic:cNvPicPr>
                        </pic:nvPicPr>
                        <pic:blipFill>
                          <a:blip r:embed="rId17"/>
                          <a:stretch>
                            <a:fillRect/>
                          </a:stretch>
                        </pic:blipFill>
                        <pic:spPr>
                          <a:xfrm>
                            <a:off x="0" y="0"/>
                            <a:ext cx="5308600" cy="4069080"/>
                          </a:xfrm>
                          <a:prstGeom prst="rect">
                            <a:avLst/>
                          </a:prstGeom>
                          <a:noFill/>
                          <a:ln>
                            <a:noFill/>
                          </a:ln>
                        </pic:spPr>
                      </pic:pic>
                    </a:graphicData>
                  </a:graphic>
                </wp:inline>
              </w:drawing>
            </w:r>
          </w:p>
          <w:p>
            <w:pPr>
              <w:adjustRightInd w:val="0"/>
              <w:snapToGrid w:val="0"/>
              <w:spacing w:line="420" w:lineRule="auto"/>
              <w:ind w:firstLine="482" w:firstLineChars="20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图4-1</w:t>
            </w:r>
            <w:r>
              <w:rPr>
                <w:rFonts w:hint="default" w:ascii="Times New Roman" w:hAnsi="Times New Roman" w:eastAsia="宋体" w:cs="Times New Roman"/>
                <w:b/>
                <w:bCs/>
                <w:color w:val="auto"/>
                <w:kern w:val="2"/>
                <w:sz w:val="24"/>
                <w:szCs w:val="24"/>
                <w:lang w:val="en-US" w:eastAsia="zh-CN" w:bidi="ar-SA"/>
              </w:rPr>
              <w:tab/>
            </w:r>
            <w:r>
              <w:rPr>
                <w:rFonts w:hint="default" w:ascii="Times New Roman" w:hAnsi="Times New Roman" w:eastAsia="宋体" w:cs="Times New Roman"/>
                <w:b/>
                <w:bCs/>
                <w:color w:val="auto"/>
                <w:kern w:val="2"/>
                <w:sz w:val="24"/>
                <w:szCs w:val="24"/>
                <w:lang w:val="en-US" w:eastAsia="zh-CN" w:bidi="ar-SA"/>
              </w:rPr>
              <w:t>厂界噪声贡献值预测图</w:t>
            </w:r>
          </w:p>
          <w:p>
            <w:pPr>
              <w:adjustRightInd w:val="0"/>
              <w:snapToGrid w:val="0"/>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根据软件计算结果，本项目运营期厂界噪声预测值如下：</w:t>
            </w:r>
          </w:p>
          <w:p>
            <w:pPr>
              <w:adjustRightInd w:val="0"/>
              <w:snapToGrid w:val="0"/>
              <w:spacing w:line="240" w:lineRule="auto"/>
              <w:ind w:firstLine="482" w:firstLineChars="200"/>
              <w:jc w:val="center"/>
              <w:rPr>
                <w:rFonts w:hint="default" w:ascii="Times New Roman" w:hAnsi="Times New Roman" w:cs="Times New Roman"/>
                <w:color w:val="auto"/>
                <w:sz w:val="24"/>
              </w:rPr>
            </w:pPr>
            <w:r>
              <w:rPr>
                <w:rFonts w:hint="default" w:ascii="Times New Roman" w:hAnsi="Times New Roman" w:cs="Times New Roman"/>
                <w:b/>
                <w:color w:val="auto"/>
                <w:sz w:val="24"/>
              </w:rPr>
              <w:t>表 4-</w:t>
            </w:r>
            <w:r>
              <w:rPr>
                <w:rFonts w:hint="default" w:ascii="Times New Roman" w:hAnsi="Times New Roman" w:cs="Times New Roman"/>
                <w:b/>
                <w:color w:val="auto"/>
                <w:sz w:val="24"/>
                <w:lang w:val="en-US" w:eastAsia="zh-CN"/>
              </w:rPr>
              <w:t>1</w:t>
            </w:r>
            <w:r>
              <w:rPr>
                <w:rFonts w:hint="eastAsia" w:cs="Times New Roman"/>
                <w:b/>
                <w:color w:val="auto"/>
                <w:sz w:val="24"/>
                <w:lang w:val="en-US" w:eastAsia="zh-CN"/>
              </w:rPr>
              <w:t>7</w:t>
            </w:r>
            <w:r>
              <w:rPr>
                <w:rFonts w:hint="default" w:ascii="Times New Roman" w:hAnsi="Times New Roman" w:cs="Times New Roman"/>
                <w:b/>
                <w:color w:val="auto"/>
                <w:sz w:val="24"/>
              </w:rPr>
              <w:tab/>
            </w:r>
            <w:r>
              <w:rPr>
                <w:rFonts w:hint="default" w:ascii="Times New Roman" w:hAnsi="Times New Roman" w:cs="Times New Roman"/>
                <w:b/>
                <w:color w:val="auto"/>
                <w:sz w:val="24"/>
                <w:lang w:val="en-US" w:eastAsia="zh-CN"/>
              </w:rPr>
              <w:t>厂界</w:t>
            </w:r>
            <w:r>
              <w:rPr>
                <w:rFonts w:hint="default" w:ascii="Times New Roman" w:hAnsi="Times New Roman" w:cs="Times New Roman"/>
                <w:b/>
                <w:color w:val="auto"/>
                <w:sz w:val="24"/>
              </w:rPr>
              <w:t>噪声</w:t>
            </w:r>
            <w:r>
              <w:rPr>
                <w:rFonts w:hint="default" w:ascii="Times New Roman" w:hAnsi="Times New Roman" w:cs="Times New Roman"/>
                <w:b/>
                <w:color w:val="auto"/>
                <w:sz w:val="24"/>
                <w:lang w:val="en-US" w:eastAsia="zh-CN"/>
              </w:rPr>
              <w:t>贡献</w:t>
            </w:r>
            <w:r>
              <w:rPr>
                <w:rFonts w:hint="default" w:ascii="Times New Roman" w:hAnsi="Times New Roman" w:cs="Times New Roman"/>
                <w:b/>
                <w:color w:val="auto"/>
                <w:sz w:val="24"/>
              </w:rPr>
              <w:t>值</w:t>
            </w:r>
          </w:p>
          <w:tbl>
            <w:tblPr>
              <w:tblStyle w:val="24"/>
              <w:tblW w:w="847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39"/>
              <w:gridCol w:w="1139"/>
              <w:gridCol w:w="1432"/>
              <w:gridCol w:w="1409"/>
              <w:gridCol w:w="1789"/>
              <w:gridCol w:w="15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时段</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w:t>
                  </w:r>
                </w:p>
              </w:tc>
              <w:tc>
                <w:tcPr>
                  <w:tcW w:w="1432" w:type="dxa"/>
                  <w:tcBorders>
                    <w:tl2br w:val="nil"/>
                    <w:tr2bl w:val="nil"/>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X坐标（m）</w:t>
                  </w:r>
                </w:p>
              </w:tc>
              <w:tc>
                <w:tcPr>
                  <w:tcW w:w="1409" w:type="dxa"/>
                  <w:tcBorders>
                    <w:tl2br w:val="nil"/>
                    <w:tr2bl w:val="nil"/>
                  </w:tcBorders>
                  <w:noWrap w:val="0"/>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Y坐标（m）</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贡献值dB(A)</w:t>
                  </w:r>
                </w:p>
              </w:tc>
              <w:tc>
                <w:tcPr>
                  <w:tcW w:w="15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标准值dB(A)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39"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昼间</w:t>
                  </w:r>
                  <w:r>
                    <w:rPr>
                      <w:rFonts w:hint="eastAsia" w:cs="Times New Roman"/>
                      <w:i w:val="0"/>
                      <w:iCs w:val="0"/>
                      <w:color w:val="auto"/>
                      <w:kern w:val="0"/>
                      <w:sz w:val="21"/>
                      <w:szCs w:val="21"/>
                      <w:u w:val="none"/>
                      <w:lang w:val="en-US" w:eastAsia="zh-CN" w:bidi="ar"/>
                    </w:rPr>
                    <w:t>/夜间</w:t>
                  </w: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rPr>
                    <w:t>北侧厂界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7.35</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46.61</w:t>
                  </w:r>
                </w:p>
              </w:tc>
              <w:tc>
                <w:tcPr>
                  <w:tcW w:w="178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sz w:val="21"/>
                      <w:szCs w:val="21"/>
                    </w:rPr>
                    <w:t>53.</w:t>
                  </w:r>
                  <w:r>
                    <w:rPr>
                      <w:rFonts w:hint="eastAsia"/>
                      <w:sz w:val="21"/>
                      <w:szCs w:val="21"/>
                      <w:lang w:val="en-US" w:eastAsia="zh-CN"/>
                    </w:rPr>
                    <w:t>5</w:t>
                  </w:r>
                </w:p>
              </w:tc>
              <w:tc>
                <w:tcPr>
                  <w:tcW w:w="156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/55</w:t>
                  </w:r>
                  <w:r>
                    <w:rPr>
                      <w:rFonts w:hint="default" w:ascii="Times New Roman" w:hAnsi="Times New Roman" w:eastAsia="宋体" w:cs="Times New Roman"/>
                      <w:i w:val="0"/>
                      <w:iCs w:val="0"/>
                      <w:color w:val="auto"/>
                      <w:kern w:val="0"/>
                      <w:sz w:val="21"/>
                      <w:szCs w:val="21"/>
                      <w:u w:val="none"/>
                      <w:lang w:val="en-US" w:eastAsia="zh-CN" w:bidi="ar"/>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3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rPr>
                    <w:t>西侧厂界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-51.89</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-24.16</w:t>
                  </w:r>
                </w:p>
              </w:tc>
              <w:tc>
                <w:tcPr>
                  <w:tcW w:w="178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sz w:val="21"/>
                      <w:szCs w:val="21"/>
                    </w:rPr>
                    <w:t>49.</w:t>
                  </w:r>
                  <w:r>
                    <w:rPr>
                      <w:rFonts w:hint="eastAsia"/>
                      <w:sz w:val="21"/>
                      <w:szCs w:val="21"/>
                      <w:lang w:val="en-US" w:eastAsia="zh-CN"/>
                    </w:rPr>
                    <w:t>5</w:t>
                  </w:r>
                </w:p>
              </w:tc>
              <w:tc>
                <w:tcPr>
                  <w:tcW w:w="156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113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rPr>
                    <w:t>南侧厂界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0.45</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-61.89</w:t>
                  </w:r>
                </w:p>
              </w:tc>
              <w:tc>
                <w:tcPr>
                  <w:tcW w:w="178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sz w:val="21"/>
                      <w:szCs w:val="21"/>
                    </w:rPr>
                    <w:t>54.</w:t>
                  </w:r>
                  <w:r>
                    <w:rPr>
                      <w:rFonts w:hint="eastAsia"/>
                      <w:sz w:val="21"/>
                      <w:szCs w:val="21"/>
                      <w:lang w:val="en-US" w:eastAsia="zh-CN"/>
                    </w:rPr>
                    <w:t>7</w:t>
                  </w:r>
                </w:p>
              </w:tc>
              <w:tc>
                <w:tcPr>
                  <w:tcW w:w="156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139"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13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rPr>
                    <w:t>东侧厂界</w:t>
                  </w:r>
                </w:p>
              </w:tc>
              <w:tc>
                <w:tcPr>
                  <w:tcW w:w="143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63.73</w:t>
                  </w:r>
                </w:p>
              </w:tc>
              <w:tc>
                <w:tcPr>
                  <w:tcW w:w="14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-20.91</w:t>
                  </w:r>
                </w:p>
              </w:tc>
              <w:tc>
                <w:tcPr>
                  <w:tcW w:w="178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sz w:val="21"/>
                      <w:szCs w:val="21"/>
                    </w:rPr>
                    <w:t>54.8</w:t>
                  </w:r>
                </w:p>
              </w:tc>
              <w:tc>
                <w:tcPr>
                  <w:tcW w:w="1568"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bl>
          <w:p>
            <w:pPr>
              <w:adjustRightInd w:val="0"/>
              <w:snapToGrid w:val="0"/>
              <w:spacing w:line="42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 xml:space="preserve"> </w:t>
            </w:r>
            <w:r>
              <w:rPr>
                <w:rFonts w:hint="default" w:ascii="Times New Roman" w:hAnsi="Times New Roman" w:cs="Times New Roman"/>
                <w:color w:val="auto"/>
                <w:sz w:val="24"/>
              </w:rPr>
              <w:t>根据预测厂界噪声最大贡献值约 5</w:t>
            </w:r>
            <w:r>
              <w:rPr>
                <w:rFonts w:hint="eastAsia" w:cs="Times New Roman"/>
                <w:color w:val="auto"/>
                <w:sz w:val="24"/>
                <w:lang w:val="en-US" w:eastAsia="zh-CN"/>
              </w:rPr>
              <w:t>4.8</w:t>
            </w:r>
            <w:r>
              <w:rPr>
                <w:rFonts w:hint="default" w:ascii="Times New Roman" w:hAnsi="Times New Roman" w:cs="Times New Roman"/>
                <w:color w:val="auto"/>
                <w:sz w:val="24"/>
              </w:rPr>
              <w:t>dB(A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位于厂界北侧，满足《工业企业厂界环境噪声排放标准》（GB12348-2008）3 类标准。本项目建成后对厂界声环境影响不大。</w:t>
            </w:r>
          </w:p>
          <w:p>
            <w:pPr>
              <w:spacing w:line="360" w:lineRule="auto"/>
              <w:ind w:left="420" w:leftChars="200"/>
              <w:rPr>
                <w:b/>
                <w:bCs/>
                <w:sz w:val="24"/>
                <w:szCs w:val="20"/>
              </w:rPr>
            </w:pPr>
            <w:r>
              <w:rPr>
                <w:b/>
                <w:bCs/>
                <w:sz w:val="24"/>
                <w:szCs w:val="20"/>
              </w:rPr>
              <w:t>4、固体废弃物</w:t>
            </w:r>
          </w:p>
          <w:p>
            <w:pPr>
              <w:pStyle w:val="66"/>
              <w:ind w:firstLine="482"/>
              <w:rPr>
                <w:rFonts w:hint="default" w:ascii="Times New Roman" w:hAnsi="Times New Roman" w:cs="Times New Roman"/>
                <w:b/>
                <w:bCs/>
              </w:rPr>
            </w:pPr>
            <w:r>
              <w:rPr>
                <w:rFonts w:hint="default" w:ascii="Times New Roman" w:hAnsi="Times New Roman" w:cs="Times New Roman"/>
                <w:b/>
                <w:bCs/>
              </w:rPr>
              <w:t>（1）产生环节</w:t>
            </w:r>
          </w:p>
          <w:p>
            <w:pPr>
              <w:spacing w:line="420" w:lineRule="auto"/>
              <w:ind w:firstLine="480" w:firstLineChars="200"/>
              <w:rPr>
                <w:sz w:val="24"/>
                <w:szCs w:val="20"/>
              </w:rPr>
            </w:pPr>
            <w:r>
              <w:rPr>
                <w:sz w:val="24"/>
                <w:szCs w:val="20"/>
              </w:rPr>
              <w:t>运营期间本项目产生的固废主要为：生活垃圾</w:t>
            </w:r>
            <w:r>
              <w:rPr>
                <w:rFonts w:hint="eastAsia"/>
                <w:sz w:val="24"/>
                <w:szCs w:val="20"/>
              </w:rPr>
              <w:t>、</w:t>
            </w:r>
            <w:r>
              <w:rPr>
                <w:rFonts w:hint="eastAsia"/>
                <w:sz w:val="24"/>
                <w:szCs w:val="20"/>
                <w:lang w:val="en-US" w:eastAsia="zh-CN"/>
              </w:rPr>
              <w:t>除尘器粉尘、边角料及不良品、</w:t>
            </w:r>
            <w:r>
              <w:rPr>
                <w:sz w:val="24"/>
                <w:szCs w:val="20"/>
              </w:rPr>
              <w:t>废包装材料，废润滑油及废润滑油桶、废含</w:t>
            </w:r>
            <w:r>
              <w:rPr>
                <w:rFonts w:hint="eastAsia"/>
                <w:sz w:val="24"/>
                <w:szCs w:val="20"/>
                <w:lang w:val="en-US" w:eastAsia="zh-CN"/>
              </w:rPr>
              <w:t>油</w:t>
            </w:r>
            <w:r>
              <w:rPr>
                <w:sz w:val="24"/>
                <w:szCs w:val="20"/>
              </w:rPr>
              <w:t>手套及抹布、</w:t>
            </w:r>
            <w:r>
              <w:rPr>
                <w:rFonts w:hint="eastAsia"/>
                <w:sz w:val="24"/>
                <w:szCs w:val="20"/>
                <w:lang w:eastAsia="zh-CN"/>
              </w:rPr>
              <w:t>废过滤棉、</w:t>
            </w:r>
            <w:r>
              <w:rPr>
                <w:sz w:val="24"/>
                <w:szCs w:val="20"/>
              </w:rPr>
              <w:t>废活性炭</w:t>
            </w:r>
            <w:r>
              <w:rPr>
                <w:rFonts w:hint="eastAsia"/>
                <w:sz w:val="24"/>
                <w:szCs w:val="20"/>
                <w:lang w:eastAsia="zh-CN"/>
              </w:rPr>
              <w:t>、污水处理站污泥、废硫酸包装桶</w:t>
            </w:r>
            <w:r>
              <w:rPr>
                <w:sz w:val="24"/>
                <w:szCs w:val="20"/>
              </w:rPr>
              <w:t>。</w:t>
            </w:r>
          </w:p>
          <w:p>
            <w:pPr>
              <w:spacing w:line="420" w:lineRule="auto"/>
              <w:ind w:firstLine="480" w:firstLineChars="200"/>
              <w:rPr>
                <w:sz w:val="24"/>
                <w:szCs w:val="20"/>
              </w:rPr>
            </w:pPr>
            <w:r>
              <w:rPr>
                <w:sz w:val="24"/>
                <w:szCs w:val="20"/>
              </w:rPr>
              <w:t>①生活垃圾</w:t>
            </w:r>
          </w:p>
          <w:p>
            <w:pPr>
              <w:spacing w:line="420" w:lineRule="auto"/>
              <w:ind w:firstLine="480" w:firstLineChars="200"/>
              <w:rPr>
                <w:rFonts w:ascii="Times New Roman" w:hAnsi="Times New Roman" w:eastAsia="宋体" w:cs="Times New Roman"/>
                <w:sz w:val="24"/>
                <w:szCs w:val="20"/>
              </w:rPr>
            </w:pPr>
            <w:r>
              <w:rPr>
                <w:sz w:val="24"/>
                <w:szCs w:val="20"/>
              </w:rPr>
              <w:t>本项目职工定员</w:t>
            </w:r>
            <w:r>
              <w:rPr>
                <w:rFonts w:hint="eastAsia"/>
                <w:sz w:val="24"/>
                <w:szCs w:val="20"/>
                <w:lang w:val="en-US" w:eastAsia="zh-CN"/>
              </w:rPr>
              <w:t>4</w:t>
            </w:r>
            <w:r>
              <w:rPr>
                <w:rFonts w:hint="eastAsia"/>
                <w:sz w:val="24"/>
                <w:szCs w:val="20"/>
              </w:rPr>
              <w:t>0</w:t>
            </w:r>
            <w:r>
              <w:rPr>
                <w:sz w:val="24"/>
                <w:szCs w:val="20"/>
              </w:rPr>
              <w:t>人，办公生活垃圾按 0.4kg/人•d 计算，则每天的生活垃圾产生量约为</w:t>
            </w:r>
            <w:r>
              <w:rPr>
                <w:rFonts w:hint="eastAsia"/>
                <w:sz w:val="24"/>
                <w:szCs w:val="20"/>
                <w:lang w:val="en-US" w:eastAsia="zh-CN"/>
              </w:rPr>
              <w:t>16</w:t>
            </w:r>
            <w:r>
              <w:rPr>
                <w:sz w:val="24"/>
                <w:szCs w:val="20"/>
              </w:rPr>
              <w:t>kg，每年的产生量约</w:t>
            </w:r>
            <w:r>
              <w:rPr>
                <w:rFonts w:hint="eastAsia"/>
                <w:sz w:val="24"/>
                <w:szCs w:val="20"/>
                <w:lang w:val="en-US" w:eastAsia="zh-CN"/>
              </w:rPr>
              <w:t>4.14</w:t>
            </w:r>
            <w:r>
              <w:rPr>
                <w:sz w:val="24"/>
                <w:szCs w:val="20"/>
              </w:rPr>
              <w:t>t。统一收集后定期送至垃圾收集点，由蓬溪</w:t>
            </w:r>
            <w:r>
              <w:rPr>
                <w:rFonts w:ascii="Times New Roman" w:hAnsi="Times New Roman" w:eastAsia="宋体" w:cs="Times New Roman"/>
                <w:sz w:val="24"/>
                <w:szCs w:val="20"/>
              </w:rPr>
              <w:t>县环卫部门统一清运。</w:t>
            </w:r>
          </w:p>
          <w:p>
            <w:pPr>
              <w:spacing w:line="420" w:lineRule="auto"/>
              <w:ind w:firstLine="480" w:firstLineChars="200"/>
              <w:rPr>
                <w:sz w:val="24"/>
                <w:szCs w:val="20"/>
              </w:rPr>
            </w:pPr>
            <w:r>
              <w:rPr>
                <w:sz w:val="24"/>
                <w:szCs w:val="20"/>
              </w:rPr>
              <w:t>②</w:t>
            </w:r>
            <w:r>
              <w:rPr>
                <w:rFonts w:hint="eastAsia"/>
                <w:sz w:val="24"/>
                <w:szCs w:val="20"/>
                <w:lang w:val="en-US" w:eastAsia="zh-CN"/>
              </w:rPr>
              <w:t>除尘器粉尘</w:t>
            </w:r>
          </w:p>
          <w:p>
            <w:pPr>
              <w:spacing w:line="420" w:lineRule="auto"/>
              <w:ind w:firstLine="480" w:firstLineChars="200"/>
              <w:rPr>
                <w:sz w:val="24"/>
                <w:szCs w:val="20"/>
              </w:rPr>
            </w:pPr>
            <w:r>
              <w:rPr>
                <w:sz w:val="24"/>
                <w:szCs w:val="20"/>
              </w:rPr>
              <w:t>本项目</w:t>
            </w:r>
            <w:r>
              <w:rPr>
                <w:rFonts w:hint="eastAsia"/>
                <w:sz w:val="24"/>
                <w:szCs w:val="20"/>
                <w:lang w:eastAsia="zh-CN"/>
              </w:rPr>
              <w:t>塑料筐</w:t>
            </w:r>
            <w:r>
              <w:rPr>
                <w:rFonts w:hint="eastAsia"/>
                <w:sz w:val="24"/>
                <w:szCs w:val="20"/>
                <w:lang w:val="en-US" w:eastAsia="zh-CN"/>
              </w:rPr>
              <w:t>拌料工序设置布袋除尘器一套，根据前文核算，布袋除尘器粉尘收集量约16.63t/a，该粉尘作为原料回用于产品</w:t>
            </w:r>
            <w:r>
              <w:rPr>
                <w:sz w:val="24"/>
                <w:szCs w:val="20"/>
              </w:rPr>
              <w:t>。</w:t>
            </w:r>
          </w:p>
          <w:p>
            <w:pPr>
              <w:spacing w:line="420" w:lineRule="auto"/>
              <w:ind w:firstLine="480" w:firstLineChars="200"/>
              <w:rPr>
                <w:rFonts w:hint="eastAsia"/>
                <w:sz w:val="24"/>
                <w:szCs w:val="20"/>
                <w:lang w:val="en-US" w:eastAsia="zh-CN"/>
              </w:rPr>
            </w:pPr>
            <w:r>
              <w:rPr>
                <w:sz w:val="24"/>
                <w:szCs w:val="20"/>
              </w:rPr>
              <w:t>③</w:t>
            </w:r>
            <w:r>
              <w:rPr>
                <w:rFonts w:hint="eastAsia"/>
                <w:sz w:val="24"/>
                <w:szCs w:val="20"/>
                <w:lang w:val="en-US" w:eastAsia="zh-CN"/>
              </w:rPr>
              <w:t>边角料及不良品</w:t>
            </w:r>
          </w:p>
          <w:p>
            <w:pPr>
              <w:spacing w:line="420" w:lineRule="auto"/>
              <w:ind w:firstLine="480" w:firstLineChars="200"/>
              <w:rPr>
                <w:rFonts w:hint="default"/>
                <w:sz w:val="24"/>
                <w:szCs w:val="20"/>
                <w:lang w:val="en-US" w:eastAsia="zh-CN"/>
              </w:rPr>
            </w:pPr>
            <w:r>
              <w:rPr>
                <w:rFonts w:hint="eastAsia"/>
                <w:sz w:val="24"/>
                <w:szCs w:val="20"/>
                <w:lang w:val="en-US" w:eastAsia="zh-CN"/>
              </w:rPr>
              <w:t>根据建设单位提供的数据，项目塑料筐生产边角料及不良品产量约为产品产量的1%，因此边角料及不良品产量约50t/a。边角料及不良品破碎后作为原料回用。</w:t>
            </w:r>
          </w:p>
          <w:p>
            <w:pPr>
              <w:spacing w:line="420" w:lineRule="auto"/>
              <w:ind w:firstLine="480" w:firstLineChars="200"/>
              <w:rPr>
                <w:rFonts w:hint="eastAsia" w:ascii="Times New Roman" w:hAnsi="Times New Roman" w:eastAsia="宋体" w:cs="Times New Roman"/>
                <w:sz w:val="24"/>
                <w:szCs w:val="20"/>
                <w:lang w:eastAsia="zh-CN"/>
              </w:rPr>
            </w:pPr>
            <w:r>
              <w:rPr>
                <w:rFonts w:hint="eastAsia" w:ascii="Times New Roman" w:hAnsi="Times New Roman" w:eastAsia="宋体" w:cs="Times New Roman"/>
                <w:sz w:val="24"/>
                <w:szCs w:val="20"/>
              </w:rPr>
              <w:t>④</w:t>
            </w:r>
            <w:r>
              <w:rPr>
                <w:rFonts w:hint="eastAsia" w:ascii="Times New Roman" w:hAnsi="Times New Roman" w:eastAsia="宋体" w:cs="Times New Roman"/>
                <w:sz w:val="24"/>
                <w:szCs w:val="20"/>
                <w:lang w:eastAsia="zh-CN"/>
              </w:rPr>
              <w:t>废包装材料</w:t>
            </w:r>
          </w:p>
          <w:p>
            <w:pPr>
              <w:spacing w:line="420" w:lineRule="auto"/>
              <w:ind w:firstLine="480" w:firstLineChars="200"/>
              <w:rPr>
                <w:rFonts w:hint="eastAsia" w:ascii="Times New Roman" w:hAnsi="Times New Roman" w:eastAsia="宋体" w:cs="Times New Roman"/>
                <w:sz w:val="24"/>
                <w:szCs w:val="20"/>
                <w:lang w:eastAsia="zh-CN"/>
              </w:rPr>
            </w:pPr>
            <w:r>
              <w:rPr>
                <w:rFonts w:hint="eastAsia" w:ascii="Times New Roman" w:hAnsi="Times New Roman" w:eastAsia="宋体" w:cs="Times New Roman"/>
                <w:sz w:val="24"/>
                <w:szCs w:val="20"/>
                <w:lang w:eastAsia="zh-CN"/>
              </w:rPr>
              <w:t>根据建设单位提供的数据，废包装材料产生量约0.2t/a。废包装材料统一收集后出售给资源回收部门。</w:t>
            </w:r>
          </w:p>
          <w:p>
            <w:pPr>
              <w:pStyle w:val="40"/>
              <w:rPr>
                <w:rFonts w:ascii="Times New Roman" w:hAnsi="Times New Roman" w:cs="Times New Roman"/>
                <w:color w:val="auto"/>
                <w:szCs w:val="20"/>
              </w:rPr>
            </w:pPr>
            <w:r>
              <w:rPr>
                <w:rFonts w:hint="eastAsia" w:ascii="Times New Roman" w:hAnsi="Times New Roman" w:cs="Times New Roman"/>
                <w:color w:val="auto"/>
                <w:szCs w:val="20"/>
              </w:rPr>
              <w:t>⑤</w:t>
            </w:r>
            <w:r>
              <w:rPr>
                <w:rFonts w:hint="eastAsia" w:ascii="Times New Roman" w:hAnsi="Times New Roman" w:cs="Times New Roman"/>
                <w:color w:val="auto"/>
                <w:szCs w:val="20"/>
                <w:lang w:val="en-US" w:eastAsia="zh-CN"/>
              </w:rPr>
              <w:t xml:space="preserve"> </w:t>
            </w:r>
            <w:r>
              <w:rPr>
                <w:rFonts w:ascii="Times New Roman" w:hAnsi="Times New Roman" w:cs="Times New Roman"/>
                <w:color w:val="auto"/>
                <w:szCs w:val="20"/>
              </w:rPr>
              <w:t>废润滑油及废润滑油桶、废含油手套及抹布</w:t>
            </w:r>
          </w:p>
          <w:p>
            <w:pPr>
              <w:spacing w:line="420" w:lineRule="auto"/>
              <w:ind w:firstLine="480" w:firstLineChars="200"/>
              <w:rPr>
                <w:sz w:val="24"/>
                <w:szCs w:val="20"/>
              </w:rPr>
            </w:pPr>
            <w:r>
              <w:rPr>
                <w:sz w:val="24"/>
                <w:szCs w:val="20"/>
              </w:rPr>
              <w:t>本项目机械设备存在润滑结构，废油产生量约0.</w:t>
            </w:r>
            <w:r>
              <w:rPr>
                <w:rFonts w:hint="eastAsia"/>
                <w:sz w:val="24"/>
                <w:szCs w:val="20"/>
                <w:lang w:val="en-US" w:eastAsia="zh-CN"/>
              </w:rPr>
              <w:t>1</w:t>
            </w:r>
            <w:r>
              <w:rPr>
                <w:sz w:val="24"/>
                <w:szCs w:val="20"/>
              </w:rPr>
              <w:t>t，废润滑油属于HW08类危险废物</w:t>
            </w:r>
            <w:r>
              <w:rPr>
                <w:rFonts w:hint="eastAsia"/>
                <w:sz w:val="24"/>
                <w:szCs w:val="20"/>
                <w:lang w:eastAsia="zh-CN"/>
              </w:rPr>
              <w:t>（</w:t>
            </w:r>
            <w:r>
              <w:rPr>
                <w:sz w:val="24"/>
                <w:szCs w:val="20"/>
              </w:rPr>
              <w:t>HW08 900-217-08)，应按照危废交由相应的资质单位处置，存储润滑油的废弃油桶属于HW08类危险废物，废弃油桶</w:t>
            </w:r>
            <w:r>
              <w:rPr>
                <w:rFonts w:hint="eastAsia"/>
                <w:sz w:val="24"/>
                <w:szCs w:val="20"/>
              </w:rPr>
              <w:t>（</w:t>
            </w:r>
            <w:r>
              <w:rPr>
                <w:sz w:val="24"/>
                <w:szCs w:val="20"/>
              </w:rPr>
              <w:t>HW08 900-2</w:t>
            </w:r>
            <w:r>
              <w:rPr>
                <w:rFonts w:hint="eastAsia"/>
                <w:sz w:val="24"/>
                <w:szCs w:val="20"/>
                <w:lang w:val="en-US" w:eastAsia="zh-CN"/>
              </w:rPr>
              <w:t>49</w:t>
            </w:r>
            <w:r>
              <w:rPr>
                <w:sz w:val="24"/>
                <w:szCs w:val="20"/>
              </w:rPr>
              <w:t>-08</w:t>
            </w:r>
            <w:r>
              <w:rPr>
                <w:rFonts w:hint="eastAsia"/>
                <w:sz w:val="24"/>
                <w:szCs w:val="20"/>
              </w:rPr>
              <w:t>）</w:t>
            </w:r>
            <w:r>
              <w:rPr>
                <w:sz w:val="24"/>
                <w:szCs w:val="20"/>
              </w:rPr>
              <w:t>约0.0</w:t>
            </w:r>
            <w:r>
              <w:rPr>
                <w:rFonts w:hint="eastAsia"/>
                <w:sz w:val="24"/>
                <w:szCs w:val="20"/>
                <w:lang w:val="en-US" w:eastAsia="zh-CN"/>
              </w:rPr>
              <w:t>5</w:t>
            </w:r>
            <w:r>
              <w:rPr>
                <w:sz w:val="24"/>
                <w:szCs w:val="20"/>
              </w:rPr>
              <w:t>t/a，维护机械设备产生的废含油手套</w:t>
            </w:r>
            <w:r>
              <w:rPr>
                <w:rFonts w:hint="eastAsia"/>
                <w:sz w:val="24"/>
                <w:szCs w:val="20"/>
              </w:rPr>
              <w:t>（</w:t>
            </w:r>
            <w:r>
              <w:rPr>
                <w:sz w:val="24"/>
                <w:szCs w:val="20"/>
              </w:rPr>
              <w:t>HW49 900-041-49</w:t>
            </w:r>
            <w:r>
              <w:rPr>
                <w:rFonts w:hint="eastAsia"/>
                <w:sz w:val="24"/>
                <w:szCs w:val="20"/>
              </w:rPr>
              <w:t>）</w:t>
            </w:r>
            <w:r>
              <w:rPr>
                <w:sz w:val="24"/>
                <w:szCs w:val="20"/>
              </w:rPr>
              <w:t>约0.01t/a收集后交由相应的资质单位处置。</w:t>
            </w:r>
          </w:p>
          <w:p>
            <w:pPr>
              <w:spacing w:line="420" w:lineRule="auto"/>
              <w:ind w:firstLine="480" w:firstLineChars="200"/>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⑥废过滤棉</w:t>
            </w:r>
          </w:p>
          <w:p>
            <w:pPr>
              <w:spacing w:line="420" w:lineRule="auto"/>
              <w:ind w:firstLine="480" w:firstLineChars="200"/>
              <w:rPr>
                <w:sz w:val="24"/>
                <w:szCs w:val="20"/>
              </w:rPr>
            </w:pPr>
            <w:r>
              <w:rPr>
                <w:rFonts w:hint="eastAsia"/>
                <w:sz w:val="24"/>
                <w:szCs w:val="20"/>
                <w:lang w:eastAsia="zh-CN"/>
              </w:rPr>
              <w:t>本项目</w:t>
            </w:r>
            <w:r>
              <w:rPr>
                <w:rFonts w:hint="eastAsia"/>
                <w:sz w:val="24"/>
                <w:szCs w:val="20"/>
                <w:lang w:val="en-US" w:eastAsia="zh-CN"/>
              </w:rPr>
              <w:t>挤出压片废气含有一定的颗粒物，项目采用过滤棉过滤</w:t>
            </w:r>
            <w:r>
              <w:rPr>
                <w:rFonts w:hint="eastAsia"/>
                <w:sz w:val="24"/>
                <w:szCs w:val="20"/>
                <w:lang w:eastAsia="zh-CN"/>
              </w:rPr>
              <w:t>，</w:t>
            </w:r>
            <w:r>
              <w:rPr>
                <w:rFonts w:hint="eastAsia"/>
                <w:sz w:val="24"/>
                <w:szCs w:val="20"/>
                <w:lang w:val="en-US" w:eastAsia="zh-CN"/>
              </w:rPr>
              <w:t>根据估算废过滤棉产生量约0.01t/a。</w:t>
            </w:r>
            <w:r>
              <w:rPr>
                <w:rFonts w:hint="eastAsia"/>
                <w:sz w:val="24"/>
                <w:szCs w:val="20"/>
                <w:lang w:eastAsia="zh-CN"/>
              </w:rPr>
              <w:t>废过滤棉</w:t>
            </w:r>
            <w:r>
              <w:rPr>
                <w:rFonts w:hint="eastAsia"/>
                <w:sz w:val="24"/>
              </w:rPr>
              <w:t>（</w:t>
            </w:r>
            <w:r>
              <w:rPr>
                <w:kern w:val="0"/>
                <w:sz w:val="24"/>
                <w:lang w:bidi="ar"/>
              </w:rPr>
              <w:t>HW49 900-0</w:t>
            </w:r>
            <w:r>
              <w:rPr>
                <w:rFonts w:hint="eastAsia"/>
                <w:kern w:val="0"/>
                <w:sz w:val="24"/>
                <w:lang w:bidi="ar"/>
              </w:rPr>
              <w:t>41</w:t>
            </w:r>
            <w:r>
              <w:rPr>
                <w:kern w:val="0"/>
                <w:sz w:val="24"/>
                <w:lang w:bidi="ar"/>
              </w:rPr>
              <w:t>-49</w:t>
            </w:r>
            <w:r>
              <w:rPr>
                <w:rFonts w:hint="eastAsia"/>
                <w:sz w:val="24"/>
              </w:rPr>
              <w:t>）</w:t>
            </w:r>
            <w:r>
              <w:rPr>
                <w:sz w:val="24"/>
                <w:szCs w:val="20"/>
              </w:rPr>
              <w:t>统一收集后出售</w:t>
            </w:r>
            <w:r>
              <w:rPr>
                <w:rFonts w:hint="eastAsia"/>
                <w:sz w:val="24"/>
                <w:szCs w:val="20"/>
              </w:rPr>
              <w:t>交由资质单位处置</w:t>
            </w:r>
            <w:r>
              <w:rPr>
                <w:sz w:val="24"/>
                <w:szCs w:val="20"/>
              </w:rPr>
              <w:t>。</w:t>
            </w:r>
          </w:p>
          <w:p>
            <w:pPr>
              <w:spacing w:line="420" w:lineRule="auto"/>
              <w:ind w:firstLine="480" w:firstLineChars="200"/>
              <w:rPr>
                <w:sz w:val="24"/>
                <w:szCs w:val="20"/>
              </w:rPr>
            </w:pPr>
            <w:r>
              <w:rPr>
                <w:rFonts w:hint="eastAsia"/>
                <w:sz w:val="24"/>
                <w:szCs w:val="20"/>
                <w:lang w:val="en-US" w:eastAsia="zh-CN"/>
              </w:rPr>
              <w:t>⑦</w:t>
            </w:r>
            <w:r>
              <w:rPr>
                <w:sz w:val="24"/>
                <w:szCs w:val="20"/>
              </w:rPr>
              <w:t>废活性炭</w:t>
            </w:r>
          </w:p>
          <w:p>
            <w:pPr>
              <w:spacing w:line="420" w:lineRule="auto"/>
              <w:ind w:firstLine="480" w:firstLineChars="200"/>
              <w:rPr>
                <w:rFonts w:hint="eastAsia"/>
                <w:color w:val="auto"/>
                <w:sz w:val="24"/>
                <w:szCs w:val="20"/>
              </w:rPr>
            </w:pPr>
            <w:r>
              <w:rPr>
                <w:color w:val="auto"/>
                <w:sz w:val="24"/>
                <w:szCs w:val="20"/>
              </w:rPr>
              <w:t>本项目</w:t>
            </w:r>
            <w:r>
              <w:rPr>
                <w:rFonts w:hint="eastAsia"/>
                <w:color w:val="auto"/>
                <w:sz w:val="24"/>
                <w:szCs w:val="20"/>
                <w:lang w:val="en-US" w:eastAsia="zh-CN"/>
              </w:rPr>
              <w:t>挤出压片</w:t>
            </w:r>
            <w:r>
              <w:rPr>
                <w:color w:val="auto"/>
                <w:sz w:val="24"/>
                <w:szCs w:val="20"/>
              </w:rPr>
              <w:t>有机废气采用活性炭处理，根据前文计算，VOC</w:t>
            </w:r>
            <w:r>
              <w:rPr>
                <w:rFonts w:hint="eastAsia"/>
                <w:color w:val="auto"/>
                <w:sz w:val="24"/>
                <w:szCs w:val="20"/>
                <w:lang w:val="en-US" w:eastAsia="zh-CN"/>
              </w:rPr>
              <w:t>s收集处理量约为1.63t</w:t>
            </w:r>
            <w:r>
              <w:rPr>
                <w:color w:val="auto"/>
                <w:sz w:val="24"/>
                <w:szCs w:val="20"/>
              </w:rPr>
              <w:t>，</w:t>
            </w:r>
            <w:r>
              <w:rPr>
                <w:rFonts w:hint="eastAsia"/>
                <w:color w:val="auto"/>
                <w:sz w:val="24"/>
                <w:szCs w:val="20"/>
              </w:rPr>
              <w:t>活性炭</w:t>
            </w:r>
            <w:r>
              <w:rPr>
                <w:color w:val="auto"/>
                <w:sz w:val="24"/>
                <w:szCs w:val="20"/>
              </w:rPr>
              <w:t>吸附效率为1</w:t>
            </w:r>
            <w:r>
              <w:rPr>
                <w:rFonts w:hint="eastAsia"/>
                <w:color w:val="auto"/>
                <w:sz w:val="24"/>
                <w:szCs w:val="20"/>
                <w:lang w:eastAsia="zh-CN"/>
              </w:rPr>
              <w:t>：</w:t>
            </w:r>
            <w:r>
              <w:rPr>
                <w:color w:val="auto"/>
                <w:sz w:val="24"/>
                <w:szCs w:val="20"/>
              </w:rPr>
              <w:t>4，故废活性炭产生量为</w:t>
            </w:r>
            <w:r>
              <w:rPr>
                <w:rFonts w:hint="eastAsia"/>
                <w:color w:val="auto"/>
                <w:sz w:val="24"/>
                <w:szCs w:val="20"/>
                <w:lang w:val="en-US" w:eastAsia="zh-CN"/>
              </w:rPr>
              <w:t>8.14</w:t>
            </w:r>
            <w:r>
              <w:rPr>
                <w:color w:val="auto"/>
                <w:sz w:val="24"/>
                <w:szCs w:val="20"/>
              </w:rPr>
              <w:t>t/a。废活性炭</w:t>
            </w:r>
            <w:r>
              <w:rPr>
                <w:rFonts w:hint="eastAsia"/>
                <w:color w:val="auto"/>
                <w:sz w:val="24"/>
              </w:rPr>
              <w:t>（</w:t>
            </w:r>
            <w:r>
              <w:rPr>
                <w:color w:val="auto"/>
                <w:kern w:val="0"/>
                <w:sz w:val="24"/>
                <w:lang w:bidi="ar"/>
              </w:rPr>
              <w:t>HW49 900-039-49</w:t>
            </w:r>
            <w:r>
              <w:rPr>
                <w:rFonts w:hint="eastAsia"/>
                <w:color w:val="auto"/>
                <w:sz w:val="24"/>
              </w:rPr>
              <w:t>）</w:t>
            </w:r>
            <w:r>
              <w:rPr>
                <w:color w:val="auto"/>
                <w:sz w:val="24"/>
                <w:szCs w:val="20"/>
              </w:rPr>
              <w:t>统一收集交由资质单位处置。</w:t>
            </w:r>
            <w:r>
              <w:rPr>
                <w:rFonts w:hint="eastAsia"/>
                <w:color w:val="auto"/>
                <w:sz w:val="24"/>
                <w:szCs w:val="20"/>
              </w:rPr>
              <w:t>环评建议建设单位采用活性炭</w:t>
            </w:r>
            <w:r>
              <w:rPr>
                <w:rFonts w:hint="eastAsia"/>
                <w:color w:val="auto"/>
                <w:sz w:val="24"/>
                <w:szCs w:val="20"/>
                <w:lang w:val="en-US" w:eastAsia="zh-CN"/>
              </w:rPr>
              <w:t>吸附碘值不低于800mg</w:t>
            </w:r>
            <w:r>
              <w:rPr>
                <w:rFonts w:hint="eastAsia"/>
                <w:color w:val="auto"/>
                <w:sz w:val="24"/>
                <w:szCs w:val="20"/>
              </w:rPr>
              <w:t>，</w:t>
            </w:r>
            <w:r>
              <w:rPr>
                <w:rFonts w:hint="eastAsia"/>
                <w:color w:val="auto"/>
                <w:sz w:val="24"/>
                <w:szCs w:val="20"/>
                <w:lang w:eastAsia="zh-CN"/>
              </w:rPr>
              <w:t>塑料筐生产工序</w:t>
            </w:r>
            <w:r>
              <w:rPr>
                <w:rFonts w:hint="eastAsia"/>
                <w:color w:val="auto"/>
                <w:sz w:val="24"/>
                <w:szCs w:val="20"/>
              </w:rPr>
              <w:t>活性炭吸附床单次活性炭填充量</w:t>
            </w:r>
            <w:r>
              <w:rPr>
                <w:rFonts w:hint="eastAsia"/>
                <w:color w:val="auto"/>
                <w:sz w:val="24"/>
                <w:szCs w:val="20"/>
                <w:lang w:val="en-US" w:eastAsia="zh-CN"/>
              </w:rPr>
              <w:t>450</w:t>
            </w:r>
            <w:r>
              <w:rPr>
                <w:rFonts w:hint="eastAsia"/>
                <w:color w:val="auto"/>
                <w:sz w:val="24"/>
                <w:szCs w:val="20"/>
              </w:rPr>
              <w:t>kg，</w:t>
            </w:r>
            <w:r>
              <w:rPr>
                <w:rFonts w:hint="eastAsia"/>
                <w:color w:val="auto"/>
                <w:sz w:val="24"/>
                <w:szCs w:val="20"/>
                <w:lang w:eastAsia="zh-CN"/>
              </w:rPr>
              <w:t>根据吸附处理效率计算，应每</w:t>
            </w:r>
            <w:r>
              <w:rPr>
                <w:rFonts w:hint="eastAsia"/>
                <w:color w:val="auto"/>
                <w:sz w:val="24"/>
                <w:szCs w:val="20"/>
                <w:lang w:val="en-US" w:eastAsia="zh-CN"/>
              </w:rPr>
              <w:t>生产600h全部</w:t>
            </w:r>
            <w:r>
              <w:rPr>
                <w:rFonts w:hint="eastAsia"/>
                <w:color w:val="auto"/>
                <w:sz w:val="24"/>
                <w:szCs w:val="20"/>
              </w:rPr>
              <w:t>更换一次</w:t>
            </w:r>
            <w:r>
              <w:rPr>
                <w:rFonts w:hint="eastAsia"/>
                <w:color w:val="auto"/>
                <w:sz w:val="24"/>
                <w:szCs w:val="20"/>
                <w:lang w:eastAsia="zh-CN"/>
              </w:rPr>
              <w:t>活性炭</w:t>
            </w:r>
            <w:r>
              <w:rPr>
                <w:rFonts w:hint="eastAsia"/>
                <w:color w:val="auto"/>
                <w:sz w:val="24"/>
                <w:szCs w:val="20"/>
              </w:rPr>
              <w:t>。</w:t>
            </w:r>
            <w:r>
              <w:rPr>
                <w:rFonts w:hint="eastAsia"/>
                <w:color w:val="auto"/>
                <w:sz w:val="24"/>
                <w:szCs w:val="20"/>
                <w:lang w:eastAsia="zh-CN"/>
              </w:rPr>
              <w:t>塑料造粒生产线工序</w:t>
            </w:r>
            <w:r>
              <w:rPr>
                <w:rFonts w:hint="eastAsia"/>
                <w:color w:val="auto"/>
                <w:sz w:val="24"/>
                <w:szCs w:val="20"/>
              </w:rPr>
              <w:t>活性炭吸附床单次活性炭填充量</w:t>
            </w:r>
            <w:r>
              <w:rPr>
                <w:rFonts w:hint="eastAsia"/>
                <w:color w:val="auto"/>
                <w:sz w:val="24"/>
                <w:szCs w:val="20"/>
                <w:lang w:val="en-US" w:eastAsia="zh-CN"/>
              </w:rPr>
              <w:t>300</w:t>
            </w:r>
            <w:r>
              <w:rPr>
                <w:rFonts w:hint="eastAsia"/>
                <w:color w:val="auto"/>
                <w:sz w:val="24"/>
                <w:szCs w:val="20"/>
              </w:rPr>
              <w:t>kg，</w:t>
            </w:r>
            <w:r>
              <w:rPr>
                <w:rFonts w:hint="eastAsia"/>
                <w:color w:val="auto"/>
                <w:sz w:val="24"/>
                <w:szCs w:val="20"/>
                <w:lang w:eastAsia="zh-CN"/>
              </w:rPr>
              <w:t>根据吸附处理效率计算，应每</w:t>
            </w:r>
            <w:r>
              <w:rPr>
                <w:rFonts w:hint="eastAsia"/>
                <w:color w:val="auto"/>
                <w:sz w:val="24"/>
                <w:szCs w:val="20"/>
                <w:lang w:val="en-US" w:eastAsia="zh-CN"/>
              </w:rPr>
              <w:t>生产498h全部</w:t>
            </w:r>
            <w:r>
              <w:rPr>
                <w:rFonts w:hint="eastAsia"/>
                <w:color w:val="auto"/>
                <w:sz w:val="24"/>
                <w:szCs w:val="20"/>
              </w:rPr>
              <w:t>更换一次</w:t>
            </w:r>
            <w:r>
              <w:rPr>
                <w:rFonts w:hint="eastAsia"/>
                <w:color w:val="auto"/>
                <w:sz w:val="24"/>
                <w:szCs w:val="20"/>
                <w:lang w:eastAsia="zh-CN"/>
              </w:rPr>
              <w:t>活性炭</w:t>
            </w:r>
            <w:r>
              <w:rPr>
                <w:rFonts w:hint="eastAsia"/>
                <w:color w:val="auto"/>
                <w:sz w:val="24"/>
                <w:szCs w:val="20"/>
              </w:rPr>
              <w:t>。</w:t>
            </w:r>
          </w:p>
          <w:p>
            <w:pPr>
              <w:spacing w:line="420" w:lineRule="auto"/>
              <w:ind w:firstLine="480" w:firstLineChars="200"/>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⑧废硫酸包装桶</w:t>
            </w:r>
          </w:p>
          <w:p>
            <w:pPr>
              <w:spacing w:line="420" w:lineRule="auto"/>
              <w:ind w:firstLine="480" w:firstLineChars="200"/>
              <w:rPr>
                <w:sz w:val="24"/>
                <w:szCs w:val="20"/>
              </w:rPr>
            </w:pPr>
            <w:r>
              <w:rPr>
                <w:rFonts w:hint="eastAsia"/>
                <w:sz w:val="24"/>
                <w:szCs w:val="20"/>
                <w:lang w:val="en-US" w:eastAsia="zh-CN"/>
              </w:rPr>
              <w:t>根据建设单位提供的数据估算，</w:t>
            </w:r>
            <w:r>
              <w:rPr>
                <w:rFonts w:hint="eastAsia"/>
                <w:sz w:val="24"/>
                <w:szCs w:val="20"/>
                <w:lang w:eastAsia="zh-CN"/>
              </w:rPr>
              <w:t>废硫酸包装桶</w:t>
            </w:r>
            <w:r>
              <w:rPr>
                <w:rFonts w:hint="eastAsia"/>
                <w:sz w:val="24"/>
                <w:szCs w:val="20"/>
                <w:lang w:val="en-US" w:eastAsia="zh-CN"/>
              </w:rPr>
              <w:t>产生量约0.1t/a。</w:t>
            </w:r>
            <w:r>
              <w:rPr>
                <w:rFonts w:hint="eastAsia"/>
                <w:sz w:val="24"/>
                <w:szCs w:val="20"/>
                <w:lang w:eastAsia="zh-CN"/>
              </w:rPr>
              <w:t>废硫酸包装桶</w:t>
            </w:r>
            <w:r>
              <w:rPr>
                <w:rFonts w:hint="eastAsia"/>
                <w:sz w:val="24"/>
              </w:rPr>
              <w:t>（</w:t>
            </w:r>
            <w:r>
              <w:rPr>
                <w:kern w:val="0"/>
                <w:sz w:val="24"/>
                <w:lang w:bidi="ar"/>
              </w:rPr>
              <w:t>HW49 900-0</w:t>
            </w:r>
            <w:r>
              <w:rPr>
                <w:rFonts w:hint="eastAsia"/>
                <w:kern w:val="0"/>
                <w:sz w:val="24"/>
                <w:lang w:bidi="ar"/>
              </w:rPr>
              <w:t>41</w:t>
            </w:r>
            <w:r>
              <w:rPr>
                <w:kern w:val="0"/>
                <w:sz w:val="24"/>
                <w:lang w:bidi="ar"/>
              </w:rPr>
              <w:t>-49</w:t>
            </w:r>
            <w:r>
              <w:rPr>
                <w:rFonts w:hint="eastAsia"/>
                <w:sz w:val="24"/>
              </w:rPr>
              <w:t>）</w:t>
            </w:r>
            <w:r>
              <w:rPr>
                <w:sz w:val="24"/>
                <w:szCs w:val="20"/>
              </w:rPr>
              <w:t>统一收集后出售</w:t>
            </w:r>
            <w:r>
              <w:rPr>
                <w:rFonts w:hint="eastAsia"/>
                <w:sz w:val="24"/>
                <w:szCs w:val="20"/>
              </w:rPr>
              <w:t>交由资质单位处置</w:t>
            </w:r>
            <w:r>
              <w:rPr>
                <w:sz w:val="24"/>
                <w:szCs w:val="20"/>
              </w:rPr>
              <w:t>。</w:t>
            </w:r>
          </w:p>
          <w:p>
            <w:pPr>
              <w:spacing w:line="420" w:lineRule="auto"/>
              <w:ind w:firstLine="480" w:firstLineChars="200"/>
              <w:rPr>
                <w:rFonts w:hint="eastAsia" w:ascii="Times New Roman" w:hAnsi="Times New Roman" w:eastAsia="宋体" w:cs="Times New Roman"/>
                <w:sz w:val="24"/>
                <w:szCs w:val="20"/>
                <w:lang w:val="en-US" w:eastAsia="zh-CN"/>
              </w:rPr>
            </w:pPr>
            <w:r>
              <w:rPr>
                <w:rFonts w:hint="eastAsia" w:ascii="Times New Roman" w:hAnsi="Times New Roman" w:eastAsia="宋体" w:cs="Times New Roman"/>
                <w:sz w:val="24"/>
                <w:szCs w:val="20"/>
                <w:lang w:val="en-US" w:eastAsia="zh-CN"/>
              </w:rPr>
              <w:t>⑨污水处理站污泥</w:t>
            </w:r>
          </w:p>
          <w:p>
            <w:pPr>
              <w:spacing w:line="420" w:lineRule="auto"/>
              <w:ind w:firstLine="480" w:firstLineChars="200"/>
              <w:rPr>
                <w:rFonts w:hint="default" w:ascii="Times New Roman" w:hAnsi="Times New Roman" w:eastAsia="宋体" w:cs="Times New Roman"/>
                <w:color w:val="auto"/>
                <w:sz w:val="24"/>
                <w:szCs w:val="20"/>
                <w:lang w:eastAsia="zh-CN"/>
              </w:rPr>
            </w:pPr>
            <w:r>
              <w:rPr>
                <w:rFonts w:ascii="Times New Roman" w:hAnsi="Times New Roman" w:eastAsia="宋体" w:cs="Times New Roman"/>
                <w:color w:val="auto"/>
                <w:sz w:val="24"/>
                <w:szCs w:val="20"/>
              </w:rPr>
              <w:t>本项目</w:t>
            </w:r>
            <w:r>
              <w:rPr>
                <w:rFonts w:hint="eastAsia" w:ascii="Times New Roman" w:hAnsi="Times New Roman" w:eastAsia="宋体" w:cs="Times New Roman"/>
                <w:color w:val="auto"/>
                <w:sz w:val="24"/>
                <w:szCs w:val="20"/>
                <w:lang w:eastAsia="zh-CN"/>
              </w:rPr>
              <w:t>污水处理设施采用絮凝沉淀的工艺进行处理，根据建设单位提供的数据污泥产生量约为原料处理量的</w:t>
            </w:r>
            <w:r>
              <w:rPr>
                <w:rFonts w:hint="eastAsia" w:ascii="Times New Roman" w:hAnsi="Times New Roman" w:eastAsia="宋体" w:cs="Times New Roman"/>
                <w:color w:val="auto"/>
                <w:sz w:val="24"/>
                <w:szCs w:val="20"/>
                <w:lang w:val="en-US" w:eastAsia="zh-CN"/>
              </w:rPr>
              <w:t>1%，因此本项目污泥产生量约</w:t>
            </w:r>
            <w:r>
              <w:rPr>
                <w:rFonts w:hint="eastAsia" w:cs="Times New Roman"/>
                <w:color w:val="auto"/>
                <w:sz w:val="24"/>
                <w:szCs w:val="20"/>
                <w:lang w:val="en-US" w:eastAsia="zh-CN"/>
              </w:rPr>
              <w:t>50</w:t>
            </w:r>
            <w:r>
              <w:rPr>
                <w:rFonts w:hint="eastAsia" w:ascii="Times New Roman" w:hAnsi="Times New Roman" w:eastAsia="宋体" w:cs="Times New Roman"/>
                <w:color w:val="auto"/>
                <w:sz w:val="24"/>
                <w:szCs w:val="20"/>
                <w:lang w:val="en-US" w:eastAsia="zh-CN"/>
              </w:rPr>
              <w:t>t/a，本项目污泥为一般工业固废，污泥定期</w:t>
            </w:r>
            <w:r>
              <w:rPr>
                <w:rFonts w:hint="eastAsia" w:cs="Times New Roman"/>
                <w:color w:val="auto"/>
                <w:sz w:val="24"/>
                <w:szCs w:val="20"/>
                <w:lang w:val="en-US" w:eastAsia="zh-CN"/>
              </w:rPr>
              <w:t>压滤</w:t>
            </w:r>
            <w:r>
              <w:rPr>
                <w:rFonts w:hint="eastAsia" w:ascii="Times New Roman" w:hAnsi="Times New Roman" w:eastAsia="宋体" w:cs="Times New Roman"/>
                <w:color w:val="auto"/>
                <w:sz w:val="24"/>
                <w:szCs w:val="20"/>
                <w:lang w:val="en-US" w:eastAsia="zh-CN"/>
              </w:rPr>
              <w:t>后委托污泥处置单位进行处理</w:t>
            </w:r>
            <w:r>
              <w:rPr>
                <w:rFonts w:hint="default" w:ascii="Times New Roman" w:hAnsi="Times New Roman" w:eastAsia="宋体" w:cs="Times New Roman"/>
                <w:color w:val="auto"/>
                <w:sz w:val="24"/>
                <w:szCs w:val="20"/>
                <w:lang w:eastAsia="zh-CN"/>
              </w:rPr>
              <w:t>。</w:t>
            </w:r>
          </w:p>
          <w:p>
            <w:pPr>
              <w:spacing w:before="120" w:beforeLines="50" w:line="420" w:lineRule="auto"/>
              <w:ind w:firstLine="482" w:firstLineChars="200"/>
              <w:rPr>
                <w:rFonts w:hint="default" w:eastAsia="宋体"/>
                <w:b/>
                <w:bCs/>
                <w:sz w:val="24"/>
                <w:szCs w:val="22"/>
                <w:lang w:val="en-US" w:eastAsia="zh-CN"/>
              </w:rPr>
            </w:pPr>
            <w:r>
              <w:rPr>
                <w:b/>
                <w:bCs/>
                <w:sz w:val="24"/>
                <w:szCs w:val="22"/>
              </w:rPr>
              <w:t>（2）固废信息汇总</w:t>
            </w:r>
          </w:p>
          <w:p>
            <w:pPr>
              <w:adjustRightInd w:val="0"/>
              <w:snapToGrid w:val="0"/>
              <w:spacing w:before="120" w:beforeLines="50" w:line="360" w:lineRule="auto"/>
              <w:jc w:val="center"/>
              <w:rPr>
                <w:b/>
                <w:sz w:val="24"/>
              </w:rPr>
            </w:pPr>
            <w:r>
              <w:rPr>
                <w:b/>
                <w:sz w:val="24"/>
              </w:rPr>
              <w:t>表4-</w:t>
            </w:r>
            <w:r>
              <w:rPr>
                <w:rFonts w:hint="eastAsia"/>
                <w:b/>
                <w:sz w:val="24"/>
                <w:lang w:val="en-US" w:eastAsia="zh-CN"/>
              </w:rPr>
              <w:t>18</w:t>
            </w:r>
            <w:r>
              <w:rPr>
                <w:b/>
                <w:sz w:val="24"/>
              </w:rPr>
              <w:t xml:space="preserve"> 固废产生及处置表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4"/>
              <w:gridCol w:w="973"/>
              <w:gridCol w:w="1121"/>
              <w:gridCol w:w="886"/>
              <w:gridCol w:w="689"/>
              <w:gridCol w:w="579"/>
              <w:gridCol w:w="1273"/>
              <w:gridCol w:w="973"/>
              <w:gridCol w:w="11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1054" w:type="dxa"/>
                  <w:noWrap w:val="0"/>
                  <w:vAlign w:val="center"/>
                </w:tcPr>
                <w:p>
                  <w:pPr>
                    <w:widowControl/>
                    <w:jc w:val="center"/>
                    <w:textAlignment w:val="center"/>
                    <w:rPr>
                      <w:b/>
                      <w:bCs/>
                      <w:sz w:val="18"/>
                      <w:szCs w:val="18"/>
                    </w:rPr>
                  </w:pPr>
                  <w:r>
                    <w:rPr>
                      <w:b/>
                      <w:bCs/>
                      <w:kern w:val="0"/>
                      <w:sz w:val="18"/>
                      <w:szCs w:val="18"/>
                      <w:lang w:bidi="ar"/>
                    </w:rPr>
                    <w:t>废物种类</w:t>
                  </w:r>
                </w:p>
              </w:tc>
              <w:tc>
                <w:tcPr>
                  <w:tcW w:w="912" w:type="dxa"/>
                  <w:noWrap w:val="0"/>
                  <w:vAlign w:val="center"/>
                </w:tcPr>
                <w:p>
                  <w:pPr>
                    <w:widowControl/>
                    <w:jc w:val="center"/>
                    <w:textAlignment w:val="center"/>
                    <w:rPr>
                      <w:b/>
                      <w:bCs/>
                      <w:sz w:val="18"/>
                      <w:szCs w:val="18"/>
                    </w:rPr>
                  </w:pPr>
                  <w:r>
                    <w:rPr>
                      <w:b/>
                      <w:bCs/>
                      <w:kern w:val="0"/>
                      <w:sz w:val="18"/>
                      <w:szCs w:val="18"/>
                      <w:lang w:bidi="ar"/>
                    </w:rPr>
                    <w:t>产生量</w:t>
                  </w:r>
                </w:p>
              </w:tc>
              <w:tc>
                <w:tcPr>
                  <w:tcW w:w="1121" w:type="dxa"/>
                  <w:noWrap w:val="0"/>
                  <w:vAlign w:val="center"/>
                </w:tcPr>
                <w:p>
                  <w:pPr>
                    <w:widowControl/>
                    <w:jc w:val="center"/>
                    <w:textAlignment w:val="center"/>
                    <w:rPr>
                      <w:b/>
                      <w:bCs/>
                      <w:sz w:val="18"/>
                      <w:szCs w:val="18"/>
                    </w:rPr>
                  </w:pPr>
                  <w:r>
                    <w:rPr>
                      <w:b/>
                      <w:bCs/>
                      <w:kern w:val="0"/>
                      <w:sz w:val="18"/>
                      <w:szCs w:val="18"/>
                      <w:lang w:bidi="ar"/>
                    </w:rPr>
                    <w:t>废物类别</w:t>
                  </w:r>
                </w:p>
              </w:tc>
              <w:tc>
                <w:tcPr>
                  <w:tcW w:w="886" w:type="dxa"/>
                  <w:noWrap w:val="0"/>
                  <w:vAlign w:val="center"/>
                </w:tcPr>
                <w:p>
                  <w:pPr>
                    <w:widowControl/>
                    <w:jc w:val="center"/>
                    <w:textAlignment w:val="center"/>
                    <w:rPr>
                      <w:b/>
                      <w:bCs/>
                      <w:kern w:val="0"/>
                      <w:sz w:val="18"/>
                      <w:szCs w:val="18"/>
                      <w:lang w:bidi="ar"/>
                    </w:rPr>
                  </w:pPr>
                  <w:r>
                    <w:rPr>
                      <w:b/>
                      <w:bCs/>
                      <w:kern w:val="0"/>
                      <w:sz w:val="18"/>
                      <w:szCs w:val="18"/>
                      <w:lang w:bidi="ar"/>
                    </w:rPr>
                    <w:t>有害物质名称</w:t>
                  </w:r>
                </w:p>
              </w:tc>
              <w:tc>
                <w:tcPr>
                  <w:tcW w:w="689" w:type="dxa"/>
                  <w:noWrap w:val="0"/>
                  <w:vAlign w:val="center"/>
                </w:tcPr>
                <w:p>
                  <w:pPr>
                    <w:widowControl/>
                    <w:jc w:val="center"/>
                    <w:textAlignment w:val="center"/>
                    <w:rPr>
                      <w:b/>
                      <w:bCs/>
                      <w:kern w:val="0"/>
                      <w:sz w:val="18"/>
                      <w:szCs w:val="18"/>
                      <w:lang w:bidi="ar"/>
                    </w:rPr>
                  </w:pPr>
                  <w:r>
                    <w:rPr>
                      <w:b/>
                      <w:bCs/>
                      <w:kern w:val="0"/>
                      <w:sz w:val="18"/>
                      <w:szCs w:val="18"/>
                      <w:lang w:bidi="ar"/>
                    </w:rPr>
                    <w:t>物理性状</w:t>
                  </w:r>
                </w:p>
              </w:tc>
              <w:tc>
                <w:tcPr>
                  <w:tcW w:w="579" w:type="dxa"/>
                  <w:noWrap w:val="0"/>
                  <w:vAlign w:val="center"/>
                </w:tcPr>
                <w:p>
                  <w:pPr>
                    <w:widowControl/>
                    <w:jc w:val="center"/>
                    <w:textAlignment w:val="center"/>
                    <w:rPr>
                      <w:b/>
                      <w:bCs/>
                      <w:kern w:val="0"/>
                      <w:sz w:val="18"/>
                      <w:szCs w:val="18"/>
                      <w:lang w:bidi="ar"/>
                    </w:rPr>
                  </w:pPr>
                  <w:r>
                    <w:rPr>
                      <w:b/>
                      <w:bCs/>
                      <w:kern w:val="0"/>
                      <w:sz w:val="18"/>
                      <w:szCs w:val="18"/>
                      <w:lang w:bidi="ar"/>
                    </w:rPr>
                    <w:t>危险性</w:t>
                  </w:r>
                </w:p>
              </w:tc>
              <w:tc>
                <w:tcPr>
                  <w:tcW w:w="1273" w:type="dxa"/>
                  <w:noWrap w:val="0"/>
                  <w:vAlign w:val="center"/>
                </w:tcPr>
                <w:p>
                  <w:pPr>
                    <w:widowControl/>
                    <w:jc w:val="center"/>
                    <w:textAlignment w:val="center"/>
                    <w:rPr>
                      <w:b/>
                      <w:bCs/>
                      <w:kern w:val="0"/>
                      <w:sz w:val="18"/>
                      <w:szCs w:val="18"/>
                      <w:lang w:bidi="ar"/>
                    </w:rPr>
                  </w:pPr>
                  <w:r>
                    <w:rPr>
                      <w:b/>
                      <w:bCs/>
                      <w:kern w:val="0"/>
                      <w:sz w:val="18"/>
                      <w:szCs w:val="18"/>
                      <w:lang w:bidi="ar"/>
                    </w:rPr>
                    <w:t>贮存方式</w:t>
                  </w:r>
                </w:p>
              </w:tc>
              <w:tc>
                <w:tcPr>
                  <w:tcW w:w="835" w:type="dxa"/>
                  <w:noWrap w:val="0"/>
                  <w:vAlign w:val="center"/>
                </w:tcPr>
                <w:p>
                  <w:pPr>
                    <w:widowControl/>
                    <w:jc w:val="center"/>
                    <w:textAlignment w:val="center"/>
                    <w:rPr>
                      <w:b/>
                      <w:bCs/>
                      <w:kern w:val="0"/>
                      <w:sz w:val="18"/>
                      <w:szCs w:val="18"/>
                      <w:lang w:bidi="ar"/>
                    </w:rPr>
                  </w:pPr>
                  <w:r>
                    <w:rPr>
                      <w:b/>
                      <w:bCs/>
                      <w:kern w:val="0"/>
                      <w:sz w:val="18"/>
                      <w:szCs w:val="18"/>
                      <w:lang w:bidi="ar"/>
                    </w:rPr>
                    <w:t>利用或处置量</w:t>
                  </w:r>
                </w:p>
              </w:tc>
              <w:tc>
                <w:tcPr>
                  <w:tcW w:w="1145" w:type="dxa"/>
                  <w:noWrap w:val="0"/>
                  <w:vAlign w:val="center"/>
                </w:tcPr>
                <w:p>
                  <w:pPr>
                    <w:widowControl/>
                    <w:jc w:val="center"/>
                    <w:textAlignment w:val="center"/>
                    <w:rPr>
                      <w:b/>
                      <w:bCs/>
                      <w:sz w:val="18"/>
                      <w:szCs w:val="18"/>
                    </w:rPr>
                  </w:pPr>
                  <w:r>
                    <w:rPr>
                      <w:b/>
                      <w:bCs/>
                      <w:kern w:val="0"/>
                      <w:sz w:val="18"/>
                      <w:szCs w:val="18"/>
                      <w:lang w:bidi="ar"/>
                    </w:rPr>
                    <w:t>处理措施及处理去向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54" w:type="dxa"/>
                  <w:noWrap w:val="0"/>
                  <w:vAlign w:val="center"/>
                </w:tcPr>
                <w:p>
                  <w:pPr>
                    <w:widowControl/>
                    <w:spacing w:line="360" w:lineRule="auto"/>
                    <w:jc w:val="center"/>
                    <w:textAlignment w:val="center"/>
                    <w:rPr>
                      <w:sz w:val="18"/>
                      <w:szCs w:val="18"/>
                    </w:rPr>
                  </w:pPr>
                  <w:r>
                    <w:rPr>
                      <w:kern w:val="0"/>
                      <w:sz w:val="18"/>
                      <w:szCs w:val="18"/>
                      <w:lang w:bidi="ar"/>
                    </w:rPr>
                    <w:t>生活垃圾</w:t>
                  </w:r>
                </w:p>
              </w:tc>
              <w:tc>
                <w:tcPr>
                  <w:tcW w:w="912" w:type="dxa"/>
                  <w:noWrap w:val="0"/>
                  <w:vAlign w:val="center"/>
                </w:tcPr>
                <w:p>
                  <w:pPr>
                    <w:widowControl/>
                    <w:spacing w:line="360" w:lineRule="auto"/>
                    <w:jc w:val="center"/>
                    <w:textAlignment w:val="center"/>
                    <w:rPr>
                      <w:sz w:val="18"/>
                      <w:szCs w:val="18"/>
                    </w:rPr>
                  </w:pPr>
                  <w:r>
                    <w:rPr>
                      <w:rFonts w:hint="eastAsia"/>
                      <w:kern w:val="0"/>
                      <w:sz w:val="18"/>
                      <w:szCs w:val="18"/>
                      <w:lang w:val="en-US" w:eastAsia="zh-CN" w:bidi="ar"/>
                    </w:rPr>
                    <w:t>4.14</w:t>
                  </w:r>
                  <w:r>
                    <w:rPr>
                      <w:kern w:val="0"/>
                      <w:sz w:val="18"/>
                      <w:szCs w:val="18"/>
                      <w:lang w:bidi="ar"/>
                    </w:rPr>
                    <w:t>t/a</w:t>
                  </w:r>
                </w:p>
              </w:tc>
              <w:tc>
                <w:tcPr>
                  <w:tcW w:w="1121" w:type="dxa"/>
                  <w:noWrap w:val="0"/>
                  <w:vAlign w:val="center"/>
                </w:tcPr>
                <w:p>
                  <w:pPr>
                    <w:widowControl/>
                    <w:jc w:val="center"/>
                    <w:textAlignment w:val="center"/>
                    <w:rPr>
                      <w:sz w:val="18"/>
                      <w:szCs w:val="18"/>
                    </w:rPr>
                  </w:pPr>
                  <w:r>
                    <w:rPr>
                      <w:kern w:val="0"/>
                      <w:sz w:val="18"/>
                      <w:szCs w:val="18"/>
                      <w:lang w:bidi="ar"/>
                    </w:rPr>
                    <w:t>一般固废</w:t>
                  </w:r>
                </w:p>
              </w:tc>
              <w:tc>
                <w:tcPr>
                  <w:tcW w:w="886" w:type="dxa"/>
                  <w:noWrap w:val="0"/>
                  <w:vAlign w:val="center"/>
                </w:tcPr>
                <w:p>
                  <w:pPr>
                    <w:widowControl/>
                    <w:spacing w:line="360" w:lineRule="auto"/>
                    <w:jc w:val="center"/>
                    <w:textAlignment w:val="center"/>
                    <w:rPr>
                      <w:sz w:val="18"/>
                      <w:szCs w:val="18"/>
                    </w:rPr>
                  </w:pPr>
                  <w:r>
                    <w:rPr>
                      <w:kern w:val="0"/>
                      <w:sz w:val="18"/>
                      <w:szCs w:val="18"/>
                      <w:lang w:bidi="ar"/>
                    </w:rPr>
                    <w:t>/</w:t>
                  </w:r>
                </w:p>
              </w:tc>
              <w:tc>
                <w:tcPr>
                  <w:tcW w:w="689" w:type="dxa"/>
                  <w:noWrap w:val="0"/>
                  <w:vAlign w:val="center"/>
                </w:tcPr>
                <w:p>
                  <w:pPr>
                    <w:widowControl/>
                    <w:spacing w:line="360" w:lineRule="auto"/>
                    <w:jc w:val="center"/>
                    <w:textAlignment w:val="center"/>
                    <w:rPr>
                      <w:sz w:val="18"/>
                      <w:szCs w:val="18"/>
                    </w:rPr>
                  </w:pPr>
                  <w:r>
                    <w:rPr>
                      <w:kern w:val="0"/>
                      <w:sz w:val="18"/>
                      <w:szCs w:val="18"/>
                      <w:lang w:bidi="ar"/>
                    </w:rPr>
                    <w:t>固体</w:t>
                  </w:r>
                </w:p>
              </w:tc>
              <w:tc>
                <w:tcPr>
                  <w:tcW w:w="579" w:type="dxa"/>
                  <w:noWrap w:val="0"/>
                  <w:vAlign w:val="center"/>
                </w:tcPr>
                <w:p>
                  <w:pPr>
                    <w:widowControl/>
                    <w:spacing w:line="360" w:lineRule="auto"/>
                    <w:jc w:val="center"/>
                    <w:textAlignment w:val="center"/>
                    <w:rPr>
                      <w:sz w:val="18"/>
                      <w:szCs w:val="18"/>
                    </w:rPr>
                  </w:pPr>
                  <w:r>
                    <w:rPr>
                      <w:kern w:val="0"/>
                      <w:sz w:val="18"/>
                      <w:szCs w:val="18"/>
                      <w:lang w:bidi="ar"/>
                    </w:rPr>
                    <w:t>/</w:t>
                  </w:r>
                </w:p>
              </w:tc>
              <w:tc>
                <w:tcPr>
                  <w:tcW w:w="1273" w:type="dxa"/>
                  <w:noWrap w:val="0"/>
                  <w:vAlign w:val="center"/>
                </w:tcPr>
                <w:p>
                  <w:pPr>
                    <w:widowControl/>
                    <w:spacing w:line="360" w:lineRule="auto"/>
                    <w:jc w:val="center"/>
                    <w:textAlignment w:val="center"/>
                    <w:rPr>
                      <w:sz w:val="18"/>
                      <w:szCs w:val="18"/>
                    </w:rPr>
                  </w:pPr>
                  <w:r>
                    <w:rPr>
                      <w:kern w:val="0"/>
                      <w:sz w:val="18"/>
                      <w:szCs w:val="18"/>
                      <w:lang w:bidi="ar"/>
                    </w:rPr>
                    <w:t>一般固废暂存间暂存</w:t>
                  </w:r>
                </w:p>
              </w:tc>
              <w:tc>
                <w:tcPr>
                  <w:tcW w:w="835" w:type="dxa"/>
                  <w:noWrap w:val="0"/>
                  <w:vAlign w:val="center"/>
                </w:tcPr>
                <w:p>
                  <w:pPr>
                    <w:widowControl/>
                    <w:spacing w:line="360" w:lineRule="auto"/>
                    <w:jc w:val="center"/>
                    <w:textAlignment w:val="center"/>
                    <w:rPr>
                      <w:kern w:val="0"/>
                      <w:sz w:val="18"/>
                      <w:szCs w:val="18"/>
                      <w:lang w:bidi="ar"/>
                    </w:rPr>
                  </w:pPr>
                  <w:r>
                    <w:rPr>
                      <w:rFonts w:hint="eastAsia"/>
                      <w:kern w:val="0"/>
                      <w:sz w:val="18"/>
                      <w:szCs w:val="18"/>
                      <w:lang w:val="en-US" w:eastAsia="zh-CN" w:bidi="ar"/>
                    </w:rPr>
                    <w:t>4.14</w:t>
                  </w:r>
                  <w:r>
                    <w:rPr>
                      <w:kern w:val="0"/>
                      <w:sz w:val="18"/>
                      <w:szCs w:val="18"/>
                      <w:lang w:bidi="ar"/>
                    </w:rPr>
                    <w:t>t/a</w:t>
                  </w:r>
                </w:p>
              </w:tc>
              <w:tc>
                <w:tcPr>
                  <w:tcW w:w="1145" w:type="dxa"/>
                  <w:noWrap w:val="0"/>
                  <w:vAlign w:val="center"/>
                </w:tcPr>
                <w:p>
                  <w:pPr>
                    <w:widowControl/>
                    <w:jc w:val="center"/>
                    <w:textAlignment w:val="center"/>
                    <w:rPr>
                      <w:sz w:val="18"/>
                      <w:szCs w:val="18"/>
                    </w:rPr>
                  </w:pPr>
                  <w:r>
                    <w:rPr>
                      <w:kern w:val="0"/>
                      <w:sz w:val="18"/>
                      <w:szCs w:val="18"/>
                      <w:lang w:bidi="ar"/>
                    </w:rPr>
                    <w:t>交由蓬溪环卫部门处置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54"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边角料及不良品</w:t>
                  </w:r>
                </w:p>
              </w:tc>
              <w:tc>
                <w:tcPr>
                  <w:tcW w:w="912" w:type="dxa"/>
                  <w:noWrap w:val="0"/>
                  <w:vAlign w:val="center"/>
                </w:tcPr>
                <w:p>
                  <w:pPr>
                    <w:widowControl/>
                    <w:spacing w:line="360" w:lineRule="auto"/>
                    <w:jc w:val="center"/>
                    <w:textAlignment w:val="center"/>
                    <w:rPr>
                      <w:sz w:val="18"/>
                      <w:szCs w:val="18"/>
                    </w:rPr>
                  </w:pPr>
                  <w:r>
                    <w:rPr>
                      <w:rFonts w:hint="eastAsia"/>
                      <w:kern w:val="0"/>
                      <w:sz w:val="18"/>
                      <w:szCs w:val="18"/>
                      <w:lang w:val="en-US" w:eastAsia="zh-CN" w:bidi="ar"/>
                    </w:rPr>
                    <w:t>50</w:t>
                  </w:r>
                  <w:r>
                    <w:rPr>
                      <w:kern w:val="0"/>
                      <w:sz w:val="18"/>
                      <w:szCs w:val="18"/>
                      <w:lang w:bidi="ar"/>
                    </w:rPr>
                    <w:t>t/a</w:t>
                  </w:r>
                </w:p>
              </w:tc>
              <w:tc>
                <w:tcPr>
                  <w:tcW w:w="1121" w:type="dxa"/>
                  <w:noWrap w:val="0"/>
                  <w:vAlign w:val="center"/>
                </w:tcPr>
                <w:p>
                  <w:pPr>
                    <w:widowControl/>
                    <w:jc w:val="center"/>
                    <w:textAlignment w:val="center"/>
                    <w:rPr>
                      <w:sz w:val="18"/>
                      <w:szCs w:val="18"/>
                    </w:rPr>
                  </w:pPr>
                  <w:r>
                    <w:rPr>
                      <w:kern w:val="0"/>
                      <w:sz w:val="18"/>
                      <w:szCs w:val="18"/>
                      <w:lang w:bidi="ar"/>
                    </w:rPr>
                    <w:t>一般固废</w:t>
                  </w:r>
                </w:p>
              </w:tc>
              <w:tc>
                <w:tcPr>
                  <w:tcW w:w="886" w:type="dxa"/>
                  <w:noWrap w:val="0"/>
                  <w:vAlign w:val="center"/>
                </w:tcPr>
                <w:p>
                  <w:pPr>
                    <w:widowControl/>
                    <w:spacing w:line="360" w:lineRule="auto"/>
                    <w:jc w:val="center"/>
                    <w:textAlignment w:val="center"/>
                    <w:rPr>
                      <w:sz w:val="18"/>
                      <w:szCs w:val="18"/>
                    </w:rPr>
                  </w:pPr>
                  <w:r>
                    <w:rPr>
                      <w:kern w:val="0"/>
                      <w:sz w:val="18"/>
                      <w:szCs w:val="18"/>
                      <w:lang w:bidi="ar"/>
                    </w:rPr>
                    <w:t>/</w:t>
                  </w:r>
                </w:p>
              </w:tc>
              <w:tc>
                <w:tcPr>
                  <w:tcW w:w="689" w:type="dxa"/>
                  <w:noWrap w:val="0"/>
                  <w:vAlign w:val="center"/>
                </w:tcPr>
                <w:p>
                  <w:pPr>
                    <w:widowControl/>
                    <w:spacing w:line="360" w:lineRule="auto"/>
                    <w:jc w:val="center"/>
                    <w:textAlignment w:val="center"/>
                    <w:rPr>
                      <w:sz w:val="18"/>
                      <w:szCs w:val="18"/>
                    </w:rPr>
                  </w:pPr>
                  <w:r>
                    <w:rPr>
                      <w:kern w:val="0"/>
                      <w:sz w:val="18"/>
                      <w:szCs w:val="18"/>
                      <w:lang w:bidi="ar"/>
                    </w:rPr>
                    <w:t>固体</w:t>
                  </w:r>
                </w:p>
              </w:tc>
              <w:tc>
                <w:tcPr>
                  <w:tcW w:w="579" w:type="dxa"/>
                  <w:noWrap w:val="0"/>
                  <w:vAlign w:val="center"/>
                </w:tcPr>
                <w:p>
                  <w:pPr>
                    <w:widowControl/>
                    <w:spacing w:line="360" w:lineRule="auto"/>
                    <w:jc w:val="center"/>
                    <w:textAlignment w:val="center"/>
                    <w:rPr>
                      <w:sz w:val="18"/>
                      <w:szCs w:val="18"/>
                    </w:rPr>
                  </w:pPr>
                  <w:r>
                    <w:rPr>
                      <w:kern w:val="0"/>
                      <w:sz w:val="18"/>
                      <w:szCs w:val="18"/>
                      <w:lang w:bidi="ar"/>
                    </w:rPr>
                    <w:t>/</w:t>
                  </w:r>
                </w:p>
              </w:tc>
              <w:tc>
                <w:tcPr>
                  <w:tcW w:w="1273" w:type="dxa"/>
                  <w:noWrap w:val="0"/>
                  <w:vAlign w:val="center"/>
                </w:tcPr>
                <w:p>
                  <w:pPr>
                    <w:widowControl/>
                    <w:spacing w:line="360" w:lineRule="auto"/>
                    <w:jc w:val="center"/>
                    <w:textAlignment w:val="center"/>
                    <w:rPr>
                      <w:sz w:val="18"/>
                      <w:szCs w:val="18"/>
                    </w:rPr>
                  </w:pPr>
                  <w:r>
                    <w:rPr>
                      <w:kern w:val="0"/>
                      <w:sz w:val="18"/>
                      <w:szCs w:val="18"/>
                      <w:lang w:bidi="ar"/>
                    </w:rPr>
                    <w:t>一般固废暂存间暂存</w:t>
                  </w:r>
                </w:p>
              </w:tc>
              <w:tc>
                <w:tcPr>
                  <w:tcW w:w="835" w:type="dxa"/>
                  <w:noWrap w:val="0"/>
                  <w:vAlign w:val="center"/>
                </w:tcPr>
                <w:p>
                  <w:pPr>
                    <w:widowControl/>
                    <w:spacing w:line="360" w:lineRule="auto"/>
                    <w:jc w:val="center"/>
                    <w:textAlignment w:val="center"/>
                    <w:rPr>
                      <w:kern w:val="0"/>
                      <w:sz w:val="18"/>
                      <w:szCs w:val="18"/>
                      <w:lang w:bidi="ar"/>
                    </w:rPr>
                  </w:pPr>
                  <w:r>
                    <w:rPr>
                      <w:rFonts w:hint="eastAsia"/>
                      <w:kern w:val="0"/>
                      <w:sz w:val="18"/>
                      <w:szCs w:val="18"/>
                      <w:lang w:val="en-US" w:eastAsia="zh-CN" w:bidi="ar"/>
                    </w:rPr>
                    <w:t>50</w:t>
                  </w:r>
                  <w:r>
                    <w:rPr>
                      <w:kern w:val="0"/>
                      <w:sz w:val="18"/>
                      <w:szCs w:val="18"/>
                      <w:lang w:bidi="ar"/>
                    </w:rPr>
                    <w:t>t/a</w:t>
                  </w:r>
                </w:p>
              </w:tc>
              <w:tc>
                <w:tcPr>
                  <w:tcW w:w="1145" w:type="dxa"/>
                  <w:noWrap w:val="0"/>
                  <w:vAlign w:val="center"/>
                </w:tcPr>
                <w:p>
                  <w:pPr>
                    <w:widowControl/>
                    <w:jc w:val="center"/>
                    <w:textAlignment w:val="center"/>
                    <w:rPr>
                      <w:rFonts w:hint="default" w:eastAsia="宋体"/>
                      <w:sz w:val="18"/>
                      <w:szCs w:val="18"/>
                      <w:lang w:val="en-US" w:eastAsia="zh-CN"/>
                    </w:rPr>
                  </w:pPr>
                  <w:r>
                    <w:rPr>
                      <w:rFonts w:hint="eastAsia"/>
                      <w:kern w:val="0"/>
                      <w:sz w:val="18"/>
                      <w:szCs w:val="18"/>
                      <w:lang w:val="en-US" w:eastAsia="zh-CN" w:bidi="ar"/>
                    </w:rPr>
                    <w:t>破碎后生产回用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54" w:type="dxa"/>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除尘器粉尘</w:t>
                  </w:r>
                </w:p>
              </w:tc>
              <w:tc>
                <w:tcPr>
                  <w:tcW w:w="912" w:type="dxa"/>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16.63</w:t>
                  </w:r>
                  <w:r>
                    <w:rPr>
                      <w:rFonts w:hint="eastAsia" w:ascii="Times New Roman" w:hAnsi="Times New Roman" w:eastAsia="宋体" w:cs="Times New Roman"/>
                      <w:kern w:val="0"/>
                      <w:sz w:val="18"/>
                      <w:szCs w:val="18"/>
                      <w:lang w:val="en-US" w:eastAsia="zh-CN" w:bidi="ar"/>
                    </w:rPr>
                    <w:t>t/a</w:t>
                  </w:r>
                </w:p>
              </w:tc>
              <w:tc>
                <w:tcPr>
                  <w:tcW w:w="1121" w:type="dxa"/>
                  <w:noWrap w:val="0"/>
                  <w:vAlign w:val="center"/>
                </w:tcPr>
                <w:p>
                  <w:pPr>
                    <w:widowControl/>
                    <w:jc w:val="center"/>
                    <w:textAlignment w:val="center"/>
                    <w:rPr>
                      <w:kern w:val="0"/>
                      <w:sz w:val="18"/>
                      <w:szCs w:val="18"/>
                      <w:lang w:bidi="ar"/>
                    </w:rPr>
                  </w:pPr>
                  <w:r>
                    <w:rPr>
                      <w:kern w:val="0"/>
                      <w:sz w:val="18"/>
                      <w:szCs w:val="18"/>
                      <w:lang w:bidi="ar"/>
                    </w:rPr>
                    <w:t>一般固废</w:t>
                  </w:r>
                </w:p>
              </w:tc>
              <w:tc>
                <w:tcPr>
                  <w:tcW w:w="886" w:type="dxa"/>
                  <w:noWrap w:val="0"/>
                  <w:vAlign w:val="center"/>
                </w:tcPr>
                <w:p>
                  <w:pPr>
                    <w:widowControl/>
                    <w:spacing w:line="360" w:lineRule="auto"/>
                    <w:jc w:val="center"/>
                    <w:textAlignment w:val="center"/>
                    <w:rPr>
                      <w:kern w:val="0"/>
                      <w:sz w:val="18"/>
                      <w:szCs w:val="18"/>
                      <w:lang w:bidi="ar"/>
                    </w:rPr>
                  </w:pPr>
                  <w:r>
                    <w:rPr>
                      <w:kern w:val="0"/>
                      <w:sz w:val="18"/>
                      <w:szCs w:val="18"/>
                      <w:lang w:bidi="ar"/>
                    </w:rPr>
                    <w:t>/</w:t>
                  </w:r>
                </w:p>
              </w:tc>
              <w:tc>
                <w:tcPr>
                  <w:tcW w:w="689" w:type="dxa"/>
                  <w:noWrap w:val="0"/>
                  <w:vAlign w:val="center"/>
                </w:tcPr>
                <w:p>
                  <w:pPr>
                    <w:widowControl/>
                    <w:spacing w:line="360" w:lineRule="auto"/>
                    <w:jc w:val="center"/>
                    <w:textAlignment w:val="center"/>
                    <w:rPr>
                      <w:kern w:val="0"/>
                      <w:sz w:val="18"/>
                      <w:szCs w:val="18"/>
                      <w:lang w:bidi="ar"/>
                    </w:rPr>
                  </w:pPr>
                  <w:r>
                    <w:rPr>
                      <w:kern w:val="0"/>
                      <w:sz w:val="18"/>
                      <w:szCs w:val="18"/>
                      <w:lang w:bidi="ar"/>
                    </w:rPr>
                    <w:t>固体</w:t>
                  </w:r>
                </w:p>
              </w:tc>
              <w:tc>
                <w:tcPr>
                  <w:tcW w:w="579" w:type="dxa"/>
                  <w:noWrap w:val="0"/>
                  <w:vAlign w:val="center"/>
                </w:tcPr>
                <w:p>
                  <w:pPr>
                    <w:widowControl/>
                    <w:spacing w:line="360" w:lineRule="auto"/>
                    <w:jc w:val="center"/>
                    <w:textAlignment w:val="center"/>
                    <w:rPr>
                      <w:kern w:val="0"/>
                      <w:sz w:val="18"/>
                      <w:szCs w:val="18"/>
                      <w:lang w:bidi="ar"/>
                    </w:rPr>
                  </w:pPr>
                  <w:r>
                    <w:rPr>
                      <w:kern w:val="0"/>
                      <w:sz w:val="18"/>
                      <w:szCs w:val="18"/>
                      <w:lang w:bidi="ar"/>
                    </w:rPr>
                    <w:t>/</w:t>
                  </w:r>
                </w:p>
              </w:tc>
              <w:tc>
                <w:tcPr>
                  <w:tcW w:w="1273" w:type="dxa"/>
                  <w:noWrap w:val="0"/>
                  <w:vAlign w:val="center"/>
                </w:tcPr>
                <w:p>
                  <w:pPr>
                    <w:widowControl/>
                    <w:spacing w:line="360" w:lineRule="auto"/>
                    <w:jc w:val="center"/>
                    <w:textAlignment w:val="center"/>
                    <w:rPr>
                      <w:kern w:val="0"/>
                      <w:sz w:val="18"/>
                      <w:szCs w:val="18"/>
                      <w:lang w:bidi="ar"/>
                    </w:rPr>
                  </w:pPr>
                  <w:r>
                    <w:rPr>
                      <w:kern w:val="0"/>
                      <w:sz w:val="18"/>
                      <w:szCs w:val="18"/>
                      <w:lang w:bidi="ar"/>
                    </w:rPr>
                    <w:t>一般固废暂存间暂存</w:t>
                  </w:r>
                </w:p>
              </w:tc>
              <w:tc>
                <w:tcPr>
                  <w:tcW w:w="835" w:type="dxa"/>
                  <w:noWrap w:val="0"/>
                  <w:vAlign w:val="center"/>
                </w:tcPr>
                <w:p>
                  <w:pPr>
                    <w:widowControl/>
                    <w:spacing w:line="360" w:lineRule="auto"/>
                    <w:jc w:val="center"/>
                    <w:textAlignment w:val="center"/>
                    <w:rPr>
                      <w:rFonts w:hint="eastAsia"/>
                      <w:kern w:val="0"/>
                      <w:sz w:val="18"/>
                      <w:szCs w:val="18"/>
                      <w:lang w:bidi="ar"/>
                    </w:rPr>
                  </w:pPr>
                  <w:r>
                    <w:rPr>
                      <w:rFonts w:hint="eastAsia" w:cs="Times New Roman"/>
                      <w:kern w:val="0"/>
                      <w:sz w:val="18"/>
                      <w:szCs w:val="18"/>
                      <w:lang w:val="en-US" w:eastAsia="zh-CN" w:bidi="ar"/>
                    </w:rPr>
                    <w:t>16.63</w:t>
                  </w:r>
                  <w:r>
                    <w:rPr>
                      <w:rFonts w:hint="eastAsia" w:ascii="Times New Roman" w:hAnsi="Times New Roman" w:eastAsia="宋体" w:cs="Times New Roman"/>
                      <w:kern w:val="0"/>
                      <w:sz w:val="18"/>
                      <w:szCs w:val="18"/>
                      <w:lang w:val="en-US" w:eastAsia="zh-CN" w:bidi="ar"/>
                    </w:rPr>
                    <w:t>t/a</w:t>
                  </w:r>
                </w:p>
              </w:tc>
              <w:tc>
                <w:tcPr>
                  <w:tcW w:w="1145" w:type="dxa"/>
                  <w:noWrap w:val="0"/>
                  <w:vAlign w:val="center"/>
                </w:tcPr>
                <w:p>
                  <w:pPr>
                    <w:widowControl/>
                    <w:jc w:val="center"/>
                    <w:textAlignment w:val="center"/>
                    <w:rPr>
                      <w:kern w:val="0"/>
                      <w:sz w:val="18"/>
                      <w:szCs w:val="18"/>
                      <w:lang w:bidi="ar"/>
                    </w:rPr>
                  </w:pPr>
                  <w:r>
                    <w:rPr>
                      <w:rFonts w:hint="eastAsia"/>
                      <w:kern w:val="0"/>
                      <w:sz w:val="18"/>
                      <w:szCs w:val="18"/>
                      <w:lang w:val="en-US" w:eastAsia="zh-CN" w:bidi="ar"/>
                    </w:rPr>
                    <w:t>生产回用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1054" w:type="dxa"/>
                  <w:noWrap w:val="0"/>
                  <w:vAlign w:val="center"/>
                </w:tcPr>
                <w:p>
                  <w:pPr>
                    <w:widowControl/>
                    <w:spacing w:line="360" w:lineRule="auto"/>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废包装物</w:t>
                  </w:r>
                </w:p>
              </w:tc>
              <w:tc>
                <w:tcPr>
                  <w:tcW w:w="912"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0.</w:t>
                  </w:r>
                  <w:r>
                    <w:rPr>
                      <w:rFonts w:hint="eastAsia" w:ascii="Times New Roman" w:hAnsi="Times New Roman" w:eastAsia="宋体" w:cs="Times New Roman"/>
                      <w:kern w:val="0"/>
                      <w:sz w:val="18"/>
                      <w:szCs w:val="18"/>
                      <w:lang w:val="en-US" w:eastAsia="zh-CN" w:bidi="ar"/>
                    </w:rPr>
                    <w:t>2</w:t>
                  </w:r>
                  <w:r>
                    <w:rPr>
                      <w:rFonts w:ascii="Times New Roman" w:hAnsi="Times New Roman" w:eastAsia="宋体" w:cs="Times New Roman"/>
                      <w:kern w:val="0"/>
                      <w:sz w:val="18"/>
                      <w:szCs w:val="18"/>
                      <w:lang w:bidi="ar"/>
                    </w:rPr>
                    <w:t>t/a</w:t>
                  </w:r>
                </w:p>
              </w:tc>
              <w:tc>
                <w:tcPr>
                  <w:tcW w:w="1121" w:type="dxa"/>
                  <w:noWrap w:val="0"/>
                  <w:vAlign w:val="center"/>
                </w:tcPr>
                <w:p>
                  <w:pPr>
                    <w:widowControl/>
                    <w:jc w:val="center"/>
                    <w:textAlignment w:val="center"/>
                    <w:rPr>
                      <w:sz w:val="18"/>
                      <w:szCs w:val="18"/>
                    </w:rPr>
                  </w:pPr>
                  <w:r>
                    <w:rPr>
                      <w:kern w:val="0"/>
                      <w:sz w:val="18"/>
                      <w:szCs w:val="18"/>
                      <w:lang w:bidi="ar"/>
                    </w:rPr>
                    <w:t>一般固废</w:t>
                  </w:r>
                </w:p>
              </w:tc>
              <w:tc>
                <w:tcPr>
                  <w:tcW w:w="886" w:type="dxa"/>
                  <w:noWrap w:val="0"/>
                  <w:vAlign w:val="center"/>
                </w:tcPr>
                <w:p>
                  <w:pPr>
                    <w:widowControl/>
                    <w:spacing w:line="360" w:lineRule="auto"/>
                    <w:jc w:val="center"/>
                    <w:textAlignment w:val="center"/>
                    <w:rPr>
                      <w:sz w:val="18"/>
                      <w:szCs w:val="18"/>
                    </w:rPr>
                  </w:pPr>
                  <w:r>
                    <w:rPr>
                      <w:kern w:val="0"/>
                      <w:sz w:val="18"/>
                      <w:szCs w:val="18"/>
                      <w:lang w:bidi="ar"/>
                    </w:rPr>
                    <w:t>/</w:t>
                  </w:r>
                </w:p>
              </w:tc>
              <w:tc>
                <w:tcPr>
                  <w:tcW w:w="689" w:type="dxa"/>
                  <w:noWrap w:val="0"/>
                  <w:vAlign w:val="center"/>
                </w:tcPr>
                <w:p>
                  <w:pPr>
                    <w:widowControl/>
                    <w:spacing w:line="360" w:lineRule="auto"/>
                    <w:jc w:val="center"/>
                    <w:textAlignment w:val="center"/>
                    <w:rPr>
                      <w:sz w:val="18"/>
                      <w:szCs w:val="18"/>
                    </w:rPr>
                  </w:pPr>
                  <w:r>
                    <w:rPr>
                      <w:kern w:val="0"/>
                      <w:sz w:val="18"/>
                      <w:szCs w:val="18"/>
                      <w:lang w:bidi="ar"/>
                    </w:rPr>
                    <w:t>固体</w:t>
                  </w:r>
                </w:p>
              </w:tc>
              <w:tc>
                <w:tcPr>
                  <w:tcW w:w="579" w:type="dxa"/>
                  <w:noWrap w:val="0"/>
                  <w:vAlign w:val="center"/>
                </w:tcPr>
                <w:p>
                  <w:pPr>
                    <w:widowControl/>
                    <w:spacing w:line="360" w:lineRule="auto"/>
                    <w:jc w:val="center"/>
                    <w:textAlignment w:val="center"/>
                    <w:rPr>
                      <w:sz w:val="18"/>
                      <w:szCs w:val="18"/>
                    </w:rPr>
                  </w:pPr>
                  <w:r>
                    <w:rPr>
                      <w:kern w:val="0"/>
                      <w:sz w:val="18"/>
                      <w:szCs w:val="18"/>
                      <w:lang w:bidi="ar"/>
                    </w:rPr>
                    <w:t>/</w:t>
                  </w:r>
                </w:p>
              </w:tc>
              <w:tc>
                <w:tcPr>
                  <w:tcW w:w="1273" w:type="dxa"/>
                  <w:noWrap w:val="0"/>
                  <w:vAlign w:val="center"/>
                </w:tcPr>
                <w:p>
                  <w:pPr>
                    <w:widowControl/>
                    <w:spacing w:line="360" w:lineRule="auto"/>
                    <w:jc w:val="center"/>
                    <w:textAlignment w:val="center"/>
                    <w:rPr>
                      <w:sz w:val="18"/>
                      <w:szCs w:val="18"/>
                    </w:rPr>
                  </w:pPr>
                  <w:r>
                    <w:rPr>
                      <w:kern w:val="0"/>
                      <w:sz w:val="18"/>
                      <w:szCs w:val="18"/>
                      <w:lang w:bidi="ar"/>
                    </w:rPr>
                    <w:t>一般固废暂存间暂存</w:t>
                  </w:r>
                </w:p>
              </w:tc>
              <w:tc>
                <w:tcPr>
                  <w:tcW w:w="835" w:type="dxa"/>
                  <w:noWrap w:val="0"/>
                  <w:vAlign w:val="center"/>
                </w:tcPr>
                <w:p>
                  <w:pPr>
                    <w:widowControl/>
                    <w:spacing w:line="360" w:lineRule="auto"/>
                    <w:jc w:val="center"/>
                    <w:textAlignment w:val="center"/>
                    <w:rPr>
                      <w:kern w:val="0"/>
                      <w:sz w:val="18"/>
                      <w:szCs w:val="18"/>
                      <w:lang w:bidi="ar"/>
                    </w:rPr>
                  </w:pPr>
                  <w:r>
                    <w:rPr>
                      <w:rFonts w:ascii="Times New Roman" w:hAnsi="Times New Roman" w:eastAsia="宋体" w:cs="Times New Roman"/>
                      <w:kern w:val="0"/>
                      <w:sz w:val="18"/>
                      <w:szCs w:val="18"/>
                      <w:lang w:bidi="ar"/>
                    </w:rPr>
                    <w:t>0.</w:t>
                  </w:r>
                  <w:r>
                    <w:rPr>
                      <w:rFonts w:hint="eastAsia" w:ascii="Times New Roman" w:hAnsi="Times New Roman" w:eastAsia="宋体" w:cs="Times New Roman"/>
                      <w:kern w:val="0"/>
                      <w:sz w:val="18"/>
                      <w:szCs w:val="18"/>
                      <w:lang w:val="en-US" w:eastAsia="zh-CN" w:bidi="ar"/>
                    </w:rPr>
                    <w:t>2</w:t>
                  </w:r>
                  <w:r>
                    <w:rPr>
                      <w:rFonts w:ascii="Times New Roman" w:hAnsi="Times New Roman" w:eastAsia="宋体" w:cs="Times New Roman"/>
                      <w:kern w:val="0"/>
                      <w:sz w:val="18"/>
                      <w:szCs w:val="18"/>
                      <w:lang w:bidi="ar"/>
                    </w:rPr>
                    <w:t>t/a</w:t>
                  </w:r>
                </w:p>
              </w:tc>
              <w:tc>
                <w:tcPr>
                  <w:tcW w:w="1145" w:type="dxa"/>
                  <w:noWrap w:val="0"/>
                  <w:vAlign w:val="center"/>
                </w:tcPr>
                <w:p>
                  <w:pPr>
                    <w:widowControl/>
                    <w:jc w:val="center"/>
                    <w:textAlignment w:val="center"/>
                    <w:rPr>
                      <w:sz w:val="18"/>
                      <w:szCs w:val="18"/>
                    </w:rPr>
                  </w:pPr>
                  <w:r>
                    <w:rPr>
                      <w:kern w:val="0"/>
                      <w:sz w:val="18"/>
                      <w:szCs w:val="18"/>
                      <w:lang w:bidi="ar"/>
                    </w:rPr>
                    <w:t>收集后统一出售给资源回收部门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54" w:type="dxa"/>
                  <w:noWrap w:val="0"/>
                  <w:vAlign w:val="center"/>
                </w:tcPr>
                <w:p>
                  <w:pPr>
                    <w:widowControl/>
                    <w:spacing w:line="360" w:lineRule="auto"/>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污泥</w:t>
                  </w:r>
                </w:p>
              </w:tc>
              <w:tc>
                <w:tcPr>
                  <w:tcW w:w="912"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50</w:t>
                  </w:r>
                  <w:r>
                    <w:rPr>
                      <w:rFonts w:ascii="Times New Roman" w:hAnsi="Times New Roman" w:eastAsia="宋体" w:cs="Times New Roman"/>
                      <w:kern w:val="0"/>
                      <w:sz w:val="18"/>
                      <w:szCs w:val="18"/>
                      <w:lang w:bidi="ar"/>
                    </w:rPr>
                    <w:t>t/a</w:t>
                  </w:r>
                </w:p>
              </w:tc>
              <w:tc>
                <w:tcPr>
                  <w:tcW w:w="1121" w:type="dxa"/>
                  <w:noWrap w:val="0"/>
                  <w:vAlign w:val="center"/>
                </w:tcPr>
                <w:p>
                  <w:pPr>
                    <w:widowControl/>
                    <w:jc w:val="center"/>
                    <w:textAlignment w:val="center"/>
                    <w:rPr>
                      <w:kern w:val="0"/>
                      <w:sz w:val="18"/>
                      <w:szCs w:val="18"/>
                      <w:lang w:bidi="ar"/>
                    </w:rPr>
                  </w:pPr>
                  <w:r>
                    <w:rPr>
                      <w:kern w:val="0"/>
                      <w:sz w:val="18"/>
                      <w:szCs w:val="18"/>
                      <w:lang w:bidi="ar"/>
                    </w:rPr>
                    <w:t>一般固废</w:t>
                  </w:r>
                </w:p>
              </w:tc>
              <w:tc>
                <w:tcPr>
                  <w:tcW w:w="886" w:type="dxa"/>
                  <w:noWrap w:val="0"/>
                  <w:vAlign w:val="center"/>
                </w:tcPr>
                <w:p>
                  <w:pPr>
                    <w:widowControl/>
                    <w:spacing w:line="360" w:lineRule="auto"/>
                    <w:jc w:val="center"/>
                    <w:textAlignment w:val="center"/>
                    <w:rPr>
                      <w:kern w:val="0"/>
                      <w:sz w:val="18"/>
                      <w:szCs w:val="18"/>
                      <w:lang w:bidi="ar"/>
                    </w:rPr>
                  </w:pPr>
                  <w:r>
                    <w:rPr>
                      <w:kern w:val="0"/>
                      <w:sz w:val="18"/>
                      <w:szCs w:val="18"/>
                      <w:lang w:bidi="ar"/>
                    </w:rPr>
                    <w:t>/</w:t>
                  </w:r>
                </w:p>
              </w:tc>
              <w:tc>
                <w:tcPr>
                  <w:tcW w:w="689" w:type="dxa"/>
                  <w:noWrap w:val="0"/>
                  <w:vAlign w:val="center"/>
                </w:tcPr>
                <w:p>
                  <w:pPr>
                    <w:widowControl/>
                    <w:spacing w:line="360" w:lineRule="auto"/>
                    <w:jc w:val="center"/>
                    <w:textAlignment w:val="center"/>
                    <w:rPr>
                      <w:kern w:val="0"/>
                      <w:sz w:val="18"/>
                      <w:szCs w:val="18"/>
                      <w:lang w:bidi="ar"/>
                    </w:rPr>
                  </w:pPr>
                  <w:r>
                    <w:rPr>
                      <w:kern w:val="0"/>
                      <w:sz w:val="18"/>
                      <w:szCs w:val="18"/>
                      <w:lang w:bidi="ar"/>
                    </w:rPr>
                    <w:t>固体</w:t>
                  </w:r>
                </w:p>
              </w:tc>
              <w:tc>
                <w:tcPr>
                  <w:tcW w:w="579" w:type="dxa"/>
                  <w:noWrap w:val="0"/>
                  <w:vAlign w:val="center"/>
                </w:tcPr>
                <w:p>
                  <w:pPr>
                    <w:widowControl/>
                    <w:spacing w:line="360" w:lineRule="auto"/>
                    <w:jc w:val="center"/>
                    <w:textAlignment w:val="center"/>
                    <w:rPr>
                      <w:kern w:val="0"/>
                      <w:sz w:val="18"/>
                      <w:szCs w:val="18"/>
                      <w:lang w:bidi="ar"/>
                    </w:rPr>
                  </w:pPr>
                  <w:r>
                    <w:rPr>
                      <w:kern w:val="0"/>
                      <w:sz w:val="18"/>
                      <w:szCs w:val="18"/>
                      <w:lang w:bidi="ar"/>
                    </w:rPr>
                    <w:t>/</w:t>
                  </w:r>
                </w:p>
              </w:tc>
              <w:tc>
                <w:tcPr>
                  <w:tcW w:w="1273" w:type="dxa"/>
                  <w:noWrap w:val="0"/>
                  <w:vAlign w:val="center"/>
                </w:tcPr>
                <w:p>
                  <w:pPr>
                    <w:widowControl/>
                    <w:spacing w:line="360" w:lineRule="auto"/>
                    <w:jc w:val="center"/>
                    <w:textAlignment w:val="center"/>
                    <w:rPr>
                      <w:kern w:val="0"/>
                      <w:sz w:val="18"/>
                      <w:szCs w:val="18"/>
                      <w:lang w:bidi="ar"/>
                    </w:rPr>
                  </w:pPr>
                  <w:r>
                    <w:rPr>
                      <w:kern w:val="0"/>
                      <w:sz w:val="18"/>
                      <w:szCs w:val="18"/>
                      <w:lang w:bidi="ar"/>
                    </w:rPr>
                    <w:t>一般固废暂存间暂存</w:t>
                  </w:r>
                </w:p>
              </w:tc>
              <w:tc>
                <w:tcPr>
                  <w:tcW w:w="835"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50</w:t>
                  </w:r>
                  <w:r>
                    <w:rPr>
                      <w:rFonts w:ascii="Times New Roman" w:hAnsi="Times New Roman" w:eastAsia="宋体" w:cs="Times New Roman"/>
                      <w:kern w:val="0"/>
                      <w:sz w:val="18"/>
                      <w:szCs w:val="18"/>
                      <w:lang w:bidi="ar"/>
                    </w:rPr>
                    <w:t>t/a</w:t>
                  </w:r>
                </w:p>
              </w:tc>
              <w:tc>
                <w:tcPr>
                  <w:tcW w:w="1145" w:type="dxa"/>
                  <w:noWrap w:val="0"/>
                  <w:vAlign w:val="center"/>
                </w:tcPr>
                <w:p>
                  <w:pPr>
                    <w:widowControl/>
                    <w:jc w:val="center"/>
                    <w:textAlignment w:val="center"/>
                    <w:rPr>
                      <w:rFonts w:hint="eastAsia" w:eastAsia="宋体"/>
                      <w:kern w:val="0"/>
                      <w:sz w:val="18"/>
                      <w:szCs w:val="18"/>
                      <w:lang w:eastAsia="zh-CN" w:bidi="ar"/>
                    </w:rPr>
                  </w:pPr>
                  <w:r>
                    <w:rPr>
                      <w:rFonts w:hint="eastAsia"/>
                      <w:kern w:val="0"/>
                      <w:sz w:val="18"/>
                      <w:szCs w:val="18"/>
                      <w:lang w:eastAsia="zh-CN" w:bidi="ar"/>
                    </w:rPr>
                    <w:t>污泥处置单位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054" w:type="dxa"/>
                  <w:noWrap w:val="0"/>
                  <w:vAlign w:val="center"/>
                </w:tcPr>
                <w:p>
                  <w:pPr>
                    <w:widowControl/>
                    <w:spacing w:line="360" w:lineRule="auto"/>
                    <w:jc w:val="center"/>
                    <w:textAlignment w:val="center"/>
                    <w:rPr>
                      <w:sz w:val="18"/>
                      <w:szCs w:val="18"/>
                    </w:rPr>
                  </w:pPr>
                  <w:r>
                    <w:rPr>
                      <w:kern w:val="0"/>
                      <w:sz w:val="18"/>
                      <w:szCs w:val="18"/>
                      <w:lang w:bidi="ar"/>
                    </w:rPr>
                    <w:t>废润滑油</w:t>
                  </w:r>
                </w:p>
              </w:tc>
              <w:tc>
                <w:tcPr>
                  <w:tcW w:w="912"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0.</w:t>
                  </w:r>
                  <w:r>
                    <w:rPr>
                      <w:rFonts w:hint="eastAsia" w:ascii="Times New Roman" w:hAnsi="Times New Roman" w:eastAsia="宋体" w:cs="Times New Roman"/>
                      <w:kern w:val="0"/>
                      <w:sz w:val="18"/>
                      <w:szCs w:val="18"/>
                      <w:lang w:val="en-US" w:eastAsia="zh-CN" w:bidi="ar"/>
                    </w:rPr>
                    <w:t>1</w:t>
                  </w:r>
                  <w:r>
                    <w:rPr>
                      <w:rFonts w:ascii="Times New Roman" w:hAnsi="Times New Roman" w:eastAsia="宋体" w:cs="Times New Roman"/>
                      <w:kern w:val="0"/>
                      <w:sz w:val="18"/>
                      <w:szCs w:val="18"/>
                      <w:lang w:bidi="ar"/>
                    </w:rPr>
                    <w:t>t/a</w:t>
                  </w:r>
                </w:p>
              </w:tc>
              <w:tc>
                <w:tcPr>
                  <w:tcW w:w="1121" w:type="dxa"/>
                  <w:noWrap w:val="0"/>
                  <w:vAlign w:val="center"/>
                </w:tcPr>
                <w:p>
                  <w:pPr>
                    <w:widowControl/>
                    <w:jc w:val="center"/>
                    <w:textAlignment w:val="center"/>
                    <w:rPr>
                      <w:kern w:val="0"/>
                      <w:sz w:val="18"/>
                      <w:szCs w:val="18"/>
                      <w:lang w:bidi="ar"/>
                    </w:rPr>
                  </w:pPr>
                  <w:r>
                    <w:rPr>
                      <w:kern w:val="0"/>
                      <w:sz w:val="18"/>
                      <w:szCs w:val="18"/>
                      <w:lang w:bidi="ar"/>
                    </w:rPr>
                    <w:t>危险废物</w:t>
                  </w:r>
                </w:p>
                <w:p>
                  <w:pPr>
                    <w:widowControl/>
                    <w:jc w:val="center"/>
                    <w:textAlignment w:val="center"/>
                    <w:rPr>
                      <w:sz w:val="18"/>
                      <w:szCs w:val="18"/>
                    </w:rPr>
                  </w:pPr>
                  <w:r>
                    <w:rPr>
                      <w:kern w:val="0"/>
                      <w:sz w:val="13"/>
                      <w:szCs w:val="13"/>
                      <w:lang w:bidi="ar"/>
                    </w:rPr>
                    <w:t>(HW</w:t>
                  </w:r>
                  <w:r>
                    <w:rPr>
                      <w:rFonts w:hint="eastAsia"/>
                      <w:kern w:val="0"/>
                      <w:sz w:val="13"/>
                      <w:szCs w:val="13"/>
                      <w:lang w:bidi="ar"/>
                    </w:rPr>
                    <w:t>08</w:t>
                  </w:r>
                  <w:r>
                    <w:rPr>
                      <w:kern w:val="0"/>
                      <w:sz w:val="13"/>
                      <w:szCs w:val="13"/>
                      <w:lang w:bidi="ar"/>
                    </w:rPr>
                    <w:t xml:space="preserve"> 900-</w:t>
                  </w:r>
                  <w:r>
                    <w:rPr>
                      <w:rFonts w:hint="eastAsia"/>
                      <w:kern w:val="0"/>
                      <w:sz w:val="13"/>
                      <w:szCs w:val="13"/>
                      <w:lang w:bidi="ar"/>
                    </w:rPr>
                    <w:t>217</w:t>
                  </w:r>
                  <w:r>
                    <w:rPr>
                      <w:kern w:val="0"/>
                      <w:sz w:val="13"/>
                      <w:szCs w:val="13"/>
                      <w:lang w:bidi="ar"/>
                    </w:rPr>
                    <w:t>-</w:t>
                  </w:r>
                  <w:r>
                    <w:rPr>
                      <w:rFonts w:hint="eastAsia"/>
                      <w:kern w:val="0"/>
                      <w:sz w:val="13"/>
                      <w:szCs w:val="13"/>
                      <w:lang w:bidi="ar"/>
                    </w:rPr>
                    <w:t>08</w:t>
                  </w:r>
                  <w:r>
                    <w:rPr>
                      <w:kern w:val="0"/>
                      <w:sz w:val="13"/>
                      <w:szCs w:val="13"/>
                      <w:lang w:bidi="ar"/>
                    </w:rPr>
                    <w:t>)</w:t>
                  </w:r>
                </w:p>
              </w:tc>
              <w:tc>
                <w:tcPr>
                  <w:tcW w:w="886" w:type="dxa"/>
                  <w:noWrap w:val="0"/>
                  <w:vAlign w:val="center"/>
                </w:tcPr>
                <w:p>
                  <w:pPr>
                    <w:widowControl/>
                    <w:spacing w:line="360" w:lineRule="auto"/>
                    <w:jc w:val="center"/>
                    <w:textAlignment w:val="center"/>
                    <w:rPr>
                      <w:sz w:val="18"/>
                      <w:szCs w:val="18"/>
                    </w:rPr>
                  </w:pPr>
                  <w:r>
                    <w:rPr>
                      <w:kern w:val="0"/>
                      <w:sz w:val="18"/>
                      <w:szCs w:val="18"/>
                      <w:lang w:bidi="ar"/>
                    </w:rPr>
                    <w:t>矿物油</w:t>
                  </w:r>
                </w:p>
              </w:tc>
              <w:tc>
                <w:tcPr>
                  <w:tcW w:w="689" w:type="dxa"/>
                  <w:noWrap w:val="0"/>
                  <w:vAlign w:val="center"/>
                </w:tcPr>
                <w:p>
                  <w:pPr>
                    <w:widowControl/>
                    <w:spacing w:line="360" w:lineRule="auto"/>
                    <w:jc w:val="center"/>
                    <w:textAlignment w:val="center"/>
                    <w:rPr>
                      <w:sz w:val="18"/>
                      <w:szCs w:val="18"/>
                    </w:rPr>
                  </w:pPr>
                  <w:r>
                    <w:rPr>
                      <w:kern w:val="0"/>
                      <w:sz w:val="18"/>
                      <w:szCs w:val="18"/>
                      <w:lang w:bidi="ar"/>
                    </w:rPr>
                    <w:t>液态</w:t>
                  </w:r>
                </w:p>
              </w:tc>
              <w:tc>
                <w:tcPr>
                  <w:tcW w:w="579" w:type="dxa"/>
                  <w:noWrap w:val="0"/>
                  <w:vAlign w:val="center"/>
                </w:tcPr>
                <w:p>
                  <w:pPr>
                    <w:spacing w:line="360" w:lineRule="auto"/>
                    <w:jc w:val="center"/>
                    <w:rPr>
                      <w:sz w:val="18"/>
                      <w:szCs w:val="18"/>
                    </w:rPr>
                  </w:pPr>
                  <w:r>
                    <w:rPr>
                      <w:sz w:val="18"/>
                      <w:szCs w:val="18"/>
                    </w:rPr>
                    <w:t>T,I</w:t>
                  </w:r>
                </w:p>
              </w:tc>
              <w:tc>
                <w:tcPr>
                  <w:tcW w:w="1273" w:type="dxa"/>
                  <w:noWrap w:val="0"/>
                  <w:vAlign w:val="center"/>
                </w:tcPr>
                <w:p>
                  <w:pPr>
                    <w:widowControl/>
                    <w:spacing w:line="360" w:lineRule="auto"/>
                    <w:jc w:val="center"/>
                    <w:textAlignment w:val="center"/>
                    <w:rPr>
                      <w:sz w:val="18"/>
                      <w:szCs w:val="18"/>
                    </w:rPr>
                  </w:pPr>
                  <w:r>
                    <w:rPr>
                      <w:kern w:val="0"/>
                      <w:sz w:val="18"/>
                      <w:szCs w:val="18"/>
                      <w:lang w:bidi="ar"/>
                    </w:rPr>
                    <w:t>危废间暂存</w:t>
                  </w:r>
                </w:p>
              </w:tc>
              <w:tc>
                <w:tcPr>
                  <w:tcW w:w="835" w:type="dxa"/>
                  <w:noWrap w:val="0"/>
                  <w:vAlign w:val="center"/>
                </w:tcPr>
                <w:p>
                  <w:pPr>
                    <w:widowControl/>
                    <w:spacing w:line="360" w:lineRule="auto"/>
                    <w:jc w:val="center"/>
                    <w:textAlignment w:val="center"/>
                    <w:rPr>
                      <w:sz w:val="18"/>
                      <w:szCs w:val="18"/>
                    </w:rPr>
                  </w:pPr>
                  <w:r>
                    <w:rPr>
                      <w:rFonts w:ascii="Times New Roman" w:hAnsi="Times New Roman" w:eastAsia="宋体" w:cs="Times New Roman"/>
                      <w:kern w:val="0"/>
                      <w:sz w:val="18"/>
                      <w:szCs w:val="18"/>
                      <w:lang w:bidi="ar"/>
                    </w:rPr>
                    <w:t>0.</w:t>
                  </w:r>
                  <w:r>
                    <w:rPr>
                      <w:rFonts w:hint="eastAsia" w:ascii="Times New Roman" w:hAnsi="Times New Roman" w:eastAsia="宋体" w:cs="Times New Roman"/>
                      <w:kern w:val="0"/>
                      <w:sz w:val="18"/>
                      <w:szCs w:val="18"/>
                      <w:lang w:val="en-US" w:eastAsia="zh-CN" w:bidi="ar"/>
                    </w:rPr>
                    <w:t>1</w:t>
                  </w:r>
                  <w:r>
                    <w:rPr>
                      <w:rFonts w:ascii="Times New Roman" w:hAnsi="Times New Roman" w:eastAsia="宋体" w:cs="Times New Roman"/>
                      <w:kern w:val="0"/>
                      <w:sz w:val="18"/>
                      <w:szCs w:val="18"/>
                      <w:lang w:bidi="ar"/>
                    </w:rPr>
                    <w:t>t/a</w:t>
                  </w:r>
                </w:p>
              </w:tc>
              <w:tc>
                <w:tcPr>
                  <w:tcW w:w="1145" w:type="dxa"/>
                  <w:noWrap w:val="0"/>
                  <w:vAlign w:val="center"/>
                </w:tcPr>
                <w:p>
                  <w:pPr>
                    <w:widowControl/>
                    <w:jc w:val="center"/>
                    <w:textAlignment w:val="center"/>
                    <w:rPr>
                      <w:sz w:val="18"/>
                      <w:szCs w:val="18"/>
                    </w:rPr>
                  </w:pPr>
                  <w:r>
                    <w:rPr>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54" w:type="dxa"/>
                  <w:noWrap w:val="0"/>
                  <w:vAlign w:val="center"/>
                </w:tcPr>
                <w:p>
                  <w:pPr>
                    <w:widowControl/>
                    <w:spacing w:line="360" w:lineRule="auto"/>
                    <w:jc w:val="center"/>
                    <w:textAlignment w:val="center"/>
                    <w:rPr>
                      <w:sz w:val="18"/>
                      <w:szCs w:val="18"/>
                    </w:rPr>
                  </w:pPr>
                  <w:r>
                    <w:rPr>
                      <w:kern w:val="0"/>
                      <w:sz w:val="18"/>
                      <w:szCs w:val="18"/>
                      <w:lang w:bidi="ar"/>
                    </w:rPr>
                    <w:t>废润滑油桶</w:t>
                  </w:r>
                </w:p>
              </w:tc>
              <w:tc>
                <w:tcPr>
                  <w:tcW w:w="912"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0.0</w:t>
                  </w:r>
                  <w:r>
                    <w:rPr>
                      <w:rFonts w:hint="eastAsia" w:ascii="Times New Roman" w:hAnsi="Times New Roman" w:eastAsia="宋体" w:cs="Times New Roman"/>
                      <w:kern w:val="0"/>
                      <w:sz w:val="18"/>
                      <w:szCs w:val="18"/>
                      <w:lang w:val="en-US" w:eastAsia="zh-CN" w:bidi="ar"/>
                    </w:rPr>
                    <w:t>5</w:t>
                  </w:r>
                  <w:r>
                    <w:rPr>
                      <w:rFonts w:ascii="Times New Roman" w:hAnsi="Times New Roman" w:eastAsia="宋体" w:cs="Times New Roman"/>
                      <w:kern w:val="0"/>
                      <w:sz w:val="18"/>
                      <w:szCs w:val="18"/>
                      <w:lang w:bidi="ar"/>
                    </w:rPr>
                    <w:t>t/a</w:t>
                  </w:r>
                </w:p>
              </w:tc>
              <w:tc>
                <w:tcPr>
                  <w:tcW w:w="1121" w:type="dxa"/>
                  <w:noWrap w:val="0"/>
                  <w:vAlign w:val="center"/>
                </w:tcPr>
                <w:p>
                  <w:pPr>
                    <w:widowControl/>
                    <w:jc w:val="center"/>
                    <w:textAlignment w:val="center"/>
                    <w:rPr>
                      <w:kern w:val="0"/>
                      <w:sz w:val="18"/>
                      <w:szCs w:val="18"/>
                      <w:lang w:bidi="ar"/>
                    </w:rPr>
                  </w:pPr>
                  <w:r>
                    <w:rPr>
                      <w:kern w:val="0"/>
                      <w:sz w:val="18"/>
                      <w:szCs w:val="18"/>
                      <w:lang w:bidi="ar"/>
                    </w:rPr>
                    <w:t>危险废物</w:t>
                  </w:r>
                </w:p>
                <w:p>
                  <w:pPr>
                    <w:widowControl/>
                    <w:spacing w:line="360" w:lineRule="auto"/>
                    <w:jc w:val="center"/>
                    <w:textAlignment w:val="center"/>
                    <w:rPr>
                      <w:sz w:val="18"/>
                      <w:szCs w:val="18"/>
                    </w:rPr>
                  </w:pPr>
                  <w:r>
                    <w:rPr>
                      <w:kern w:val="0"/>
                      <w:sz w:val="13"/>
                      <w:szCs w:val="13"/>
                      <w:lang w:bidi="ar"/>
                    </w:rPr>
                    <w:t>(HW08 900-</w:t>
                  </w:r>
                  <w:r>
                    <w:rPr>
                      <w:rFonts w:hint="eastAsia"/>
                      <w:kern w:val="0"/>
                      <w:sz w:val="13"/>
                      <w:szCs w:val="13"/>
                      <w:lang w:bidi="ar"/>
                    </w:rPr>
                    <w:t>249</w:t>
                  </w:r>
                  <w:r>
                    <w:rPr>
                      <w:kern w:val="0"/>
                      <w:sz w:val="13"/>
                      <w:szCs w:val="13"/>
                      <w:lang w:bidi="ar"/>
                    </w:rPr>
                    <w:t>-08)</w:t>
                  </w:r>
                </w:p>
              </w:tc>
              <w:tc>
                <w:tcPr>
                  <w:tcW w:w="886" w:type="dxa"/>
                  <w:noWrap w:val="0"/>
                  <w:vAlign w:val="center"/>
                </w:tcPr>
                <w:p>
                  <w:pPr>
                    <w:widowControl/>
                    <w:spacing w:line="360" w:lineRule="auto"/>
                    <w:jc w:val="center"/>
                    <w:textAlignment w:val="center"/>
                    <w:rPr>
                      <w:sz w:val="18"/>
                      <w:szCs w:val="18"/>
                    </w:rPr>
                  </w:pPr>
                  <w:r>
                    <w:rPr>
                      <w:kern w:val="0"/>
                      <w:sz w:val="18"/>
                      <w:szCs w:val="18"/>
                      <w:lang w:bidi="ar"/>
                    </w:rPr>
                    <w:t>矿物油</w:t>
                  </w:r>
                </w:p>
              </w:tc>
              <w:tc>
                <w:tcPr>
                  <w:tcW w:w="689" w:type="dxa"/>
                  <w:noWrap w:val="0"/>
                  <w:vAlign w:val="center"/>
                </w:tcPr>
                <w:p>
                  <w:pPr>
                    <w:widowControl/>
                    <w:spacing w:line="360" w:lineRule="auto"/>
                    <w:jc w:val="center"/>
                    <w:textAlignment w:val="center"/>
                    <w:rPr>
                      <w:sz w:val="18"/>
                      <w:szCs w:val="18"/>
                    </w:rPr>
                  </w:pPr>
                  <w:r>
                    <w:rPr>
                      <w:kern w:val="0"/>
                      <w:sz w:val="18"/>
                      <w:szCs w:val="18"/>
                      <w:lang w:bidi="ar"/>
                    </w:rPr>
                    <w:t>固体</w:t>
                  </w:r>
                </w:p>
              </w:tc>
              <w:tc>
                <w:tcPr>
                  <w:tcW w:w="579" w:type="dxa"/>
                  <w:noWrap w:val="0"/>
                  <w:vAlign w:val="center"/>
                </w:tcPr>
                <w:p>
                  <w:pPr>
                    <w:spacing w:line="360" w:lineRule="auto"/>
                    <w:jc w:val="center"/>
                    <w:rPr>
                      <w:sz w:val="18"/>
                      <w:szCs w:val="18"/>
                    </w:rPr>
                  </w:pPr>
                  <w:r>
                    <w:rPr>
                      <w:sz w:val="18"/>
                      <w:szCs w:val="18"/>
                    </w:rPr>
                    <w:t>T,I</w:t>
                  </w:r>
                </w:p>
              </w:tc>
              <w:tc>
                <w:tcPr>
                  <w:tcW w:w="1273" w:type="dxa"/>
                  <w:noWrap w:val="0"/>
                  <w:vAlign w:val="center"/>
                </w:tcPr>
                <w:p>
                  <w:pPr>
                    <w:widowControl/>
                    <w:spacing w:line="360" w:lineRule="auto"/>
                    <w:jc w:val="center"/>
                    <w:textAlignment w:val="center"/>
                    <w:rPr>
                      <w:sz w:val="18"/>
                      <w:szCs w:val="18"/>
                    </w:rPr>
                  </w:pPr>
                  <w:r>
                    <w:rPr>
                      <w:kern w:val="0"/>
                      <w:sz w:val="18"/>
                      <w:szCs w:val="18"/>
                      <w:lang w:bidi="ar"/>
                    </w:rPr>
                    <w:t>危废间暂存</w:t>
                  </w:r>
                </w:p>
              </w:tc>
              <w:tc>
                <w:tcPr>
                  <w:tcW w:w="835" w:type="dxa"/>
                  <w:noWrap w:val="0"/>
                  <w:vAlign w:val="center"/>
                </w:tcPr>
                <w:p>
                  <w:pPr>
                    <w:widowControl/>
                    <w:spacing w:line="360" w:lineRule="auto"/>
                    <w:jc w:val="center"/>
                    <w:textAlignment w:val="center"/>
                    <w:rPr>
                      <w:sz w:val="18"/>
                      <w:szCs w:val="18"/>
                    </w:rPr>
                  </w:pPr>
                  <w:r>
                    <w:rPr>
                      <w:rFonts w:ascii="Times New Roman" w:hAnsi="Times New Roman" w:eastAsia="宋体" w:cs="Times New Roman"/>
                      <w:kern w:val="0"/>
                      <w:sz w:val="18"/>
                      <w:szCs w:val="18"/>
                      <w:lang w:bidi="ar"/>
                    </w:rPr>
                    <w:t>0.0</w:t>
                  </w:r>
                  <w:r>
                    <w:rPr>
                      <w:rFonts w:hint="eastAsia" w:ascii="Times New Roman" w:hAnsi="Times New Roman" w:eastAsia="宋体" w:cs="Times New Roman"/>
                      <w:kern w:val="0"/>
                      <w:sz w:val="18"/>
                      <w:szCs w:val="18"/>
                      <w:lang w:val="en-US" w:eastAsia="zh-CN" w:bidi="ar"/>
                    </w:rPr>
                    <w:t>5</w:t>
                  </w:r>
                  <w:r>
                    <w:rPr>
                      <w:rFonts w:ascii="Times New Roman" w:hAnsi="Times New Roman" w:eastAsia="宋体" w:cs="Times New Roman"/>
                      <w:kern w:val="0"/>
                      <w:sz w:val="18"/>
                      <w:szCs w:val="18"/>
                      <w:lang w:bidi="ar"/>
                    </w:rPr>
                    <w:t>t/a</w:t>
                  </w:r>
                </w:p>
              </w:tc>
              <w:tc>
                <w:tcPr>
                  <w:tcW w:w="1145" w:type="dxa"/>
                  <w:noWrap w:val="0"/>
                  <w:vAlign w:val="center"/>
                </w:tcPr>
                <w:p>
                  <w:pPr>
                    <w:widowControl/>
                    <w:jc w:val="center"/>
                    <w:textAlignment w:val="center"/>
                    <w:rPr>
                      <w:sz w:val="18"/>
                      <w:szCs w:val="18"/>
                    </w:rPr>
                  </w:pPr>
                  <w:r>
                    <w:rPr>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1054" w:type="dxa"/>
                  <w:noWrap w:val="0"/>
                  <w:vAlign w:val="center"/>
                </w:tcPr>
                <w:p>
                  <w:pPr>
                    <w:widowControl/>
                    <w:spacing w:line="360" w:lineRule="auto"/>
                    <w:jc w:val="center"/>
                    <w:textAlignment w:val="center"/>
                    <w:rPr>
                      <w:sz w:val="18"/>
                      <w:szCs w:val="18"/>
                    </w:rPr>
                  </w:pPr>
                  <w:r>
                    <w:rPr>
                      <w:kern w:val="0"/>
                      <w:sz w:val="18"/>
                      <w:szCs w:val="18"/>
                      <w:lang w:bidi="ar"/>
                    </w:rPr>
                    <w:t>废含油手套及抹布</w:t>
                  </w:r>
                </w:p>
              </w:tc>
              <w:tc>
                <w:tcPr>
                  <w:tcW w:w="912"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ascii="Times New Roman" w:hAnsi="Times New Roman" w:eastAsia="宋体" w:cs="Times New Roman"/>
                      <w:kern w:val="0"/>
                      <w:sz w:val="18"/>
                      <w:szCs w:val="18"/>
                      <w:lang w:bidi="ar"/>
                    </w:rPr>
                    <w:t>0.01t/a</w:t>
                  </w:r>
                </w:p>
              </w:tc>
              <w:tc>
                <w:tcPr>
                  <w:tcW w:w="1121" w:type="dxa"/>
                  <w:noWrap w:val="0"/>
                  <w:vAlign w:val="center"/>
                </w:tcPr>
                <w:p>
                  <w:pPr>
                    <w:widowControl/>
                    <w:jc w:val="center"/>
                    <w:textAlignment w:val="center"/>
                    <w:rPr>
                      <w:kern w:val="0"/>
                      <w:sz w:val="18"/>
                      <w:szCs w:val="18"/>
                      <w:lang w:bidi="ar"/>
                    </w:rPr>
                  </w:pPr>
                  <w:r>
                    <w:rPr>
                      <w:kern w:val="0"/>
                      <w:sz w:val="18"/>
                      <w:szCs w:val="18"/>
                      <w:lang w:bidi="ar"/>
                    </w:rPr>
                    <w:t>危险废物</w:t>
                  </w:r>
                </w:p>
                <w:p>
                  <w:pPr>
                    <w:widowControl/>
                    <w:jc w:val="center"/>
                    <w:textAlignment w:val="center"/>
                    <w:rPr>
                      <w:sz w:val="18"/>
                      <w:szCs w:val="18"/>
                    </w:rPr>
                  </w:pPr>
                  <w:r>
                    <w:rPr>
                      <w:kern w:val="0"/>
                      <w:sz w:val="13"/>
                      <w:szCs w:val="13"/>
                      <w:lang w:bidi="ar"/>
                    </w:rPr>
                    <w:t>(HW49 900-041-49)</w:t>
                  </w:r>
                </w:p>
              </w:tc>
              <w:tc>
                <w:tcPr>
                  <w:tcW w:w="886" w:type="dxa"/>
                  <w:noWrap w:val="0"/>
                  <w:vAlign w:val="center"/>
                </w:tcPr>
                <w:p>
                  <w:pPr>
                    <w:widowControl/>
                    <w:spacing w:line="360" w:lineRule="auto"/>
                    <w:jc w:val="center"/>
                    <w:textAlignment w:val="center"/>
                    <w:rPr>
                      <w:sz w:val="18"/>
                      <w:szCs w:val="18"/>
                    </w:rPr>
                  </w:pPr>
                  <w:r>
                    <w:rPr>
                      <w:kern w:val="0"/>
                      <w:sz w:val="18"/>
                      <w:szCs w:val="18"/>
                      <w:lang w:bidi="ar"/>
                    </w:rPr>
                    <w:t>矿物油</w:t>
                  </w:r>
                </w:p>
              </w:tc>
              <w:tc>
                <w:tcPr>
                  <w:tcW w:w="689" w:type="dxa"/>
                  <w:noWrap w:val="0"/>
                  <w:vAlign w:val="center"/>
                </w:tcPr>
                <w:p>
                  <w:pPr>
                    <w:widowControl/>
                    <w:spacing w:line="360" w:lineRule="auto"/>
                    <w:jc w:val="center"/>
                    <w:textAlignment w:val="center"/>
                    <w:rPr>
                      <w:sz w:val="18"/>
                      <w:szCs w:val="18"/>
                    </w:rPr>
                  </w:pPr>
                  <w:r>
                    <w:rPr>
                      <w:kern w:val="0"/>
                      <w:sz w:val="18"/>
                      <w:szCs w:val="18"/>
                      <w:lang w:bidi="ar"/>
                    </w:rPr>
                    <w:t>固体</w:t>
                  </w:r>
                </w:p>
              </w:tc>
              <w:tc>
                <w:tcPr>
                  <w:tcW w:w="579" w:type="dxa"/>
                  <w:noWrap w:val="0"/>
                  <w:vAlign w:val="center"/>
                </w:tcPr>
                <w:p>
                  <w:pPr>
                    <w:spacing w:line="360" w:lineRule="auto"/>
                    <w:jc w:val="center"/>
                    <w:rPr>
                      <w:sz w:val="18"/>
                      <w:szCs w:val="18"/>
                    </w:rPr>
                  </w:pPr>
                  <w:r>
                    <w:rPr>
                      <w:sz w:val="18"/>
                      <w:szCs w:val="18"/>
                    </w:rPr>
                    <w:t>T,In</w:t>
                  </w:r>
                </w:p>
              </w:tc>
              <w:tc>
                <w:tcPr>
                  <w:tcW w:w="1273" w:type="dxa"/>
                  <w:noWrap w:val="0"/>
                  <w:vAlign w:val="center"/>
                </w:tcPr>
                <w:p>
                  <w:pPr>
                    <w:widowControl/>
                    <w:spacing w:line="360" w:lineRule="auto"/>
                    <w:jc w:val="center"/>
                    <w:textAlignment w:val="center"/>
                    <w:rPr>
                      <w:sz w:val="18"/>
                      <w:szCs w:val="18"/>
                    </w:rPr>
                  </w:pPr>
                  <w:r>
                    <w:rPr>
                      <w:kern w:val="0"/>
                      <w:sz w:val="18"/>
                      <w:szCs w:val="18"/>
                      <w:lang w:bidi="ar"/>
                    </w:rPr>
                    <w:t>危废间暂存</w:t>
                  </w:r>
                </w:p>
              </w:tc>
              <w:tc>
                <w:tcPr>
                  <w:tcW w:w="835" w:type="dxa"/>
                  <w:noWrap w:val="0"/>
                  <w:vAlign w:val="center"/>
                </w:tcPr>
                <w:p>
                  <w:pPr>
                    <w:widowControl/>
                    <w:spacing w:line="360" w:lineRule="auto"/>
                    <w:jc w:val="center"/>
                    <w:textAlignment w:val="center"/>
                    <w:rPr>
                      <w:sz w:val="18"/>
                      <w:szCs w:val="18"/>
                    </w:rPr>
                  </w:pPr>
                  <w:r>
                    <w:rPr>
                      <w:rFonts w:ascii="Times New Roman" w:hAnsi="Times New Roman" w:eastAsia="宋体" w:cs="Times New Roman"/>
                      <w:kern w:val="0"/>
                      <w:sz w:val="18"/>
                      <w:szCs w:val="18"/>
                      <w:lang w:bidi="ar"/>
                    </w:rPr>
                    <w:t>0.01t/a</w:t>
                  </w:r>
                </w:p>
              </w:tc>
              <w:tc>
                <w:tcPr>
                  <w:tcW w:w="1145" w:type="dxa"/>
                  <w:noWrap w:val="0"/>
                  <w:vAlign w:val="center"/>
                </w:tcPr>
                <w:p>
                  <w:pPr>
                    <w:widowControl/>
                    <w:jc w:val="center"/>
                    <w:textAlignment w:val="center"/>
                    <w:rPr>
                      <w:sz w:val="18"/>
                      <w:szCs w:val="18"/>
                    </w:rPr>
                  </w:pPr>
                  <w:r>
                    <w:rPr>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054" w:type="dxa"/>
                  <w:noWrap w:val="0"/>
                  <w:vAlign w:val="center"/>
                </w:tcPr>
                <w:p>
                  <w:pPr>
                    <w:widowControl/>
                    <w:spacing w:line="360" w:lineRule="auto"/>
                    <w:jc w:val="center"/>
                    <w:textAlignment w:val="center"/>
                    <w:rPr>
                      <w:kern w:val="0"/>
                      <w:sz w:val="18"/>
                      <w:szCs w:val="18"/>
                      <w:lang w:bidi="ar"/>
                    </w:rPr>
                  </w:pPr>
                  <w:r>
                    <w:rPr>
                      <w:kern w:val="0"/>
                      <w:sz w:val="18"/>
                      <w:szCs w:val="18"/>
                      <w:lang w:bidi="ar"/>
                    </w:rPr>
                    <w:t>废活性炭</w:t>
                  </w:r>
                </w:p>
              </w:tc>
              <w:tc>
                <w:tcPr>
                  <w:tcW w:w="912"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hint="eastAsia" w:cs="Times New Roman"/>
                      <w:kern w:val="0"/>
                      <w:sz w:val="18"/>
                      <w:szCs w:val="18"/>
                      <w:lang w:val="en-US" w:eastAsia="zh-CN" w:bidi="ar"/>
                    </w:rPr>
                    <w:t>8.14</w:t>
                  </w:r>
                  <w:r>
                    <w:rPr>
                      <w:rFonts w:ascii="Times New Roman" w:hAnsi="Times New Roman" w:eastAsia="宋体" w:cs="Times New Roman"/>
                      <w:kern w:val="0"/>
                      <w:sz w:val="18"/>
                      <w:szCs w:val="18"/>
                      <w:lang w:bidi="ar"/>
                    </w:rPr>
                    <w:t>t/a</w:t>
                  </w:r>
                </w:p>
              </w:tc>
              <w:tc>
                <w:tcPr>
                  <w:tcW w:w="1121" w:type="dxa"/>
                  <w:noWrap w:val="0"/>
                  <w:vAlign w:val="center"/>
                </w:tcPr>
                <w:p>
                  <w:pPr>
                    <w:widowControl/>
                    <w:jc w:val="center"/>
                    <w:textAlignment w:val="center"/>
                    <w:rPr>
                      <w:kern w:val="0"/>
                      <w:sz w:val="18"/>
                      <w:szCs w:val="18"/>
                      <w:lang w:bidi="ar"/>
                    </w:rPr>
                  </w:pPr>
                  <w:r>
                    <w:rPr>
                      <w:kern w:val="0"/>
                      <w:sz w:val="18"/>
                      <w:szCs w:val="18"/>
                      <w:lang w:bidi="ar"/>
                    </w:rPr>
                    <w:t>危险废物</w:t>
                  </w:r>
                </w:p>
                <w:p>
                  <w:pPr>
                    <w:widowControl/>
                    <w:jc w:val="center"/>
                    <w:textAlignment w:val="center"/>
                    <w:rPr>
                      <w:kern w:val="0"/>
                      <w:sz w:val="13"/>
                      <w:szCs w:val="13"/>
                      <w:lang w:bidi="ar"/>
                    </w:rPr>
                  </w:pPr>
                  <w:r>
                    <w:rPr>
                      <w:kern w:val="0"/>
                      <w:sz w:val="13"/>
                      <w:szCs w:val="13"/>
                      <w:lang w:bidi="ar"/>
                    </w:rPr>
                    <w:t>(HW49 900-039-49)</w:t>
                  </w:r>
                </w:p>
              </w:tc>
              <w:tc>
                <w:tcPr>
                  <w:tcW w:w="886" w:type="dxa"/>
                  <w:noWrap w:val="0"/>
                  <w:vAlign w:val="center"/>
                </w:tcPr>
                <w:p>
                  <w:pPr>
                    <w:widowControl/>
                    <w:spacing w:line="360" w:lineRule="auto"/>
                    <w:jc w:val="center"/>
                    <w:textAlignment w:val="center"/>
                    <w:rPr>
                      <w:kern w:val="0"/>
                      <w:sz w:val="18"/>
                      <w:szCs w:val="18"/>
                      <w:lang w:bidi="ar"/>
                    </w:rPr>
                  </w:pPr>
                  <w:r>
                    <w:rPr>
                      <w:kern w:val="0"/>
                      <w:sz w:val="18"/>
                      <w:szCs w:val="18"/>
                      <w:lang w:bidi="ar"/>
                    </w:rPr>
                    <w:t>VOC</w:t>
                  </w:r>
                </w:p>
              </w:tc>
              <w:tc>
                <w:tcPr>
                  <w:tcW w:w="689" w:type="dxa"/>
                  <w:noWrap w:val="0"/>
                  <w:vAlign w:val="center"/>
                </w:tcPr>
                <w:p>
                  <w:pPr>
                    <w:widowControl/>
                    <w:spacing w:line="360" w:lineRule="auto"/>
                    <w:jc w:val="center"/>
                    <w:textAlignment w:val="center"/>
                    <w:rPr>
                      <w:kern w:val="0"/>
                      <w:sz w:val="18"/>
                      <w:szCs w:val="18"/>
                      <w:lang w:bidi="ar"/>
                    </w:rPr>
                  </w:pPr>
                  <w:r>
                    <w:rPr>
                      <w:kern w:val="0"/>
                      <w:sz w:val="18"/>
                      <w:szCs w:val="18"/>
                      <w:lang w:bidi="ar"/>
                    </w:rPr>
                    <w:t>固体</w:t>
                  </w:r>
                </w:p>
              </w:tc>
              <w:tc>
                <w:tcPr>
                  <w:tcW w:w="579" w:type="dxa"/>
                  <w:noWrap w:val="0"/>
                  <w:vAlign w:val="center"/>
                </w:tcPr>
                <w:p>
                  <w:pPr>
                    <w:spacing w:line="360" w:lineRule="auto"/>
                    <w:jc w:val="center"/>
                    <w:rPr>
                      <w:sz w:val="18"/>
                      <w:szCs w:val="18"/>
                    </w:rPr>
                  </w:pPr>
                  <w:r>
                    <w:rPr>
                      <w:sz w:val="18"/>
                      <w:szCs w:val="18"/>
                    </w:rPr>
                    <w:t>T</w:t>
                  </w:r>
                </w:p>
              </w:tc>
              <w:tc>
                <w:tcPr>
                  <w:tcW w:w="1273" w:type="dxa"/>
                  <w:noWrap w:val="0"/>
                  <w:vAlign w:val="center"/>
                </w:tcPr>
                <w:p>
                  <w:pPr>
                    <w:widowControl/>
                    <w:spacing w:line="360" w:lineRule="auto"/>
                    <w:jc w:val="center"/>
                    <w:textAlignment w:val="center"/>
                    <w:rPr>
                      <w:kern w:val="0"/>
                      <w:sz w:val="18"/>
                      <w:szCs w:val="18"/>
                      <w:lang w:bidi="ar"/>
                    </w:rPr>
                  </w:pPr>
                  <w:r>
                    <w:rPr>
                      <w:kern w:val="0"/>
                      <w:sz w:val="18"/>
                      <w:szCs w:val="18"/>
                      <w:lang w:bidi="ar"/>
                    </w:rPr>
                    <w:t>危废间暂存</w:t>
                  </w:r>
                </w:p>
              </w:tc>
              <w:tc>
                <w:tcPr>
                  <w:tcW w:w="835" w:type="dxa"/>
                  <w:noWrap w:val="0"/>
                  <w:vAlign w:val="center"/>
                </w:tcPr>
                <w:p>
                  <w:pPr>
                    <w:widowControl/>
                    <w:spacing w:line="360" w:lineRule="auto"/>
                    <w:jc w:val="center"/>
                    <w:textAlignment w:val="center"/>
                    <w:rPr>
                      <w:kern w:val="0"/>
                      <w:sz w:val="18"/>
                      <w:szCs w:val="18"/>
                      <w:lang w:bidi="ar"/>
                    </w:rPr>
                  </w:pPr>
                  <w:r>
                    <w:rPr>
                      <w:rFonts w:hint="eastAsia" w:cs="Times New Roman"/>
                      <w:kern w:val="0"/>
                      <w:sz w:val="18"/>
                      <w:szCs w:val="18"/>
                      <w:lang w:val="en-US" w:eastAsia="zh-CN" w:bidi="ar"/>
                    </w:rPr>
                    <w:t>8.14</w:t>
                  </w:r>
                  <w:r>
                    <w:rPr>
                      <w:rFonts w:ascii="Times New Roman" w:hAnsi="Times New Roman" w:eastAsia="宋体" w:cs="Times New Roman"/>
                      <w:kern w:val="0"/>
                      <w:sz w:val="18"/>
                      <w:szCs w:val="18"/>
                      <w:lang w:bidi="ar"/>
                    </w:rPr>
                    <w:t>t/a</w:t>
                  </w:r>
                </w:p>
              </w:tc>
              <w:tc>
                <w:tcPr>
                  <w:tcW w:w="1145" w:type="dxa"/>
                  <w:noWrap w:val="0"/>
                  <w:vAlign w:val="center"/>
                </w:tcPr>
                <w:p>
                  <w:pPr>
                    <w:widowControl/>
                    <w:jc w:val="center"/>
                    <w:textAlignment w:val="center"/>
                    <w:rPr>
                      <w:kern w:val="0"/>
                      <w:sz w:val="18"/>
                      <w:szCs w:val="18"/>
                      <w:lang w:bidi="ar"/>
                    </w:rPr>
                  </w:pPr>
                  <w:r>
                    <w:rPr>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054" w:type="dxa"/>
                  <w:noWrap w:val="0"/>
                  <w:vAlign w:val="center"/>
                </w:tcPr>
                <w:p>
                  <w:pPr>
                    <w:widowControl/>
                    <w:spacing w:line="360" w:lineRule="auto"/>
                    <w:jc w:val="center"/>
                    <w:textAlignment w:val="center"/>
                    <w:rPr>
                      <w:rFonts w:hint="default" w:eastAsia="宋体"/>
                      <w:kern w:val="0"/>
                      <w:sz w:val="18"/>
                      <w:szCs w:val="18"/>
                      <w:lang w:val="en-US" w:eastAsia="zh-CN" w:bidi="ar"/>
                    </w:rPr>
                  </w:pPr>
                  <w:r>
                    <w:rPr>
                      <w:rFonts w:hint="eastAsia"/>
                      <w:kern w:val="0"/>
                      <w:sz w:val="18"/>
                      <w:szCs w:val="18"/>
                      <w:lang w:val="en-US" w:eastAsia="zh-CN" w:bidi="ar"/>
                    </w:rPr>
                    <w:t>废过滤棉</w:t>
                  </w:r>
                </w:p>
              </w:tc>
              <w:tc>
                <w:tcPr>
                  <w:tcW w:w="912" w:type="dxa"/>
                  <w:noWrap w:val="0"/>
                  <w:vAlign w:val="center"/>
                </w:tcPr>
                <w:p>
                  <w:pPr>
                    <w:widowControl/>
                    <w:spacing w:line="360" w:lineRule="auto"/>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0.01t/a</w:t>
                  </w:r>
                </w:p>
              </w:tc>
              <w:tc>
                <w:tcPr>
                  <w:tcW w:w="1121" w:type="dxa"/>
                  <w:noWrap w:val="0"/>
                  <w:vAlign w:val="center"/>
                </w:tcPr>
                <w:p>
                  <w:pPr>
                    <w:widowControl/>
                    <w:jc w:val="center"/>
                    <w:textAlignment w:val="center"/>
                    <w:rPr>
                      <w:kern w:val="0"/>
                      <w:sz w:val="18"/>
                      <w:szCs w:val="18"/>
                      <w:lang w:bidi="ar"/>
                    </w:rPr>
                  </w:pPr>
                  <w:r>
                    <w:rPr>
                      <w:kern w:val="0"/>
                      <w:sz w:val="18"/>
                      <w:szCs w:val="18"/>
                      <w:lang w:bidi="ar"/>
                    </w:rPr>
                    <w:t>危险废物</w:t>
                  </w:r>
                </w:p>
                <w:p>
                  <w:pPr>
                    <w:widowControl/>
                    <w:jc w:val="center"/>
                    <w:textAlignment w:val="center"/>
                    <w:rPr>
                      <w:kern w:val="0"/>
                      <w:sz w:val="13"/>
                      <w:szCs w:val="13"/>
                      <w:lang w:bidi="ar"/>
                    </w:rPr>
                  </w:pPr>
                  <w:r>
                    <w:rPr>
                      <w:kern w:val="0"/>
                      <w:sz w:val="13"/>
                      <w:szCs w:val="13"/>
                      <w:lang w:bidi="ar"/>
                    </w:rPr>
                    <w:t>(HW49 900-041-49)</w:t>
                  </w:r>
                </w:p>
              </w:tc>
              <w:tc>
                <w:tcPr>
                  <w:tcW w:w="886" w:type="dxa"/>
                  <w:noWrap w:val="0"/>
                  <w:vAlign w:val="center"/>
                </w:tcPr>
                <w:p>
                  <w:pPr>
                    <w:widowControl/>
                    <w:spacing w:line="360" w:lineRule="auto"/>
                    <w:jc w:val="center"/>
                    <w:textAlignment w:val="center"/>
                    <w:rPr>
                      <w:kern w:val="0"/>
                      <w:sz w:val="18"/>
                      <w:szCs w:val="18"/>
                      <w:lang w:bidi="ar"/>
                    </w:rPr>
                  </w:pPr>
                  <w:r>
                    <w:rPr>
                      <w:kern w:val="0"/>
                      <w:sz w:val="18"/>
                      <w:szCs w:val="18"/>
                      <w:lang w:bidi="ar"/>
                    </w:rPr>
                    <w:t>VOC</w:t>
                  </w:r>
                </w:p>
              </w:tc>
              <w:tc>
                <w:tcPr>
                  <w:tcW w:w="689" w:type="dxa"/>
                  <w:noWrap w:val="0"/>
                  <w:vAlign w:val="center"/>
                </w:tcPr>
                <w:p>
                  <w:pPr>
                    <w:widowControl/>
                    <w:spacing w:line="360" w:lineRule="auto"/>
                    <w:jc w:val="center"/>
                    <w:textAlignment w:val="center"/>
                    <w:rPr>
                      <w:kern w:val="0"/>
                      <w:sz w:val="18"/>
                      <w:szCs w:val="18"/>
                      <w:lang w:bidi="ar"/>
                    </w:rPr>
                  </w:pPr>
                  <w:r>
                    <w:rPr>
                      <w:kern w:val="0"/>
                      <w:sz w:val="18"/>
                      <w:szCs w:val="18"/>
                      <w:lang w:bidi="ar"/>
                    </w:rPr>
                    <w:t>固体</w:t>
                  </w:r>
                </w:p>
              </w:tc>
              <w:tc>
                <w:tcPr>
                  <w:tcW w:w="579" w:type="dxa"/>
                  <w:noWrap w:val="0"/>
                  <w:vAlign w:val="center"/>
                </w:tcPr>
                <w:p>
                  <w:pPr>
                    <w:spacing w:line="360" w:lineRule="auto"/>
                    <w:jc w:val="center"/>
                    <w:rPr>
                      <w:sz w:val="18"/>
                      <w:szCs w:val="18"/>
                    </w:rPr>
                  </w:pPr>
                  <w:r>
                    <w:rPr>
                      <w:sz w:val="18"/>
                      <w:szCs w:val="18"/>
                    </w:rPr>
                    <w:t>T,In</w:t>
                  </w:r>
                </w:p>
              </w:tc>
              <w:tc>
                <w:tcPr>
                  <w:tcW w:w="1273" w:type="dxa"/>
                  <w:noWrap w:val="0"/>
                  <w:vAlign w:val="center"/>
                </w:tcPr>
                <w:p>
                  <w:pPr>
                    <w:widowControl/>
                    <w:spacing w:line="360" w:lineRule="auto"/>
                    <w:jc w:val="center"/>
                    <w:textAlignment w:val="center"/>
                    <w:rPr>
                      <w:kern w:val="0"/>
                      <w:sz w:val="18"/>
                      <w:szCs w:val="18"/>
                      <w:lang w:bidi="ar"/>
                    </w:rPr>
                  </w:pPr>
                  <w:r>
                    <w:rPr>
                      <w:kern w:val="0"/>
                      <w:sz w:val="18"/>
                      <w:szCs w:val="18"/>
                      <w:lang w:bidi="ar"/>
                    </w:rPr>
                    <w:t>危废间暂存</w:t>
                  </w:r>
                </w:p>
              </w:tc>
              <w:tc>
                <w:tcPr>
                  <w:tcW w:w="835" w:type="dxa"/>
                  <w:noWrap w:val="0"/>
                  <w:vAlign w:val="center"/>
                </w:tcPr>
                <w:p>
                  <w:pPr>
                    <w:widowControl/>
                    <w:spacing w:line="360" w:lineRule="auto"/>
                    <w:jc w:val="center"/>
                    <w:textAlignment w:val="center"/>
                    <w:rPr>
                      <w:rFonts w:hint="eastAsia"/>
                      <w:kern w:val="0"/>
                      <w:sz w:val="18"/>
                      <w:szCs w:val="18"/>
                      <w:lang w:bidi="ar"/>
                    </w:rPr>
                  </w:pPr>
                  <w:r>
                    <w:rPr>
                      <w:rFonts w:hint="eastAsia" w:ascii="Times New Roman" w:hAnsi="Times New Roman" w:eastAsia="宋体" w:cs="Times New Roman"/>
                      <w:kern w:val="0"/>
                      <w:sz w:val="18"/>
                      <w:szCs w:val="18"/>
                      <w:lang w:val="en-US" w:eastAsia="zh-CN" w:bidi="ar"/>
                    </w:rPr>
                    <w:t>0.01t/a</w:t>
                  </w:r>
                </w:p>
              </w:tc>
              <w:tc>
                <w:tcPr>
                  <w:tcW w:w="1145" w:type="dxa"/>
                  <w:noWrap w:val="0"/>
                  <w:vAlign w:val="center"/>
                </w:tcPr>
                <w:p>
                  <w:pPr>
                    <w:widowControl/>
                    <w:jc w:val="center"/>
                    <w:textAlignment w:val="center"/>
                    <w:rPr>
                      <w:kern w:val="0"/>
                      <w:sz w:val="18"/>
                      <w:szCs w:val="18"/>
                      <w:lang w:bidi="ar"/>
                    </w:rPr>
                  </w:pPr>
                  <w:r>
                    <w:rPr>
                      <w:kern w:val="0"/>
                      <w:sz w:val="18"/>
                      <w:szCs w:val="18"/>
                      <w:lang w:bidi="ar"/>
                    </w:rPr>
                    <w:t>交由资质单位处置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054" w:type="dxa"/>
                  <w:noWrap w:val="0"/>
                  <w:vAlign w:val="center"/>
                </w:tcPr>
                <w:p>
                  <w:pPr>
                    <w:widowControl/>
                    <w:spacing w:line="360" w:lineRule="auto"/>
                    <w:jc w:val="center"/>
                    <w:textAlignment w:val="center"/>
                    <w:rPr>
                      <w:rFonts w:hint="eastAsia"/>
                      <w:kern w:val="0"/>
                      <w:sz w:val="18"/>
                      <w:szCs w:val="18"/>
                      <w:lang w:val="en-US" w:eastAsia="zh-CN" w:bidi="ar"/>
                    </w:rPr>
                  </w:pPr>
                  <w:r>
                    <w:rPr>
                      <w:rFonts w:hint="eastAsia"/>
                      <w:kern w:val="0"/>
                      <w:sz w:val="18"/>
                      <w:szCs w:val="18"/>
                      <w:lang w:val="en-US" w:eastAsia="zh-CN" w:bidi="ar"/>
                    </w:rPr>
                    <w:t>废硫酸包装桶</w:t>
                  </w:r>
                </w:p>
              </w:tc>
              <w:tc>
                <w:tcPr>
                  <w:tcW w:w="912" w:type="dxa"/>
                  <w:noWrap w:val="0"/>
                  <w:vAlign w:val="center"/>
                </w:tcPr>
                <w:p>
                  <w:pPr>
                    <w:widowControl/>
                    <w:spacing w:line="360" w:lineRule="auto"/>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0.1t/a</w:t>
                  </w:r>
                </w:p>
              </w:tc>
              <w:tc>
                <w:tcPr>
                  <w:tcW w:w="1121" w:type="dxa"/>
                  <w:noWrap w:val="0"/>
                  <w:vAlign w:val="center"/>
                </w:tcPr>
                <w:p>
                  <w:pPr>
                    <w:widowControl/>
                    <w:jc w:val="center"/>
                    <w:textAlignment w:val="center"/>
                    <w:rPr>
                      <w:kern w:val="0"/>
                      <w:sz w:val="18"/>
                      <w:szCs w:val="18"/>
                      <w:lang w:bidi="ar"/>
                    </w:rPr>
                  </w:pPr>
                  <w:r>
                    <w:rPr>
                      <w:kern w:val="0"/>
                      <w:sz w:val="18"/>
                      <w:szCs w:val="18"/>
                      <w:lang w:bidi="ar"/>
                    </w:rPr>
                    <w:t>危险废物</w:t>
                  </w:r>
                </w:p>
                <w:p>
                  <w:pPr>
                    <w:widowControl/>
                    <w:jc w:val="center"/>
                    <w:textAlignment w:val="center"/>
                    <w:rPr>
                      <w:kern w:val="0"/>
                      <w:sz w:val="13"/>
                      <w:szCs w:val="13"/>
                      <w:lang w:bidi="ar"/>
                    </w:rPr>
                  </w:pPr>
                  <w:r>
                    <w:rPr>
                      <w:kern w:val="0"/>
                      <w:sz w:val="13"/>
                      <w:szCs w:val="13"/>
                      <w:lang w:bidi="ar"/>
                    </w:rPr>
                    <w:t>(HW49 900-041-49)</w:t>
                  </w:r>
                </w:p>
              </w:tc>
              <w:tc>
                <w:tcPr>
                  <w:tcW w:w="886" w:type="dxa"/>
                  <w:noWrap w:val="0"/>
                  <w:vAlign w:val="center"/>
                </w:tcPr>
                <w:p>
                  <w:pPr>
                    <w:widowControl/>
                    <w:spacing w:line="360" w:lineRule="auto"/>
                    <w:jc w:val="center"/>
                    <w:textAlignment w:val="center"/>
                    <w:rPr>
                      <w:rFonts w:hint="eastAsia" w:eastAsia="宋体"/>
                      <w:kern w:val="0"/>
                      <w:sz w:val="18"/>
                      <w:szCs w:val="18"/>
                      <w:lang w:eastAsia="zh-CN" w:bidi="ar"/>
                    </w:rPr>
                  </w:pPr>
                  <w:r>
                    <w:rPr>
                      <w:rFonts w:hint="eastAsia"/>
                      <w:kern w:val="0"/>
                      <w:sz w:val="18"/>
                      <w:szCs w:val="18"/>
                      <w:lang w:eastAsia="zh-CN" w:bidi="ar"/>
                    </w:rPr>
                    <w:t>硫酸</w:t>
                  </w:r>
                </w:p>
              </w:tc>
              <w:tc>
                <w:tcPr>
                  <w:tcW w:w="689" w:type="dxa"/>
                  <w:noWrap w:val="0"/>
                  <w:vAlign w:val="center"/>
                </w:tcPr>
                <w:p>
                  <w:pPr>
                    <w:widowControl/>
                    <w:spacing w:line="360" w:lineRule="auto"/>
                    <w:jc w:val="center"/>
                    <w:textAlignment w:val="center"/>
                    <w:rPr>
                      <w:kern w:val="0"/>
                      <w:sz w:val="18"/>
                      <w:szCs w:val="18"/>
                      <w:lang w:bidi="ar"/>
                    </w:rPr>
                  </w:pPr>
                  <w:r>
                    <w:rPr>
                      <w:kern w:val="0"/>
                      <w:sz w:val="18"/>
                      <w:szCs w:val="18"/>
                      <w:lang w:bidi="ar"/>
                    </w:rPr>
                    <w:t>固体</w:t>
                  </w:r>
                </w:p>
              </w:tc>
              <w:tc>
                <w:tcPr>
                  <w:tcW w:w="579" w:type="dxa"/>
                  <w:noWrap w:val="0"/>
                  <w:vAlign w:val="center"/>
                </w:tcPr>
                <w:p>
                  <w:pPr>
                    <w:spacing w:line="360" w:lineRule="auto"/>
                    <w:jc w:val="center"/>
                    <w:rPr>
                      <w:sz w:val="18"/>
                      <w:szCs w:val="18"/>
                    </w:rPr>
                  </w:pPr>
                  <w:r>
                    <w:rPr>
                      <w:sz w:val="18"/>
                      <w:szCs w:val="18"/>
                    </w:rPr>
                    <w:t>T,In</w:t>
                  </w:r>
                </w:p>
              </w:tc>
              <w:tc>
                <w:tcPr>
                  <w:tcW w:w="1273" w:type="dxa"/>
                  <w:noWrap w:val="0"/>
                  <w:vAlign w:val="center"/>
                </w:tcPr>
                <w:p>
                  <w:pPr>
                    <w:widowControl/>
                    <w:spacing w:line="360" w:lineRule="auto"/>
                    <w:jc w:val="center"/>
                    <w:textAlignment w:val="center"/>
                    <w:rPr>
                      <w:kern w:val="0"/>
                      <w:sz w:val="18"/>
                      <w:szCs w:val="18"/>
                      <w:lang w:bidi="ar"/>
                    </w:rPr>
                  </w:pPr>
                  <w:r>
                    <w:rPr>
                      <w:kern w:val="0"/>
                      <w:sz w:val="18"/>
                      <w:szCs w:val="18"/>
                      <w:lang w:bidi="ar"/>
                    </w:rPr>
                    <w:t>危废间暂存</w:t>
                  </w:r>
                </w:p>
              </w:tc>
              <w:tc>
                <w:tcPr>
                  <w:tcW w:w="835" w:type="dxa"/>
                  <w:noWrap w:val="0"/>
                  <w:vAlign w:val="center"/>
                </w:tcPr>
                <w:p>
                  <w:pPr>
                    <w:widowControl/>
                    <w:spacing w:line="360" w:lineRule="auto"/>
                    <w:jc w:val="center"/>
                    <w:textAlignment w:val="center"/>
                    <w:rPr>
                      <w:rFonts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0.1t/a</w:t>
                  </w:r>
                </w:p>
              </w:tc>
              <w:tc>
                <w:tcPr>
                  <w:tcW w:w="1145" w:type="dxa"/>
                  <w:noWrap w:val="0"/>
                  <w:vAlign w:val="center"/>
                </w:tcPr>
                <w:p>
                  <w:pPr>
                    <w:widowControl/>
                    <w:jc w:val="center"/>
                    <w:textAlignment w:val="center"/>
                    <w:rPr>
                      <w:kern w:val="0"/>
                      <w:sz w:val="18"/>
                      <w:szCs w:val="18"/>
                      <w:lang w:bidi="ar"/>
                    </w:rPr>
                  </w:pPr>
                  <w:r>
                    <w:rPr>
                      <w:kern w:val="0"/>
                      <w:sz w:val="18"/>
                      <w:szCs w:val="18"/>
                      <w:lang w:bidi="ar"/>
                    </w:rPr>
                    <w:t>交由资质单位处置</w:t>
                  </w:r>
                </w:p>
              </w:tc>
            </w:tr>
          </w:tbl>
          <w:p>
            <w:pPr>
              <w:spacing w:line="420" w:lineRule="auto"/>
              <w:rPr>
                <w:sz w:val="24"/>
                <w:szCs w:val="22"/>
              </w:rPr>
            </w:pPr>
          </w:p>
          <w:p>
            <w:pPr>
              <w:pStyle w:val="2"/>
            </w:pPr>
            <w:r>
              <w:rPr>
                <w:sz w:val="24"/>
                <w:szCs w:val="22"/>
              </w:rPr>
              <w:t xml:space="preserve"> </w:t>
            </w:r>
            <w:r>
              <w:rPr>
                <w:b/>
                <w:bCs/>
                <w:sz w:val="24"/>
                <w:szCs w:val="22"/>
              </w:rPr>
              <w:t xml:space="preserve">  （3）固废环境管理要求</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依据国家相关法律法规，一般固废暂存间采用库房、包装工具（罐、桶、包装袋等）贮存一般工业固体废物的，贮存过程应满足相应防渗漏、防雨淋、防扬尘等环境保护要求；危险废物和生活垃圾不得进入一般工业固体废物贮存场；不相容的一般工业固体废物应设置不同的分区进行贮存；贮存场应设置清晰、完整的一般工业固体废物标志牌等。建设单位生产运营期间一般工业固体废物自行贮存/利用/处置设施的环境管理和相关设施运行维护要求还应符合GB15562.2、GB18599、GB30485 和 HJ2035 等相关标准规范要求，并按照《一般工业固体废物管理台账制定指南（试行）》（生态环境部公告 2021 年 82 号）的相关要求做好一般固废的管理台账，并合法处置一般工业固废。建设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危废暂存间严格按照《危险废物贮存污染控制标准》GB18597-2023 的要求设计，做好防雨、防渗、防腐，防止二次污染并按照《危险废物管理计划和管理台账制定技术导则》HJ1259-2022 的相关要求做好管理计划和台账。</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针对危险废物暂存间的建设要求具体要求如下：</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①贮存设施应根据危险废物的形态、物理化学性质、包装形式和污染物迁移途径，采取必要的防风、防晒、防雨、防漏、防渗、防腐以及其他环境污染防治措施，不应露天堆放危险废物。</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②贮存设施应根据危险废物的类别、数量、形态、物理化学性质和污染防治等要求设置必要的贮存分区，避免不相容的危险废物接触、混合。</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③贮存设施或贮存分区内地面、墙面裙脚、堵截泄漏的围堰、接触危险废物的隔板和墙体等应采用坚固的材料建造，表面无裂缝。</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w:t>
            </w:r>
            <w:r>
              <w:rPr>
                <w:rFonts w:hint="default" w:ascii="Times New Roman" w:hAnsi="Times New Roman" w:cs="Times New Roman"/>
                <w:color w:val="auto"/>
                <w:sz w:val="24"/>
                <w:szCs w:val="22"/>
                <w:vertAlign w:val="superscript"/>
              </w:rPr>
              <w:t>-7</w:t>
            </w:r>
            <w:r>
              <w:rPr>
                <w:rFonts w:hint="default" w:ascii="Times New Roman" w:hAnsi="Times New Roman" w:cs="Times New Roman"/>
                <w:color w:val="auto"/>
                <w:sz w:val="24"/>
                <w:szCs w:val="22"/>
              </w:rPr>
              <w:t xml:space="preserve"> cm/s），或至少 2 mm厚高密度聚乙烯膜等人工防渗材料（渗透系数不大于 10</w:t>
            </w:r>
            <w:r>
              <w:rPr>
                <w:rFonts w:hint="default" w:ascii="Times New Roman" w:hAnsi="Times New Roman" w:cs="Times New Roman"/>
                <w:color w:val="auto"/>
                <w:sz w:val="24"/>
                <w:szCs w:val="22"/>
                <w:vertAlign w:val="superscript"/>
              </w:rPr>
              <w:t>-10</w:t>
            </w:r>
            <w:r>
              <w:rPr>
                <w:rFonts w:hint="default" w:ascii="Times New Roman" w:hAnsi="Times New Roman" w:cs="Times New Roman"/>
                <w:color w:val="auto"/>
                <w:sz w:val="24"/>
                <w:szCs w:val="22"/>
              </w:rPr>
              <w:t xml:space="preserve"> cm/s），或其他防渗性能等效的材料。</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⑥贮存设施应采取技术和管理措施防止无关人员进入。</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危废暂存管理措施：</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针对危废管理，本环评提出以下具体要求：</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危险废物包装容器应达到相应的强度要求并完好无损，禁止混合贮存性质不相容而未经安全性处置的危险废物；危险废物容器和包装物以及危险废物贮存设施、场所应按规定设置危险废物识别标志；仓库式贮存设施应分开存放不相</w:t>
            </w:r>
            <w:r>
              <w:rPr>
                <w:rFonts w:hint="default" w:ascii="Times New Roman" w:hAnsi="Times New Roman" w:cs="Times New Roman"/>
                <w:color w:val="auto"/>
                <w:sz w:val="24"/>
                <w:szCs w:val="22"/>
                <w:lang w:eastAsia="zh-CN"/>
              </w:rPr>
              <w:t>容的</w:t>
            </w:r>
            <w:r>
              <w:rPr>
                <w:rFonts w:hint="default" w:ascii="Times New Roman" w:hAnsi="Times New Roman" w:cs="Times New Roman"/>
                <w:color w:val="auto"/>
                <w:sz w:val="24"/>
                <w:szCs w:val="22"/>
              </w:rPr>
              <w:t>危险废物，按危险废物的种类和特性进行分区贮存，采用防腐、防渗地面和裙脚，设置防止泄漏物质扩散至外环境的拦截、导流、收集设施；贮存堆场要防风、防雨、防晒。建设单位生产运营期间危险废物自行贮存设施的环境管理和相关设施运行维护还应符合 GB15562.2、GB18484、GB18597、GB30485、HJ2025 和 HJ2042 等相关标准规范要求。</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建设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pPr>
              <w:spacing w:line="42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 xml:space="preserve">本项目新危险废物暂存间 1 处，面积约 </w:t>
            </w:r>
            <w:r>
              <w:rPr>
                <w:rFonts w:hint="eastAsia" w:cs="Times New Roman"/>
                <w:color w:val="auto"/>
                <w:sz w:val="24"/>
                <w:szCs w:val="22"/>
                <w:lang w:val="en-US" w:eastAsia="zh-CN"/>
              </w:rPr>
              <w:t>10</w:t>
            </w:r>
            <w:r>
              <w:rPr>
                <w:rFonts w:hint="default" w:ascii="Times New Roman" w:hAnsi="Times New Roman" w:cs="Times New Roman"/>
                <w:color w:val="auto"/>
                <w:sz w:val="24"/>
                <w:szCs w:val="22"/>
              </w:rPr>
              <w:t>平方米，危险废物暂存间为重点防渗区域，建设要求应依据《危险废物贮存污染控制标准》（GB18597-2023）进行。</w:t>
            </w:r>
          </w:p>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b/>
                <w:bCs/>
                <w:color w:val="000000"/>
                <w:kern w:val="0"/>
                <w:sz w:val="24"/>
                <w:szCs w:val="24"/>
                <w:lang w:val="en-US" w:eastAsia="zh-CN" w:bidi="ar"/>
              </w:rPr>
              <w:t>表 4-1</w:t>
            </w:r>
            <w:r>
              <w:rPr>
                <w:rFonts w:hint="eastAsia" w:cs="Times New Roman"/>
                <w:b/>
                <w:bCs/>
                <w:color w:val="000000"/>
                <w:kern w:val="0"/>
                <w:sz w:val="24"/>
                <w:szCs w:val="24"/>
                <w:lang w:val="en-US" w:eastAsia="zh-CN" w:bidi="ar"/>
              </w:rPr>
              <w:t>9</w:t>
            </w:r>
            <w:r>
              <w:rPr>
                <w:rFonts w:hint="default" w:ascii="Times New Roman" w:hAnsi="Times New Roman" w:eastAsia="宋体" w:cs="Times New Roman"/>
                <w:b/>
                <w:bCs/>
                <w:color w:val="000000"/>
                <w:kern w:val="0"/>
                <w:sz w:val="24"/>
                <w:szCs w:val="24"/>
                <w:lang w:val="en-US" w:eastAsia="zh-CN" w:bidi="ar"/>
              </w:rPr>
              <w:t xml:space="preserve"> 本项目危险废物贮存场所（设施）基本情况</w:t>
            </w:r>
          </w:p>
          <w:tbl>
            <w:tblPr>
              <w:tblStyle w:val="24"/>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32"/>
              <w:gridCol w:w="815"/>
              <w:gridCol w:w="810"/>
              <w:gridCol w:w="849"/>
              <w:gridCol w:w="1263"/>
              <w:gridCol w:w="733"/>
              <w:gridCol w:w="934"/>
              <w:gridCol w:w="733"/>
              <w:gridCol w:w="785"/>
              <w:gridCol w:w="8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83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贮存场所（设施）名称</w:t>
                  </w: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废物名称</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危险废物类别</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危险废物代码</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位置</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占地面积（m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贮存方式</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贮存能力</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最长贮存周期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3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危废暂存间（</w:t>
                  </w:r>
                  <w:r>
                    <w:rPr>
                      <w:rFonts w:hint="eastAsia"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lang w:val="en-US" w:eastAsia="zh-CN" w:bidi="ar"/>
                    </w:rPr>
                    <w:t>平方米）</w:t>
                  </w: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废润滑油</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900-217-08</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0.2t</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废润滑油桶</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HW08</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900-249-08</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t</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沾有废油的抹布</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桶装</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5</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kern w:val="2"/>
                      <w:sz w:val="21"/>
                      <w:szCs w:val="21"/>
                      <w:u w:val="none"/>
                      <w:lang w:val="en-US" w:eastAsia="zh-CN" w:bidi="ar-SA"/>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废活性炭</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900-039-49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82"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塑料袋密闭贮存</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2.0</w:t>
                  </w:r>
                  <w:r>
                    <w:rPr>
                      <w:rFonts w:hint="default" w:ascii="Times New Roman" w:hAnsi="Times New Roman" w:eastAsia="宋体" w:cs="Times New Roman"/>
                      <w:i w:val="0"/>
                      <w:iCs w:val="0"/>
                      <w:color w:val="000000"/>
                      <w:kern w:val="0"/>
                      <w:sz w:val="21"/>
                      <w:szCs w:val="21"/>
                      <w:u w:val="none"/>
                      <w:lang w:val="en-US" w:eastAsia="zh-CN" w:bidi="ar"/>
                    </w:rPr>
                    <w:t>t</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5</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废过滤棉</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782"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6</w:t>
                  </w:r>
                </w:p>
              </w:tc>
              <w:tc>
                <w:tcPr>
                  <w:tcW w:w="834" w:type="dxa"/>
                  <w:vMerge w:val="continue"/>
                  <w:tcBorders>
                    <w:tl2br w:val="nil"/>
                    <w:tr2bl w:val="nil"/>
                  </w:tcBorders>
                  <w:noWrap w:val="0"/>
                  <w:vAlign w:val="center"/>
                </w:tcPr>
                <w:p>
                  <w:pPr>
                    <w:jc w:val="center"/>
                    <w:rPr>
                      <w:rFonts w:hint="default" w:ascii="Times New Roman" w:hAnsi="Times New Roman" w:eastAsia="宋体" w:cs="Times New Roman"/>
                      <w:i w:val="0"/>
                      <w:iCs w:val="0"/>
                      <w:color w:val="000000"/>
                      <w:sz w:val="21"/>
                      <w:szCs w:val="21"/>
                      <w:u w:val="none"/>
                    </w:rPr>
                  </w:pPr>
                </w:p>
              </w:tc>
              <w:tc>
                <w:tcPr>
                  <w:tcW w:w="87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废硫酸包装桶</w:t>
                  </w:r>
                </w:p>
              </w:tc>
              <w:tc>
                <w:tcPr>
                  <w:tcW w:w="7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HW49</w:t>
                  </w:r>
                </w:p>
              </w:tc>
              <w:tc>
                <w:tcPr>
                  <w:tcW w:w="10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900-041-49</w:t>
                  </w:r>
                </w:p>
              </w:tc>
              <w:tc>
                <w:tcPr>
                  <w:tcW w:w="7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危废间内</w:t>
                  </w:r>
                </w:p>
              </w:tc>
              <w:tc>
                <w:tcPr>
                  <w:tcW w:w="89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78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w:t>
                  </w:r>
                </w:p>
              </w:tc>
              <w:tc>
                <w:tcPr>
                  <w:tcW w:w="80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1</w:t>
                  </w:r>
                </w:p>
              </w:tc>
              <w:tc>
                <w:tcPr>
                  <w:tcW w:w="9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1年</w:t>
                  </w:r>
                </w:p>
              </w:tc>
            </w:tr>
          </w:tbl>
          <w:p>
            <w:pPr>
              <w:keepNext w:val="0"/>
              <w:keepLines w:val="0"/>
              <w:pageBreakBefore w:val="0"/>
              <w:widowControl w:val="0"/>
              <w:kinsoku/>
              <w:wordWrap/>
              <w:overflowPunct/>
              <w:topLinePunct w:val="0"/>
              <w:autoSpaceDE/>
              <w:autoSpaceDN/>
              <w:bidi w:val="0"/>
              <w:adjustRightInd/>
              <w:snapToGrid/>
              <w:spacing w:before="157" w:beforeLines="50" w:line="42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危废转移要求：</w:t>
            </w:r>
          </w:p>
          <w:p>
            <w:pPr>
              <w:spacing w:line="42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危险废物的转移应严格按照 2021 年 11 月 30 日发布的《危险废物转移管理办法》（生态环境部公安部交通运输部</w:t>
            </w:r>
            <w:r>
              <w:rPr>
                <w:rFonts w:hint="eastAsia" w:cs="Times New Roman"/>
                <w:color w:val="auto"/>
                <w:sz w:val="24"/>
                <w:lang w:val="en-US" w:eastAsia="zh-CN"/>
              </w:rPr>
              <w:t xml:space="preserve"> </w:t>
            </w:r>
            <w:r>
              <w:rPr>
                <w:rFonts w:hint="default" w:ascii="Times New Roman" w:hAnsi="Times New Roman" w:cs="Times New Roman"/>
                <w:color w:val="auto"/>
                <w:sz w:val="24"/>
              </w:rPr>
              <w:t>部令第 23 号）相关要求执行。</w:t>
            </w:r>
          </w:p>
          <w:p>
            <w:pPr>
              <w:spacing w:line="42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本项目固废管理（含一般固废和危险废物）还应及时登录四川政务服务网进入“无废四川”模块填写固废的电子台账及转移信息等。</w:t>
            </w:r>
          </w:p>
          <w:p>
            <w:pPr>
              <w:spacing w:line="420" w:lineRule="auto"/>
              <w:ind w:firstLine="420" w:firstLineChars="200"/>
              <w:rPr>
                <w:color w:val="auto"/>
                <w:highlight w:val="none"/>
              </w:rPr>
            </w:pPr>
          </w:p>
          <w:p>
            <w:pPr>
              <w:spacing w:line="360" w:lineRule="auto"/>
              <w:ind w:firstLine="482" w:firstLineChars="200"/>
              <w:rPr>
                <w:b/>
                <w:bCs/>
                <w:sz w:val="24"/>
              </w:rPr>
            </w:pPr>
            <w:r>
              <w:rPr>
                <w:b/>
                <w:bCs/>
                <w:sz w:val="24"/>
              </w:rPr>
              <w:t>5、土壤和地下水</w:t>
            </w:r>
          </w:p>
          <w:p>
            <w:pPr>
              <w:spacing w:line="420" w:lineRule="auto"/>
              <w:ind w:firstLine="480" w:firstLineChars="200"/>
              <w:rPr>
                <w:rFonts w:hint="eastAsia"/>
                <w:bCs/>
                <w:sz w:val="24"/>
              </w:rPr>
            </w:pPr>
            <w:r>
              <w:rPr>
                <w:rFonts w:hint="eastAsia"/>
                <w:bCs/>
                <w:sz w:val="24"/>
              </w:rPr>
              <w:t>①污染来源</w:t>
            </w:r>
          </w:p>
          <w:p>
            <w:pPr>
              <w:spacing w:line="420" w:lineRule="auto"/>
              <w:ind w:firstLine="480" w:firstLineChars="200"/>
              <w:rPr>
                <w:rFonts w:hint="eastAsia"/>
                <w:bCs/>
                <w:sz w:val="24"/>
              </w:rPr>
            </w:pPr>
            <w:r>
              <w:rPr>
                <w:bCs/>
                <w:sz w:val="24"/>
              </w:rPr>
              <w:t>本项目运行期间</w:t>
            </w:r>
            <w:r>
              <w:rPr>
                <w:rFonts w:hint="eastAsia"/>
                <w:bCs/>
                <w:sz w:val="24"/>
              </w:rPr>
              <w:t>对土壤和地下水的污染主要来源于危废暂存间暂存的危废</w:t>
            </w:r>
            <w:r>
              <w:rPr>
                <w:rFonts w:hint="eastAsia"/>
                <w:bCs/>
                <w:sz w:val="24"/>
                <w:lang w:eastAsia="zh-CN"/>
              </w:rPr>
              <w:t>和污水处理站、硫酸暂存区泄漏</w:t>
            </w:r>
            <w:r>
              <w:rPr>
                <w:rFonts w:hint="eastAsia"/>
                <w:bCs/>
                <w:sz w:val="24"/>
              </w:rPr>
              <w:t>。</w:t>
            </w:r>
          </w:p>
          <w:p>
            <w:pPr>
              <w:spacing w:line="420" w:lineRule="auto"/>
              <w:ind w:firstLine="480" w:firstLineChars="200"/>
              <w:rPr>
                <w:rFonts w:hint="eastAsia"/>
                <w:bCs/>
                <w:sz w:val="24"/>
              </w:rPr>
            </w:pPr>
            <w:r>
              <w:rPr>
                <w:rFonts w:hint="eastAsia"/>
                <w:bCs/>
                <w:sz w:val="24"/>
              </w:rPr>
              <w:t>②污染类型</w:t>
            </w:r>
          </w:p>
          <w:p>
            <w:pPr>
              <w:pStyle w:val="66"/>
              <w:ind w:firstLine="480"/>
              <w:rPr>
                <w:rFonts w:hint="default"/>
              </w:rPr>
            </w:pPr>
            <w:r>
              <w:t>本项目危废泄漏后主要的污染表现为持久性有机物污染，特征因子为石油类</w:t>
            </w:r>
            <w:r>
              <w:rPr>
                <w:rFonts w:hint="eastAsia"/>
                <w:lang w:eastAsia="zh-CN"/>
              </w:rPr>
              <w:t>；硫酸及污水处理站废水泄漏主要污染物为</w:t>
            </w:r>
            <w:r>
              <w:rPr>
                <w:rFonts w:hint="eastAsia"/>
                <w:lang w:val="en-US" w:eastAsia="zh-CN"/>
              </w:rPr>
              <w:t>pH、COD等</w:t>
            </w:r>
            <w:r>
              <w:t>。</w:t>
            </w:r>
          </w:p>
          <w:p>
            <w:pPr>
              <w:spacing w:line="420" w:lineRule="auto"/>
              <w:ind w:firstLine="480" w:firstLineChars="200"/>
              <w:rPr>
                <w:rFonts w:hint="eastAsia"/>
                <w:bCs/>
                <w:sz w:val="24"/>
              </w:rPr>
            </w:pPr>
            <w:r>
              <w:rPr>
                <w:rFonts w:hint="eastAsia"/>
                <w:bCs/>
                <w:sz w:val="24"/>
              </w:rPr>
              <w:t>③污染途径</w:t>
            </w:r>
          </w:p>
          <w:p>
            <w:pPr>
              <w:pStyle w:val="66"/>
              <w:ind w:firstLine="480"/>
            </w:pPr>
            <w:r>
              <w:t>本项目正常情况下废油</w:t>
            </w:r>
            <w:r>
              <w:rPr>
                <w:rFonts w:hint="eastAsia"/>
                <w:lang w:eastAsia="zh-CN"/>
              </w:rPr>
              <w:t>、硫酸、生产废水</w:t>
            </w:r>
            <w:r>
              <w:t>不会泄漏，在其他不可控制的条件下危废间内暂存的废润滑油</w:t>
            </w:r>
            <w:r>
              <w:rPr>
                <w:rFonts w:hint="eastAsia"/>
                <w:lang w:eastAsia="zh-CN"/>
              </w:rPr>
              <w:t>、污水处理站、硫酸暂存区</w:t>
            </w:r>
            <w:r>
              <w:t>可能存在泄漏，如存油罐倾倒，导致废润滑油泄漏，泄漏的废润滑油随着暂存间的地面下渗土壤和地下水，造成污染。</w:t>
            </w:r>
          </w:p>
          <w:p>
            <w:pPr>
              <w:spacing w:line="420" w:lineRule="auto"/>
              <w:ind w:firstLine="480" w:firstLineChars="200"/>
              <w:rPr>
                <w:rFonts w:hint="eastAsia"/>
                <w:bCs/>
                <w:sz w:val="24"/>
              </w:rPr>
            </w:pPr>
            <w:r>
              <w:rPr>
                <w:rFonts w:hint="eastAsia"/>
                <w:bCs/>
                <w:sz w:val="24"/>
              </w:rPr>
              <w:t>④分区防控措施</w:t>
            </w:r>
          </w:p>
          <w:p>
            <w:pPr>
              <w:spacing w:line="420" w:lineRule="auto"/>
              <w:ind w:firstLine="480" w:firstLineChars="200"/>
              <w:rPr>
                <w:sz w:val="24"/>
              </w:rPr>
            </w:pPr>
            <w:r>
              <w:rPr>
                <w:rFonts w:hint="default" w:ascii="Times New Roman" w:hAnsi="Times New Roman" w:eastAsia="宋体" w:cs="Times New Roman"/>
                <w:bCs/>
                <w:color w:val="auto"/>
                <w:sz w:val="24"/>
                <w:szCs w:val="24"/>
              </w:rPr>
              <w:t>项目运行期间对</w:t>
            </w:r>
            <w:r>
              <w:rPr>
                <w:rFonts w:ascii="Times New Roman" w:hAnsi="Times New Roman" w:eastAsia="宋体" w:cs="Times New Roman"/>
                <w:bCs/>
                <w:color w:val="auto"/>
                <w:sz w:val="24"/>
                <w:szCs w:val="24"/>
              </w:rPr>
              <w:t>地下水环境</w:t>
            </w:r>
            <w:r>
              <w:rPr>
                <w:rFonts w:hint="default" w:ascii="Times New Roman" w:hAnsi="Times New Roman" w:eastAsia="宋体" w:cs="Times New Roman"/>
                <w:bCs/>
                <w:color w:val="auto"/>
                <w:sz w:val="24"/>
                <w:szCs w:val="24"/>
              </w:rPr>
              <w:t>和土壤环境的主要</w:t>
            </w:r>
            <w:r>
              <w:rPr>
                <w:rFonts w:ascii="Times New Roman" w:hAnsi="Times New Roman" w:eastAsia="宋体" w:cs="Times New Roman"/>
                <w:bCs/>
                <w:color w:val="auto"/>
                <w:sz w:val="24"/>
                <w:szCs w:val="24"/>
              </w:rPr>
              <w:t>影响</w:t>
            </w:r>
            <w:r>
              <w:rPr>
                <w:rFonts w:hint="default" w:ascii="Times New Roman" w:hAnsi="Times New Roman" w:eastAsia="宋体" w:cs="Times New Roman"/>
                <w:bCs/>
                <w:color w:val="auto"/>
                <w:sz w:val="24"/>
                <w:szCs w:val="24"/>
              </w:rPr>
              <w:t>因子</w:t>
            </w:r>
            <w:r>
              <w:rPr>
                <w:rFonts w:ascii="Times New Roman" w:hAnsi="Times New Roman" w:eastAsia="宋体" w:cs="Times New Roman"/>
                <w:bCs/>
                <w:color w:val="auto"/>
                <w:sz w:val="24"/>
                <w:szCs w:val="24"/>
              </w:rPr>
              <w:t>是</w:t>
            </w:r>
            <w:r>
              <w:rPr>
                <w:rFonts w:hint="default" w:ascii="Times New Roman" w:hAnsi="Times New Roman" w:eastAsia="宋体" w:cs="Times New Roman"/>
                <w:bCs/>
                <w:color w:val="auto"/>
                <w:sz w:val="24"/>
                <w:szCs w:val="24"/>
              </w:rPr>
              <w:t>危废间</w:t>
            </w:r>
            <w:r>
              <w:rPr>
                <w:rFonts w:ascii="Times New Roman" w:hAnsi="Times New Roman" w:eastAsia="宋体" w:cs="Times New Roman"/>
                <w:bCs/>
                <w:color w:val="auto"/>
                <w:sz w:val="24"/>
                <w:szCs w:val="24"/>
              </w:rPr>
              <w:t>废矿物油</w:t>
            </w:r>
            <w:r>
              <w:rPr>
                <w:rFonts w:hint="eastAsia" w:ascii="Times New Roman" w:hAnsi="Times New Roman" w:eastAsia="宋体" w:cs="Times New Roman"/>
                <w:bCs/>
                <w:color w:val="auto"/>
                <w:sz w:val="24"/>
                <w:szCs w:val="24"/>
                <w:lang w:eastAsia="zh-CN"/>
              </w:rPr>
              <w:t>（润滑油）</w:t>
            </w:r>
            <w:r>
              <w:rPr>
                <w:rFonts w:ascii="Times New Roman" w:hAnsi="Times New Roman" w:eastAsia="宋体" w:cs="Times New Roman"/>
                <w:bCs/>
                <w:color w:val="auto"/>
                <w:sz w:val="24"/>
                <w:szCs w:val="24"/>
              </w:rPr>
              <w:t>渗漏</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lang w:eastAsia="zh-CN"/>
              </w:rPr>
              <w:t>污水处理设施</w:t>
            </w:r>
            <w:r>
              <w:rPr>
                <w:rFonts w:hint="default" w:ascii="Times New Roman" w:hAnsi="Times New Roman" w:eastAsia="宋体" w:cs="Times New Roman"/>
                <w:bCs/>
                <w:color w:val="auto"/>
                <w:sz w:val="24"/>
                <w:szCs w:val="24"/>
                <w:lang w:eastAsia="zh-CN"/>
              </w:rPr>
              <w:t>废水</w:t>
            </w:r>
            <w:r>
              <w:rPr>
                <w:rFonts w:hint="eastAsia" w:ascii="Times New Roman" w:hAnsi="Times New Roman" w:eastAsia="宋体" w:cs="Times New Roman"/>
                <w:bCs/>
                <w:color w:val="auto"/>
                <w:sz w:val="24"/>
                <w:szCs w:val="24"/>
                <w:lang w:eastAsia="zh-CN"/>
              </w:rPr>
              <w:t>（主要污染因子为</w:t>
            </w:r>
            <w:r>
              <w:rPr>
                <w:rFonts w:hint="eastAsia" w:ascii="Times New Roman" w:hAnsi="Times New Roman" w:eastAsia="宋体" w:cs="Times New Roman"/>
                <w:bCs/>
                <w:color w:val="auto"/>
                <w:sz w:val="24"/>
                <w:szCs w:val="24"/>
                <w:lang w:val="en-US" w:eastAsia="zh-CN"/>
              </w:rPr>
              <w:t>pH、COD</w:t>
            </w:r>
            <w:r>
              <w:rPr>
                <w:rFonts w:hint="eastAsia" w:ascii="Times New Roman" w:hAnsi="Times New Roman" w:eastAsia="宋体" w:cs="Times New Roman"/>
                <w:bCs/>
                <w:color w:val="auto"/>
                <w:sz w:val="24"/>
                <w:szCs w:val="24"/>
                <w:lang w:eastAsia="zh-CN"/>
              </w:rPr>
              <w:t>）</w:t>
            </w:r>
            <w:r>
              <w:rPr>
                <w:rFonts w:hint="eastAsia" w:cs="Times New Roman"/>
                <w:bCs/>
                <w:color w:val="auto"/>
                <w:sz w:val="24"/>
                <w:szCs w:val="24"/>
                <w:lang w:eastAsia="zh-CN"/>
              </w:rPr>
              <w:t>、硫酸</w:t>
            </w:r>
            <w:r>
              <w:rPr>
                <w:rFonts w:hint="default" w:ascii="Times New Roman" w:hAnsi="Times New Roman" w:eastAsia="宋体" w:cs="Times New Roman"/>
                <w:bCs/>
                <w:color w:val="auto"/>
                <w:sz w:val="24"/>
                <w:szCs w:val="24"/>
                <w:lang w:eastAsia="zh-CN"/>
              </w:rPr>
              <w:t>泄漏</w:t>
            </w:r>
            <w:r>
              <w:rPr>
                <w:rFonts w:ascii="Times New Roman" w:hAnsi="Times New Roman" w:eastAsia="宋体" w:cs="Times New Roman"/>
                <w:bCs/>
                <w:color w:val="auto"/>
                <w:sz w:val="24"/>
                <w:szCs w:val="24"/>
              </w:rPr>
              <w:t>对地下水造成的水质污染影响</w:t>
            </w:r>
            <w:r>
              <w:rPr>
                <w:rFonts w:hint="default" w:ascii="Times New Roman" w:hAnsi="Times New Roman" w:eastAsia="宋体" w:cs="Times New Roman"/>
                <w:color w:val="auto"/>
                <w:sz w:val="24"/>
                <w:szCs w:val="24"/>
              </w:rPr>
              <w:t>，故应对危废间</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污水处理设施</w:t>
            </w:r>
            <w:r>
              <w:rPr>
                <w:rFonts w:hint="eastAsia" w:cs="Times New Roman"/>
                <w:color w:val="auto"/>
                <w:sz w:val="24"/>
                <w:szCs w:val="24"/>
                <w:lang w:eastAsia="zh-CN"/>
              </w:rPr>
              <w:t>、硫酸暂存区</w:t>
            </w:r>
            <w:r>
              <w:rPr>
                <w:rFonts w:hint="default" w:ascii="Times New Roman" w:hAnsi="Times New Roman" w:eastAsia="宋体" w:cs="Times New Roman"/>
                <w:color w:val="auto"/>
                <w:sz w:val="24"/>
                <w:szCs w:val="24"/>
              </w:rPr>
              <w:t>进行重点防控。</w:t>
            </w:r>
          </w:p>
          <w:p>
            <w:pPr>
              <w:spacing w:line="420" w:lineRule="auto"/>
              <w:ind w:firstLine="480" w:firstLineChars="200"/>
              <w:rPr>
                <w:sz w:val="24"/>
              </w:rPr>
            </w:pPr>
            <w:r>
              <w:rPr>
                <w:sz w:val="24"/>
              </w:rPr>
              <w:t>重点防控的方式为将危废暂存间</w:t>
            </w:r>
            <w:r>
              <w:rPr>
                <w:rFonts w:hint="eastAsia"/>
                <w:sz w:val="24"/>
                <w:lang w:eastAsia="zh-CN"/>
              </w:rPr>
              <w:t>区域划</w:t>
            </w:r>
            <w:r>
              <w:rPr>
                <w:sz w:val="24"/>
              </w:rPr>
              <w:t>分为重点防渗区，重点防渗区的防渗系统本环评要求采用2毫米以上的高密度聚乙烯或其他人工防渗材料组成，渗透系数应小于 1.0×10</w:t>
            </w:r>
            <w:r>
              <w:rPr>
                <w:sz w:val="24"/>
                <w:vertAlign w:val="superscript"/>
              </w:rPr>
              <w:t>-10</w:t>
            </w:r>
            <w:r>
              <w:rPr>
                <w:sz w:val="24"/>
              </w:rPr>
              <w:t>cm/s，或参照GB18598执行</w:t>
            </w:r>
            <w:r>
              <w:rPr>
                <w:rFonts w:hint="eastAsia"/>
                <w:sz w:val="24"/>
              </w:rPr>
              <w:t>，或按本环评推荐的方式进行</w:t>
            </w:r>
            <w:r>
              <w:rPr>
                <w:sz w:val="24"/>
              </w:rPr>
              <w:t>。</w:t>
            </w:r>
          </w:p>
          <w:p>
            <w:pPr>
              <w:spacing w:line="420" w:lineRule="auto"/>
              <w:ind w:firstLine="480" w:firstLineChars="200"/>
              <w:rPr>
                <w:sz w:val="24"/>
              </w:rPr>
            </w:pPr>
            <w:r>
              <w:rPr>
                <w:rFonts w:hint="eastAsia"/>
                <w:sz w:val="24"/>
              </w:rPr>
              <w:t>本项目一般固废暂存区划分为一般防渗区，一般防渗区采用等效黏土防渗层Mb≥1.5m，K≤1×10</w:t>
            </w:r>
            <w:r>
              <w:rPr>
                <w:rFonts w:hint="eastAsia"/>
                <w:sz w:val="24"/>
                <w:vertAlign w:val="superscript"/>
              </w:rPr>
              <w:t>-7</w:t>
            </w:r>
            <w:r>
              <w:rPr>
                <w:rFonts w:hint="eastAsia"/>
                <w:sz w:val="24"/>
              </w:rPr>
              <w:t>cm/s；或参照GB16889执行</w:t>
            </w:r>
            <w:r>
              <w:rPr>
                <w:sz w:val="24"/>
              </w:rPr>
              <w:t>。</w:t>
            </w:r>
          </w:p>
          <w:p>
            <w:pPr>
              <w:spacing w:line="420" w:lineRule="auto"/>
              <w:ind w:firstLine="480" w:firstLineChars="200"/>
              <w:rPr>
                <w:sz w:val="24"/>
              </w:rPr>
            </w:pPr>
            <w:r>
              <w:rPr>
                <w:sz w:val="24"/>
              </w:rPr>
              <w:t>本项目</w:t>
            </w:r>
            <w:r>
              <w:rPr>
                <w:rFonts w:hint="eastAsia"/>
                <w:sz w:val="24"/>
                <w:lang w:eastAsia="zh-CN"/>
              </w:rPr>
              <w:t>除</w:t>
            </w:r>
            <w:r>
              <w:rPr>
                <w:rFonts w:hint="eastAsia"/>
                <w:sz w:val="24"/>
              </w:rPr>
              <w:t>重点防渗</w:t>
            </w:r>
            <w:r>
              <w:rPr>
                <w:rFonts w:hint="eastAsia"/>
                <w:sz w:val="24"/>
                <w:lang w:val="en-US" w:eastAsia="zh-CN"/>
              </w:rPr>
              <w:t>区</w:t>
            </w:r>
            <w:r>
              <w:rPr>
                <w:rFonts w:hint="eastAsia"/>
                <w:sz w:val="24"/>
              </w:rPr>
              <w:t>、一般防渗区</w:t>
            </w:r>
            <w:r>
              <w:rPr>
                <w:sz w:val="24"/>
              </w:rPr>
              <w:t>以外的其他区域为简单防渗区，简单防渗区采取一般地面硬化即可。</w:t>
            </w:r>
          </w:p>
          <w:p>
            <w:pPr>
              <w:adjustRightInd w:val="0"/>
              <w:snapToGrid w:val="0"/>
              <w:spacing w:line="420" w:lineRule="auto"/>
              <w:ind w:firstLine="480" w:firstLineChars="200"/>
            </w:pPr>
            <w:r>
              <w:rPr>
                <w:sz w:val="24"/>
              </w:rPr>
              <w:t>本项目采取的措施能够满足保护地下水及土壤的需求，分区防渗要求能够满足地下水、</w:t>
            </w:r>
            <w:r>
              <w:rPr>
                <w:rFonts w:hint="eastAsia"/>
                <w:sz w:val="24"/>
                <w:lang w:eastAsia="zh-CN"/>
              </w:rPr>
              <w:t>土壤污染防治</w:t>
            </w:r>
            <w:r>
              <w:rPr>
                <w:sz w:val="24"/>
              </w:rPr>
              <w:t>要求。</w:t>
            </w:r>
          </w:p>
          <w:p>
            <w:pPr>
              <w:pStyle w:val="60"/>
              <w:rPr>
                <w:rFonts w:hint="default" w:ascii="Times New Roman" w:hAnsi="Times New Roman"/>
              </w:rPr>
            </w:pPr>
            <w:r>
              <w:rPr>
                <w:rFonts w:hint="default" w:ascii="Times New Roman" w:hAnsi="Times New Roman"/>
              </w:rPr>
              <w:t>表4-</w:t>
            </w:r>
            <w:r>
              <w:rPr>
                <w:rFonts w:hint="eastAsia" w:ascii="Times New Roman" w:hAnsi="Times New Roman"/>
                <w:lang w:val="en-US" w:eastAsia="zh-CN"/>
              </w:rPr>
              <w:t xml:space="preserve">20 </w:t>
            </w:r>
            <w:r>
              <w:rPr>
                <w:rFonts w:hint="default" w:ascii="Times New Roman" w:hAnsi="Times New Roman"/>
              </w:rPr>
              <w:t>防渗分区表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57"/>
              <w:gridCol w:w="2040"/>
              <w:gridCol w:w="3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59" w:type="dxa"/>
                  <w:noWrap w:val="0"/>
                  <w:vAlign w:val="center"/>
                </w:tcPr>
                <w:p>
                  <w:pPr>
                    <w:jc w:val="center"/>
                    <w:rPr>
                      <w:b/>
                      <w:bCs/>
                      <w:sz w:val="24"/>
                    </w:rPr>
                  </w:pPr>
                  <w:r>
                    <w:rPr>
                      <w:b/>
                      <w:bCs/>
                      <w:sz w:val="24"/>
                    </w:rPr>
                    <w:t>序号</w:t>
                  </w:r>
                </w:p>
              </w:tc>
              <w:tc>
                <w:tcPr>
                  <w:tcW w:w="1957" w:type="dxa"/>
                  <w:noWrap w:val="0"/>
                  <w:vAlign w:val="center"/>
                </w:tcPr>
                <w:p>
                  <w:pPr>
                    <w:jc w:val="center"/>
                    <w:rPr>
                      <w:b/>
                      <w:bCs/>
                      <w:sz w:val="24"/>
                    </w:rPr>
                  </w:pPr>
                  <w:r>
                    <w:rPr>
                      <w:b/>
                      <w:bCs/>
                      <w:sz w:val="24"/>
                    </w:rPr>
                    <w:t>区域</w:t>
                  </w:r>
                </w:p>
              </w:tc>
              <w:tc>
                <w:tcPr>
                  <w:tcW w:w="2040" w:type="dxa"/>
                  <w:noWrap w:val="0"/>
                  <w:vAlign w:val="center"/>
                </w:tcPr>
                <w:p>
                  <w:pPr>
                    <w:jc w:val="center"/>
                    <w:rPr>
                      <w:b/>
                      <w:bCs/>
                      <w:sz w:val="24"/>
                    </w:rPr>
                  </w:pPr>
                  <w:r>
                    <w:rPr>
                      <w:b/>
                      <w:bCs/>
                      <w:sz w:val="24"/>
                    </w:rPr>
                    <w:t>防渗级别</w:t>
                  </w:r>
                </w:p>
              </w:tc>
              <w:tc>
                <w:tcPr>
                  <w:tcW w:w="3264" w:type="dxa"/>
                  <w:noWrap w:val="0"/>
                  <w:vAlign w:val="center"/>
                </w:tcPr>
                <w:p>
                  <w:pPr>
                    <w:jc w:val="center"/>
                    <w:rPr>
                      <w:b/>
                      <w:bCs/>
                      <w:sz w:val="24"/>
                    </w:rPr>
                  </w:pPr>
                  <w:r>
                    <w:rPr>
                      <w:b/>
                      <w:bCs/>
                      <w:sz w:val="24"/>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959" w:type="dxa"/>
                  <w:noWrap w:val="0"/>
                  <w:vAlign w:val="center"/>
                </w:tcPr>
                <w:p>
                  <w:pPr>
                    <w:jc w:val="center"/>
                    <w:rPr>
                      <w:b/>
                      <w:bCs/>
                      <w:szCs w:val="21"/>
                    </w:rPr>
                  </w:pPr>
                  <w:r>
                    <w:rPr>
                      <w:rFonts w:hint="eastAsia"/>
                      <w:szCs w:val="21"/>
                    </w:rPr>
                    <w:t>1</w:t>
                  </w:r>
                </w:p>
              </w:tc>
              <w:tc>
                <w:tcPr>
                  <w:tcW w:w="1957" w:type="dxa"/>
                  <w:noWrap w:val="0"/>
                  <w:vAlign w:val="center"/>
                </w:tcPr>
                <w:p>
                  <w:pPr>
                    <w:jc w:val="center"/>
                    <w:rPr>
                      <w:rFonts w:hint="eastAsia" w:eastAsia="宋体"/>
                      <w:b/>
                      <w:bCs/>
                      <w:szCs w:val="21"/>
                      <w:lang w:eastAsia="zh-CN"/>
                    </w:rPr>
                  </w:pPr>
                  <w:r>
                    <w:rPr>
                      <w:szCs w:val="21"/>
                    </w:rPr>
                    <w:t>危废暂存间</w:t>
                  </w:r>
                  <w:r>
                    <w:rPr>
                      <w:rFonts w:hint="eastAsia"/>
                      <w:szCs w:val="21"/>
                      <w:lang w:eastAsia="zh-CN"/>
                    </w:rPr>
                    <w:t>、污水处理站、硫酸暂存区</w:t>
                  </w:r>
                </w:p>
              </w:tc>
              <w:tc>
                <w:tcPr>
                  <w:tcW w:w="2040" w:type="dxa"/>
                  <w:noWrap w:val="0"/>
                  <w:vAlign w:val="center"/>
                </w:tcPr>
                <w:p>
                  <w:pPr>
                    <w:spacing w:line="360" w:lineRule="auto"/>
                    <w:jc w:val="center"/>
                    <w:rPr>
                      <w:b/>
                      <w:bCs/>
                      <w:szCs w:val="21"/>
                    </w:rPr>
                  </w:pPr>
                  <w:r>
                    <w:rPr>
                      <w:szCs w:val="21"/>
                    </w:rPr>
                    <w:t>重点防渗区</w:t>
                  </w:r>
                </w:p>
              </w:tc>
              <w:tc>
                <w:tcPr>
                  <w:tcW w:w="3264" w:type="dxa"/>
                  <w:noWrap w:val="0"/>
                  <w:vAlign w:val="center"/>
                </w:tcPr>
                <w:p>
                  <w:pPr>
                    <w:spacing w:line="0" w:lineRule="atLeast"/>
                    <w:rPr>
                      <w:b/>
                      <w:bCs/>
                      <w:szCs w:val="21"/>
                    </w:rPr>
                  </w:pPr>
                  <w:r>
                    <w:rPr>
                      <w:szCs w:val="21"/>
                    </w:rPr>
                    <w:t>采用2 毫米以上的高密度聚乙烯或其他人工防渗材料组成，渗透系数应小于 1.0×10</w:t>
                  </w:r>
                  <w:r>
                    <w:rPr>
                      <w:szCs w:val="21"/>
                      <w:vertAlign w:val="superscript"/>
                    </w:rPr>
                    <w:t>-10</w:t>
                  </w:r>
                  <w:r>
                    <w:rPr>
                      <w:szCs w:val="21"/>
                    </w:rPr>
                    <w:t>cm/s，或参照GB18598执行</w:t>
                  </w:r>
                  <w:r>
                    <w:rPr>
                      <w:rFonts w:hint="eastAsia"/>
                      <w:szCs w:val="21"/>
                    </w:rPr>
                    <w:t>；或参照本项目推荐方法建设。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959" w:type="dxa"/>
                  <w:noWrap w:val="0"/>
                  <w:vAlign w:val="center"/>
                </w:tcPr>
                <w:p>
                  <w:pPr>
                    <w:jc w:val="center"/>
                    <w:rPr>
                      <w:szCs w:val="21"/>
                    </w:rPr>
                  </w:pPr>
                  <w:r>
                    <w:rPr>
                      <w:rFonts w:hint="eastAsia"/>
                      <w:szCs w:val="21"/>
                    </w:rPr>
                    <w:t>2</w:t>
                  </w:r>
                </w:p>
              </w:tc>
              <w:tc>
                <w:tcPr>
                  <w:tcW w:w="1957" w:type="dxa"/>
                  <w:noWrap w:val="0"/>
                  <w:vAlign w:val="center"/>
                </w:tcPr>
                <w:p>
                  <w:pPr>
                    <w:jc w:val="center"/>
                    <w:rPr>
                      <w:rFonts w:hint="eastAsia" w:eastAsia="宋体"/>
                      <w:szCs w:val="21"/>
                      <w:lang w:eastAsia="zh-CN"/>
                    </w:rPr>
                  </w:pPr>
                  <w:r>
                    <w:rPr>
                      <w:rFonts w:hint="eastAsia"/>
                      <w:szCs w:val="21"/>
                      <w:lang w:eastAsia="zh-CN"/>
                    </w:rPr>
                    <w:t>一般固废暂存区</w:t>
                  </w:r>
                </w:p>
              </w:tc>
              <w:tc>
                <w:tcPr>
                  <w:tcW w:w="2040" w:type="dxa"/>
                  <w:noWrap w:val="0"/>
                  <w:vAlign w:val="center"/>
                </w:tcPr>
                <w:p>
                  <w:pPr>
                    <w:jc w:val="center"/>
                    <w:rPr>
                      <w:szCs w:val="21"/>
                    </w:rPr>
                  </w:pPr>
                  <w:r>
                    <w:rPr>
                      <w:rFonts w:hint="eastAsia"/>
                      <w:szCs w:val="21"/>
                    </w:rPr>
                    <w:t>一般防渗区</w:t>
                  </w:r>
                </w:p>
              </w:tc>
              <w:tc>
                <w:tcPr>
                  <w:tcW w:w="3264" w:type="dxa"/>
                  <w:noWrap w:val="0"/>
                  <w:vAlign w:val="center"/>
                </w:tcPr>
                <w:p>
                  <w:pPr>
                    <w:jc w:val="center"/>
                    <w:rPr>
                      <w:szCs w:val="21"/>
                    </w:rPr>
                  </w:pPr>
                  <w:r>
                    <w:rPr>
                      <w:rFonts w:hint="eastAsia"/>
                      <w:szCs w:val="21"/>
                    </w:rPr>
                    <w:t>采用等效黏土防渗层Mb≥1.5m，K≤1×10</w:t>
                  </w:r>
                  <w:r>
                    <w:rPr>
                      <w:rFonts w:hint="eastAsia"/>
                      <w:szCs w:val="21"/>
                      <w:vertAlign w:val="superscript"/>
                    </w:rPr>
                    <w:t>-7</w:t>
                  </w:r>
                  <w:r>
                    <w:rPr>
                      <w:rFonts w:hint="eastAsia"/>
                      <w:szCs w:val="21"/>
                    </w:rPr>
                    <w:t>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59" w:type="dxa"/>
                  <w:noWrap w:val="0"/>
                  <w:vAlign w:val="center"/>
                </w:tcPr>
                <w:p>
                  <w:pPr>
                    <w:spacing w:line="360" w:lineRule="auto"/>
                    <w:jc w:val="center"/>
                    <w:rPr>
                      <w:szCs w:val="21"/>
                    </w:rPr>
                  </w:pPr>
                  <w:r>
                    <w:rPr>
                      <w:rFonts w:hint="eastAsia"/>
                      <w:szCs w:val="21"/>
                    </w:rPr>
                    <w:t>3</w:t>
                  </w:r>
                </w:p>
              </w:tc>
              <w:tc>
                <w:tcPr>
                  <w:tcW w:w="1957" w:type="dxa"/>
                  <w:noWrap w:val="0"/>
                  <w:vAlign w:val="center"/>
                </w:tcPr>
                <w:p>
                  <w:pPr>
                    <w:jc w:val="center"/>
                    <w:rPr>
                      <w:szCs w:val="21"/>
                    </w:rPr>
                  </w:pPr>
                  <w:r>
                    <w:rPr>
                      <w:rFonts w:hint="eastAsia"/>
                      <w:szCs w:val="21"/>
                    </w:rPr>
                    <w:t>除重点防渗、一般防渗区以外的其他区域</w:t>
                  </w:r>
                </w:p>
              </w:tc>
              <w:tc>
                <w:tcPr>
                  <w:tcW w:w="2040" w:type="dxa"/>
                  <w:noWrap w:val="0"/>
                  <w:vAlign w:val="center"/>
                </w:tcPr>
                <w:p>
                  <w:pPr>
                    <w:spacing w:line="0" w:lineRule="atLeast"/>
                    <w:jc w:val="center"/>
                    <w:rPr>
                      <w:szCs w:val="21"/>
                    </w:rPr>
                  </w:pPr>
                  <w:r>
                    <w:rPr>
                      <w:szCs w:val="21"/>
                    </w:rPr>
                    <w:t>简单防渗区</w:t>
                  </w:r>
                </w:p>
              </w:tc>
              <w:tc>
                <w:tcPr>
                  <w:tcW w:w="3264" w:type="dxa"/>
                  <w:noWrap w:val="0"/>
                  <w:vAlign w:val="center"/>
                </w:tcPr>
                <w:p>
                  <w:pPr>
                    <w:spacing w:line="0" w:lineRule="atLeast"/>
                    <w:jc w:val="center"/>
                    <w:rPr>
                      <w:szCs w:val="21"/>
                    </w:rPr>
                  </w:pPr>
                  <w:r>
                    <w:rPr>
                      <w:szCs w:val="21"/>
                    </w:rPr>
                    <w:t>一般地面硬化</w:t>
                  </w:r>
                </w:p>
              </w:tc>
            </w:tr>
          </w:tbl>
          <w:p>
            <w:pPr>
              <w:adjustRightInd w:val="0"/>
              <w:snapToGrid w:val="0"/>
              <w:rPr>
                <w:bCs/>
                <w:spacing w:val="-10"/>
                <w:szCs w:val="21"/>
              </w:rPr>
            </w:pPr>
          </w:p>
          <w:p>
            <w:pPr>
              <w:adjustRightInd w:val="0"/>
              <w:snapToGrid w:val="0"/>
              <w:rPr>
                <w:bCs/>
                <w:spacing w:val="-10"/>
                <w:szCs w:val="21"/>
              </w:rPr>
            </w:pPr>
          </w:p>
          <w:p>
            <w:pPr>
              <w:numPr>
                <w:ilvl w:val="0"/>
                <w:numId w:val="5"/>
              </w:numPr>
              <w:spacing w:line="360" w:lineRule="auto"/>
              <w:ind w:firstLine="482" w:firstLineChars="200"/>
              <w:rPr>
                <w:b/>
                <w:bCs/>
                <w:sz w:val="24"/>
              </w:rPr>
            </w:pPr>
            <w:r>
              <w:rPr>
                <w:b/>
                <w:bCs/>
                <w:sz w:val="24"/>
              </w:rPr>
              <w:t>运营期监测计划</w:t>
            </w:r>
          </w:p>
          <w:p>
            <w:pPr>
              <w:adjustRightInd w:val="0"/>
              <w:snapToGrid w:val="0"/>
              <w:spacing w:line="42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参照《排</w:t>
            </w:r>
            <w:r>
              <w:rPr>
                <w:rFonts w:hint="default" w:ascii="Times New Roman" w:hAnsi="Times New Roman" w:eastAsia="宋体" w:cs="Times New Roman"/>
                <w:color w:val="auto"/>
                <w:sz w:val="24"/>
              </w:rPr>
              <w:t>污单位自行监测技术指南 总则》（HJ819-2017）</w:t>
            </w:r>
            <w:r>
              <w:rPr>
                <w:rFonts w:hint="eastAsia" w:cs="Times New Roman"/>
                <w:color w:val="auto"/>
                <w:sz w:val="24"/>
                <w:lang w:eastAsia="zh-CN"/>
              </w:rPr>
              <w:t>、《</w:t>
            </w:r>
            <w:r>
              <w:rPr>
                <w:rFonts w:hint="default" w:ascii="Times New Roman" w:hAnsi="Times New Roman" w:cs="Times New Roman"/>
                <w:color w:val="auto"/>
                <w:sz w:val="24"/>
                <w:szCs w:val="24"/>
                <w:lang w:eastAsia="zh-CN"/>
              </w:rPr>
              <w:t>排污许可证申领与核发技术指南</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废弃资源加工工业</w:t>
            </w:r>
            <w:r>
              <w:rPr>
                <w:rFonts w:hint="eastAsia" w:cs="Times New Roman"/>
                <w:color w:val="auto"/>
                <w:sz w:val="24"/>
                <w:lang w:eastAsia="zh-CN"/>
              </w:rPr>
              <w:t>》</w:t>
            </w:r>
            <w:r>
              <w:rPr>
                <w:rFonts w:hint="default" w:ascii="Times New Roman" w:hAnsi="Times New Roman" w:cs="Times New Roman"/>
                <w:color w:val="auto"/>
                <w:sz w:val="24"/>
                <w:szCs w:val="24"/>
              </w:rPr>
              <w:t>(HJ</w:t>
            </w:r>
            <w:r>
              <w:rPr>
                <w:rFonts w:hint="default" w:ascii="Times New Roman" w:hAnsi="Times New Roman" w:cs="Times New Roman"/>
                <w:color w:val="auto"/>
                <w:sz w:val="24"/>
                <w:szCs w:val="24"/>
                <w:lang w:val="en-US" w:eastAsia="zh-CN"/>
              </w:rPr>
              <w:t>1034-2019</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rPr>
              <w:t>、《排污单位自行监测技术指南 橡胶和塑料制品》HJ 1207—2021的相关要求，本项目</w:t>
            </w:r>
            <w:r>
              <w:rPr>
                <w:rFonts w:hint="default" w:ascii="Times New Roman" w:hAnsi="Times New Roman" w:cs="Times New Roman"/>
                <w:color w:val="auto"/>
                <w:sz w:val="24"/>
              </w:rPr>
              <w:t>运营期具体监测计划如下表所示：</w:t>
            </w:r>
          </w:p>
          <w:p>
            <w:pPr>
              <w:pStyle w:val="60"/>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21</w:t>
            </w:r>
            <w:r>
              <w:rPr>
                <w:rFonts w:hint="default" w:ascii="Times New Roman" w:hAnsi="Times New Roman" w:cs="Times New Roman"/>
                <w:color w:val="auto"/>
              </w:rPr>
              <w:t xml:space="preserve"> 运营期监测计划</w:t>
            </w:r>
          </w:p>
          <w:tbl>
            <w:tblPr>
              <w:tblStyle w:val="24"/>
              <w:tblW w:w="82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181"/>
              <w:gridCol w:w="1428"/>
              <w:gridCol w:w="2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86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点位</w:t>
                  </w:r>
                </w:p>
              </w:tc>
              <w:tc>
                <w:tcPr>
                  <w:tcW w:w="218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监测因子</w:t>
                  </w:r>
                </w:p>
              </w:tc>
              <w:tc>
                <w:tcPr>
                  <w:tcW w:w="1428"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监测频次</w:t>
                  </w:r>
                </w:p>
              </w:tc>
              <w:tc>
                <w:tcPr>
                  <w:tcW w:w="2801" w:type="dxa"/>
                  <w:noWrap w:val="0"/>
                  <w:vAlign w:val="center"/>
                </w:tcPr>
                <w:p>
                  <w:pPr>
                    <w:widowControl/>
                    <w:jc w:val="center"/>
                    <w:rPr>
                      <w:rFonts w:hint="default" w:ascii="Times New Roman" w:hAnsi="Times New Roman" w:cs="Times New Roman"/>
                      <w:b/>
                      <w:color w:val="auto"/>
                      <w:spacing w:val="-1"/>
                      <w:kern w:val="0"/>
                      <w:sz w:val="22"/>
                      <w:szCs w:val="21"/>
                    </w:rPr>
                  </w:pPr>
                  <w:r>
                    <w:rPr>
                      <w:rFonts w:hint="default" w:ascii="Times New Roman" w:hAnsi="Times New Roman" w:cs="Times New Roman"/>
                      <w:b/>
                      <w:color w:val="auto"/>
                      <w:spacing w:val="-1"/>
                      <w:kern w:val="0"/>
                      <w:sz w:val="22"/>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68" w:type="dxa"/>
                  <w:noWrap w:val="0"/>
                  <w:vAlign w:val="center"/>
                </w:tcPr>
                <w:p>
                  <w:pPr>
                    <w:adjustRightInd w:val="0"/>
                    <w:snapToGrid w:val="0"/>
                    <w:jc w:val="center"/>
                    <w:rPr>
                      <w:rFonts w:hint="default" w:ascii="Times New Roman" w:hAnsi="Times New Roman" w:cs="Times New Roman"/>
                      <w:b/>
                      <w:color w:val="auto"/>
                      <w:spacing w:val="-1"/>
                      <w:kern w:val="0"/>
                      <w:sz w:val="22"/>
                      <w:szCs w:val="21"/>
                    </w:rPr>
                  </w:pPr>
                  <w:r>
                    <w:rPr>
                      <w:rFonts w:hint="eastAsia" w:cs="Times New Roman"/>
                      <w:color w:val="auto"/>
                      <w:szCs w:val="21"/>
                      <w:lang w:val="en-US" w:eastAsia="zh-CN"/>
                    </w:rPr>
                    <w:t>塑料筐生产原料混料</w:t>
                  </w:r>
                  <w:r>
                    <w:rPr>
                      <w:rFonts w:hint="default" w:ascii="Times New Roman" w:hAnsi="Times New Roman" w:cs="Times New Roman"/>
                      <w:color w:val="auto"/>
                      <w:szCs w:val="21"/>
                      <w:lang w:val="en-US" w:eastAsia="zh-CN"/>
                    </w:rPr>
                    <w:t>粉尘</w:t>
                  </w:r>
                  <w:r>
                    <w:rPr>
                      <w:rFonts w:hint="default" w:ascii="Times New Roman" w:hAnsi="Times New Roman" w:cs="Times New Roman"/>
                      <w:color w:val="auto"/>
                      <w:szCs w:val="21"/>
                    </w:rPr>
                    <w:t>排放口（DA00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c>
                <w:tcPr>
                  <w:tcW w:w="2181" w:type="dxa"/>
                  <w:noWrap w:val="0"/>
                  <w:vAlign w:val="center"/>
                </w:tcPr>
                <w:p>
                  <w:pPr>
                    <w:adjustRightInd w:val="0"/>
                    <w:snapToGrid w:val="0"/>
                    <w:jc w:val="center"/>
                    <w:rPr>
                      <w:rFonts w:hint="default" w:ascii="Times New Roman" w:hAnsi="Times New Roman" w:eastAsia="宋体" w:cs="Times New Roman"/>
                      <w:b/>
                      <w:color w:val="auto"/>
                      <w:spacing w:val="-1"/>
                      <w:kern w:val="0"/>
                      <w:sz w:val="22"/>
                      <w:szCs w:val="21"/>
                      <w:lang w:val="en-US" w:eastAsia="zh-CN"/>
                    </w:rPr>
                  </w:pPr>
                  <w:r>
                    <w:rPr>
                      <w:rFonts w:hint="default" w:ascii="Times New Roman" w:hAnsi="Times New Roman" w:eastAsia="宋体" w:cs="Times New Roman"/>
                      <w:color w:val="auto"/>
                      <w:szCs w:val="21"/>
                      <w:lang w:val="en-US" w:eastAsia="zh-CN"/>
                    </w:rPr>
                    <w:t>颗粒物</w:t>
                  </w:r>
                </w:p>
              </w:tc>
              <w:tc>
                <w:tcPr>
                  <w:tcW w:w="1428" w:type="dxa"/>
                  <w:noWrap w:val="0"/>
                  <w:vAlign w:val="center"/>
                </w:tcPr>
                <w:p>
                  <w:pPr>
                    <w:adjustRightInd w:val="0"/>
                    <w:snapToGrid w:val="0"/>
                    <w:jc w:val="center"/>
                    <w:rPr>
                      <w:rFonts w:hint="default" w:ascii="Times New Roman" w:hAnsi="Times New Roman" w:eastAsia="宋体" w:cs="Times New Roman"/>
                      <w:b/>
                      <w:color w:val="auto"/>
                      <w:spacing w:val="-1"/>
                      <w:kern w:val="0"/>
                      <w:sz w:val="22"/>
                      <w:szCs w:val="21"/>
                      <w:lang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年</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b/>
                      <w:color w:val="auto"/>
                      <w:spacing w:val="-1"/>
                      <w:kern w:val="0"/>
                      <w:sz w:val="22"/>
                      <w:szCs w:val="21"/>
                      <w:lang w:val="en-US" w:eastAsia="zh-CN" w:bidi="ar-SA"/>
                    </w:rPr>
                  </w:pPr>
                  <w:r>
                    <w:rPr>
                      <w:color w:val="auto"/>
                      <w:szCs w:val="21"/>
                      <w:highlight w:val="none"/>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86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塑料框生产有机</w:t>
                  </w:r>
                  <w:r>
                    <w:rPr>
                      <w:rFonts w:hint="default" w:ascii="Times New Roman" w:hAnsi="Times New Roman" w:eastAsia="宋体" w:cs="Times New Roman"/>
                      <w:color w:val="auto"/>
                      <w:szCs w:val="21"/>
                      <w:lang w:val="en-US" w:eastAsia="zh-CN"/>
                    </w:rPr>
                    <w:t>废气排放口（DA002）</w:t>
                  </w:r>
                </w:p>
              </w:tc>
              <w:tc>
                <w:tcPr>
                  <w:tcW w:w="218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VOCs</w:t>
                  </w:r>
                  <w:r>
                    <w:rPr>
                      <w:rFonts w:hint="eastAsia" w:ascii="Times New Roman" w:hAnsi="Times New Roman" w:eastAsia="宋体" w:cs="Times New Roman"/>
                      <w:color w:val="auto"/>
                      <w:szCs w:val="21"/>
                      <w:lang w:val="en-US" w:eastAsia="zh-CN"/>
                    </w:rPr>
                    <w:t>、颗粒物</w:t>
                  </w:r>
                </w:p>
              </w:tc>
              <w:tc>
                <w:tcPr>
                  <w:tcW w:w="14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1次/半年</w:t>
                  </w:r>
                </w:p>
              </w:tc>
              <w:tc>
                <w:tcPr>
                  <w:tcW w:w="2801" w:type="dxa"/>
                  <w:noWrap w:val="0"/>
                  <w:vAlign w:val="center"/>
                </w:tcPr>
                <w:p>
                  <w:pPr>
                    <w:adjustRightInd w:val="0"/>
                    <w:snapToGrid w:val="0"/>
                    <w:spacing w:line="240" w:lineRule="auto"/>
                    <w:jc w:val="both"/>
                    <w:rPr>
                      <w:rFonts w:hint="default" w:ascii="Times New Roman" w:hAnsi="Times New Roman" w:cs="Times New Roman"/>
                      <w:b/>
                      <w:color w:val="auto"/>
                      <w:spacing w:val="-1"/>
                      <w:kern w:val="0"/>
                      <w:sz w:val="22"/>
                      <w:szCs w:val="21"/>
                      <w:lang w:val="en-US" w:eastAsia="zh-CN" w:bidi="ar-SA"/>
                    </w:rPr>
                  </w:pPr>
                  <w:r>
                    <w:rPr>
                      <w:rFonts w:hint="default" w:ascii="Times New Roman" w:hAnsi="Times New Roman" w:cs="Times New Roman"/>
                      <w:bCs/>
                      <w:color w:val="auto"/>
                      <w:highlight w:val="none"/>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6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废塑料造粒生产</w:t>
                  </w:r>
                  <w:r>
                    <w:rPr>
                      <w:rFonts w:hint="default" w:ascii="Times New Roman" w:hAnsi="Times New Roman" w:eastAsia="宋体" w:cs="Times New Roman"/>
                      <w:color w:val="auto"/>
                      <w:szCs w:val="21"/>
                      <w:lang w:val="en-US" w:eastAsia="zh-CN"/>
                    </w:rPr>
                    <w:t>有机废气排放口（DA00</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val="en-US" w:eastAsia="zh-CN"/>
                    </w:rPr>
                    <w:t>）</w:t>
                  </w:r>
                </w:p>
              </w:tc>
              <w:tc>
                <w:tcPr>
                  <w:tcW w:w="2181"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VOCs</w:t>
                  </w:r>
                </w:p>
              </w:tc>
              <w:tc>
                <w:tcPr>
                  <w:tcW w:w="14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年</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半</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bCs/>
                      <w:color w:val="auto"/>
                      <w:highlight w:val="none"/>
                    </w:rPr>
                  </w:pPr>
                  <w:r>
                    <w:rPr>
                      <w:color w:val="auto"/>
                      <w:szCs w:val="21"/>
                      <w:highlight w:val="none"/>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86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厂区内</w:t>
                  </w:r>
                </w:p>
              </w:tc>
              <w:tc>
                <w:tcPr>
                  <w:tcW w:w="218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VOCs</w:t>
                  </w:r>
                </w:p>
              </w:tc>
              <w:tc>
                <w:tcPr>
                  <w:tcW w:w="14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highlight w:val="none"/>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color w:val="auto"/>
                      <w:szCs w:val="21"/>
                    </w:rPr>
                  </w:pPr>
                  <w:r>
                    <w:rPr>
                      <w:rFonts w:hint="default" w:ascii="Times New Roman" w:hAnsi="Times New Roman" w:cs="Times New Roman"/>
                      <w:color w:val="auto"/>
                      <w:highlight w:val="none"/>
                    </w:rPr>
                    <w:t>《挥发性有机物无组织排放控制标准》GB37822-2019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868" w:type="dxa"/>
                  <w:vMerge w:val="restart"/>
                  <w:noWrap w:val="0"/>
                  <w:vAlign w:val="center"/>
                </w:tcPr>
                <w:p>
                  <w:pPr>
                    <w:adjustRightInd w:val="0"/>
                    <w:snapToGrid w:val="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废水总排放口（</w:t>
                  </w:r>
                  <w:r>
                    <w:rPr>
                      <w:rFonts w:hint="eastAsia" w:cs="Times New Roman"/>
                      <w:color w:val="auto"/>
                      <w:highlight w:val="none"/>
                      <w:lang w:val="en-US" w:eastAsia="zh-CN"/>
                    </w:rPr>
                    <w:t>DW001</w:t>
                  </w:r>
                  <w:r>
                    <w:rPr>
                      <w:rFonts w:hint="eastAsia" w:cs="Times New Roman"/>
                      <w:color w:val="auto"/>
                      <w:highlight w:val="none"/>
                      <w:lang w:eastAsia="zh-CN"/>
                    </w:rPr>
                    <w:t>）</w:t>
                  </w:r>
                </w:p>
              </w:tc>
              <w:tc>
                <w:tcPr>
                  <w:tcW w:w="2181" w:type="dxa"/>
                  <w:noWrap w:val="0"/>
                  <w:vAlign w:val="center"/>
                </w:tcPr>
                <w:p>
                  <w:pPr>
                    <w:adjustRightInd w:val="0"/>
                    <w:snapToGrid w:val="0"/>
                    <w:jc w:val="center"/>
                    <w:rPr>
                      <w:rFonts w:hint="default" w:ascii="Times New Roman" w:hAnsi="Times New Roman" w:cs="Times New Roman"/>
                      <w:color w:val="auto"/>
                      <w:highlight w:val="none"/>
                    </w:rPr>
                  </w:pPr>
                  <w:r>
                    <w:rPr>
                      <w:rFonts w:hint="eastAsia" w:ascii="Times New Roman" w:hAnsi="Times New Roman" w:eastAsia="宋体" w:cs="Times New Roman"/>
                      <w:b w:val="0"/>
                      <w:bCs w:val="0"/>
                      <w:color w:val="auto"/>
                      <w:spacing w:val="0"/>
                      <w:kern w:val="2"/>
                      <w:sz w:val="21"/>
                      <w:szCs w:val="21"/>
                      <w:lang w:val="en-US" w:eastAsia="zh-CN"/>
                    </w:rPr>
                    <w:t>流量、</w:t>
                  </w:r>
                  <w:r>
                    <w:rPr>
                      <w:rFonts w:hint="default" w:ascii="Times New Roman" w:hAnsi="Times New Roman" w:eastAsia="宋体" w:cs="Times New Roman"/>
                      <w:b w:val="0"/>
                      <w:bCs w:val="0"/>
                      <w:color w:val="auto"/>
                      <w:spacing w:val="0"/>
                      <w:kern w:val="2"/>
                      <w:sz w:val="21"/>
                      <w:szCs w:val="21"/>
                      <w:lang w:val="en-US" w:eastAsia="zh-CN"/>
                    </w:rPr>
                    <w:t>pH、化学需氧量、氨氮</w:t>
                  </w:r>
                </w:p>
              </w:tc>
              <w:tc>
                <w:tcPr>
                  <w:tcW w:w="1428" w:type="dxa"/>
                  <w:noWrap w:val="0"/>
                  <w:vAlign w:val="center"/>
                </w:tcPr>
                <w:p>
                  <w:pPr>
                    <w:widowControl/>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rPr>
                    <w:t>1次</w:t>
                  </w:r>
                  <w:r>
                    <w:rPr>
                      <w:rFonts w:hint="eastAsia" w:ascii="Times New Roman" w:hAnsi="Times New Roman" w:eastAsia="宋体" w:cs="Times New Roman"/>
                      <w:color w:val="auto"/>
                      <w:sz w:val="21"/>
                      <w:szCs w:val="21"/>
                      <w:lang w:val="en-US" w:eastAsia="zh-CN"/>
                    </w:rPr>
                    <w:t>/月</w:t>
                  </w:r>
                </w:p>
              </w:tc>
              <w:tc>
                <w:tcPr>
                  <w:tcW w:w="2801" w:type="dxa"/>
                  <w:vMerge w:val="restart"/>
                  <w:noWrap w:val="0"/>
                  <w:vAlign w:val="center"/>
                </w:tcPr>
                <w:p>
                  <w:pPr>
                    <w:adjustRightInd w:val="0"/>
                    <w:snapToGrid w:val="0"/>
                    <w:spacing w:line="240" w:lineRule="auto"/>
                    <w:jc w:val="both"/>
                    <w:rPr>
                      <w:rFonts w:hint="default" w:ascii="Times New Roman" w:hAnsi="Times New Roman" w:cs="Times New Roman"/>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868" w:type="dxa"/>
                  <w:vMerge w:val="continue"/>
                  <w:noWrap w:val="0"/>
                  <w:vAlign w:val="center"/>
                </w:tcPr>
                <w:p>
                  <w:pPr>
                    <w:adjustRightInd w:val="0"/>
                    <w:snapToGrid w:val="0"/>
                    <w:jc w:val="center"/>
                    <w:rPr>
                      <w:rFonts w:hint="eastAsia" w:cs="Times New Roman"/>
                      <w:color w:val="auto"/>
                      <w:highlight w:val="none"/>
                      <w:lang w:eastAsia="zh-CN"/>
                    </w:rPr>
                  </w:pPr>
                </w:p>
              </w:tc>
              <w:tc>
                <w:tcPr>
                  <w:tcW w:w="2181" w:type="dxa"/>
                  <w:noWrap w:val="0"/>
                  <w:vAlign w:val="center"/>
                </w:tcPr>
                <w:p>
                  <w:pPr>
                    <w:adjustRightInd w:val="0"/>
                    <w:snapToGrid w:val="0"/>
                    <w:jc w:val="center"/>
                    <w:rPr>
                      <w:rFonts w:hint="default" w:ascii="Times New Roman" w:hAnsi="Times New Roman" w:cs="Times New Roman"/>
                      <w:color w:val="auto"/>
                      <w:highlight w:val="none"/>
                    </w:rPr>
                  </w:pPr>
                  <w:r>
                    <w:rPr>
                      <w:rFonts w:hint="eastAsia" w:ascii="Times New Roman" w:hAnsi="Times New Roman" w:eastAsia="宋体" w:cs="Times New Roman"/>
                      <w:b w:val="0"/>
                      <w:bCs w:val="0"/>
                      <w:color w:val="auto"/>
                      <w:spacing w:val="0"/>
                      <w:kern w:val="2"/>
                      <w:sz w:val="21"/>
                      <w:szCs w:val="21"/>
                      <w:lang w:val="en-US" w:eastAsia="zh-CN"/>
                    </w:rPr>
                    <w:t>石油类、悬浮物、五日生化需氧量</w:t>
                  </w:r>
                  <w:r>
                    <w:rPr>
                      <w:rFonts w:hint="eastAsia" w:cs="Times New Roman"/>
                      <w:b w:val="0"/>
                      <w:bCs w:val="0"/>
                      <w:color w:val="auto"/>
                      <w:spacing w:val="0"/>
                      <w:kern w:val="2"/>
                      <w:sz w:val="21"/>
                      <w:szCs w:val="21"/>
                      <w:lang w:val="en-US" w:eastAsia="zh-CN"/>
                    </w:rPr>
                    <w:t>、总磷</w:t>
                  </w:r>
                </w:p>
              </w:tc>
              <w:tc>
                <w:tcPr>
                  <w:tcW w:w="1428" w:type="dxa"/>
                  <w:noWrap w:val="0"/>
                  <w:vAlign w:val="center"/>
                </w:tcPr>
                <w:p>
                  <w:pPr>
                    <w:widowControl/>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sz w:val="21"/>
                      <w:szCs w:val="21"/>
                    </w:rPr>
                    <w:t>1次</w:t>
                  </w:r>
                  <w:r>
                    <w:rPr>
                      <w:rFonts w:hint="eastAsia" w:ascii="Times New Roman" w:hAnsi="Times New Roman" w:eastAsia="宋体" w:cs="Times New Roman"/>
                      <w:color w:val="auto"/>
                      <w:sz w:val="21"/>
                      <w:szCs w:val="21"/>
                      <w:lang w:val="en-US" w:eastAsia="zh-CN"/>
                    </w:rPr>
                    <w:t>/半年</w:t>
                  </w:r>
                </w:p>
              </w:tc>
              <w:tc>
                <w:tcPr>
                  <w:tcW w:w="2801" w:type="dxa"/>
                  <w:vMerge w:val="continue"/>
                  <w:noWrap w:val="0"/>
                  <w:vAlign w:val="center"/>
                </w:tcPr>
                <w:p>
                  <w:pPr>
                    <w:adjustRightInd w:val="0"/>
                    <w:snapToGrid w:val="0"/>
                    <w:spacing w:line="240" w:lineRule="auto"/>
                    <w:jc w:val="both"/>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68"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218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VOCs</w:t>
                  </w:r>
                </w:p>
              </w:tc>
              <w:tc>
                <w:tcPr>
                  <w:tcW w:w="14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color w:val="auto"/>
                      <w:szCs w:val="21"/>
                    </w:rPr>
                  </w:pPr>
                  <w:r>
                    <w:rPr>
                      <w:rFonts w:hint="default" w:ascii="Times New Roman" w:hAnsi="Times New Roman" w:cs="Times New Roman"/>
                      <w:bCs/>
                      <w:color w:val="auto"/>
                      <w:highlight w:val="none"/>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868"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2181"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颗粒物</w:t>
                  </w:r>
                </w:p>
              </w:tc>
              <w:tc>
                <w:tcPr>
                  <w:tcW w:w="14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年</w:t>
                  </w:r>
                </w:p>
              </w:tc>
              <w:tc>
                <w:tcPr>
                  <w:tcW w:w="2801" w:type="dxa"/>
                  <w:noWrap w:val="0"/>
                  <w:vAlign w:val="center"/>
                </w:tcPr>
                <w:p>
                  <w:pPr>
                    <w:adjustRightInd w:val="0"/>
                    <w:snapToGrid w:val="0"/>
                    <w:spacing w:line="240" w:lineRule="auto"/>
                    <w:jc w:val="both"/>
                    <w:rPr>
                      <w:rFonts w:hint="default" w:ascii="Times New Roman" w:hAnsi="Times New Roman" w:cs="Times New Roman"/>
                      <w:bCs/>
                      <w:color w:val="auto"/>
                      <w:highlight w:val="none"/>
                    </w:rPr>
                  </w:pPr>
                  <w:r>
                    <w:rPr>
                      <w:color w:val="auto"/>
                      <w:szCs w:val="21"/>
                      <w:highlight w:val="none"/>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868"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218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4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1次</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季度</w:t>
                  </w:r>
                </w:p>
              </w:tc>
              <w:tc>
                <w:tcPr>
                  <w:tcW w:w="2801" w:type="dxa"/>
                  <w:noWrap w:val="0"/>
                  <w:vAlign w:val="center"/>
                </w:tcPr>
                <w:p>
                  <w:pPr>
                    <w:adjustRightInd w:val="0"/>
                    <w:snapToGrid w:val="0"/>
                    <w:spacing w:line="240" w:lineRule="auto"/>
                    <w:jc w:val="both"/>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86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雨水排放口</w:t>
                  </w:r>
                </w:p>
              </w:tc>
              <w:tc>
                <w:tcPr>
                  <w:tcW w:w="2181"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eastAsia="zh-CN"/>
                    </w:rPr>
                    <w:t>悬浮物、化学需氧量、石油类</w:t>
                  </w:r>
                </w:p>
              </w:tc>
              <w:tc>
                <w:tcPr>
                  <w:tcW w:w="142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Cs w:val="21"/>
                    </w:rPr>
                  </w:pPr>
                  <w:r>
                    <w:rPr>
                      <w:rFonts w:hint="eastAsia"/>
                      <w:color w:val="auto"/>
                      <w:lang w:val="en-US" w:eastAsia="zh-CN"/>
                    </w:rPr>
                    <w:t>1次/日</w:t>
                  </w:r>
                </w:p>
              </w:tc>
              <w:tc>
                <w:tcPr>
                  <w:tcW w:w="2801" w:type="dxa"/>
                  <w:noWrap w:val="0"/>
                  <w:vAlign w:val="center"/>
                </w:tcPr>
                <w:p>
                  <w:pPr>
                    <w:adjustRightInd w:val="0"/>
                    <w:snapToGrid w:val="0"/>
                    <w:spacing w:line="240" w:lineRule="auto"/>
                    <w:ind w:firstLine="0" w:firstLineChars="0"/>
                    <w:jc w:val="both"/>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w:t>
                  </w:r>
                  <w:r>
                    <w:rPr>
                      <w:rFonts w:hint="eastAsia" w:ascii="Times New Roman" w:hAnsi="Times New Roman" w:eastAsia="宋体" w:cs="Times New Roman"/>
                      <w:i w:val="0"/>
                      <w:iCs w:val="0"/>
                      <w:color w:val="auto"/>
                      <w:kern w:val="0"/>
                      <w:sz w:val="21"/>
                      <w:szCs w:val="21"/>
                      <w:u w:val="none"/>
                      <w:lang w:val="en-US" w:eastAsia="zh-CN" w:bidi="ar"/>
                    </w:rPr>
                    <w:t>一级标准</w:t>
                  </w:r>
                </w:p>
              </w:tc>
            </w:tr>
          </w:tbl>
          <w:p/>
          <w:p>
            <w:pPr>
              <w:spacing w:line="360" w:lineRule="auto"/>
              <w:ind w:firstLine="482" w:firstLineChars="200"/>
              <w:rPr>
                <w:b/>
                <w:bCs/>
                <w:sz w:val="24"/>
              </w:rPr>
            </w:pPr>
            <w:r>
              <w:rPr>
                <w:b/>
                <w:bCs/>
                <w:sz w:val="24"/>
              </w:rPr>
              <w:t>7、环境风险</w:t>
            </w:r>
          </w:p>
          <w:p/>
          <w:p>
            <w:pPr>
              <w:pStyle w:val="66"/>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根据本项目原辅材料性质及《建设项目环境风险评价技术导则》(HJ 169—2018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附录B，本项目重点关注的风险物质及存储情况如下表所示。</w:t>
            </w:r>
          </w:p>
          <w:p>
            <w:pPr>
              <w:pStyle w:val="60"/>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22</w:t>
            </w:r>
            <w:r>
              <w:rPr>
                <w:rFonts w:hint="default" w:ascii="Times New Roman" w:hAnsi="Times New Roman"/>
                <w:color w:val="auto"/>
                <w:highlight w:val="none"/>
              </w:rPr>
              <w:t>本项目重点关注的危险物质及储存情况表</w:t>
            </w:r>
          </w:p>
          <w:tbl>
            <w:tblPr>
              <w:tblStyle w:val="24"/>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54"/>
              <w:gridCol w:w="855"/>
              <w:gridCol w:w="956"/>
              <w:gridCol w:w="1017"/>
              <w:gridCol w:w="1358"/>
              <w:gridCol w:w="1492"/>
              <w:gridCol w:w="855"/>
              <w:gridCol w:w="11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5" w:hRule="atLeast"/>
                <w:jc w:val="center"/>
              </w:trPr>
              <w:tc>
                <w:tcPr>
                  <w:tcW w:w="820"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序号</w:t>
                  </w:r>
                </w:p>
              </w:tc>
              <w:tc>
                <w:tcPr>
                  <w:tcW w:w="821"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物质名称</w:t>
                  </w:r>
                </w:p>
              </w:tc>
              <w:tc>
                <w:tcPr>
                  <w:tcW w:w="918"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物料形态</w:t>
                  </w:r>
                </w:p>
              </w:tc>
              <w:tc>
                <w:tcPr>
                  <w:tcW w:w="976"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危险物质名称</w:t>
                  </w:r>
                </w:p>
              </w:tc>
              <w:tc>
                <w:tcPr>
                  <w:tcW w:w="1179"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 CAS号</w:t>
                  </w:r>
                </w:p>
              </w:tc>
              <w:tc>
                <w:tcPr>
                  <w:tcW w:w="1432"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危险物质折纯最大存在量（t）</w:t>
                  </w:r>
                </w:p>
              </w:tc>
              <w:tc>
                <w:tcPr>
                  <w:tcW w:w="821"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临界量（t）</w:t>
                  </w:r>
                </w:p>
              </w:tc>
              <w:tc>
                <w:tcPr>
                  <w:tcW w:w="1071"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qi/Qi</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pPr>
                    <w:widowControl/>
                    <w:jc w:val="center"/>
                    <w:textAlignment w:val="center"/>
                    <w:rPr>
                      <w:rFonts w:hint="eastAsia" w:ascii="Times New Roman" w:hAnsi="Times New Roman" w:eastAsia="宋体" w:cs="Times New Roman"/>
                      <w:color w:val="auto"/>
                      <w:szCs w:val="21"/>
                      <w:highlight w:val="none"/>
                      <w:lang w:eastAsia="zh-CN"/>
                    </w:rPr>
                  </w:pPr>
                  <w:r>
                    <w:rPr>
                      <w:rFonts w:hint="eastAsia" w:cs="Times New Roman"/>
                      <w:color w:val="auto"/>
                      <w:kern w:val="0"/>
                      <w:szCs w:val="21"/>
                      <w:highlight w:val="none"/>
                      <w:lang w:val="en-US" w:eastAsia="zh-CN" w:bidi="ar"/>
                    </w:rPr>
                    <w:t>1</w:t>
                  </w:r>
                </w:p>
              </w:tc>
              <w:tc>
                <w:tcPr>
                  <w:tcW w:w="821"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eastAsia" w:cs="Times New Roman"/>
                      <w:color w:val="auto"/>
                      <w:kern w:val="0"/>
                      <w:szCs w:val="21"/>
                      <w:highlight w:val="none"/>
                      <w:lang w:eastAsia="zh-CN" w:bidi="ar"/>
                    </w:rPr>
                    <w:t>矿物</w:t>
                  </w:r>
                  <w:r>
                    <w:rPr>
                      <w:rFonts w:hint="default" w:ascii="Times New Roman" w:hAnsi="Times New Roman" w:cs="Times New Roman"/>
                      <w:color w:val="auto"/>
                      <w:kern w:val="0"/>
                      <w:szCs w:val="21"/>
                      <w:highlight w:val="none"/>
                      <w:lang w:bidi="ar"/>
                    </w:rPr>
                    <w:t>油</w:t>
                  </w:r>
                </w:p>
              </w:tc>
              <w:tc>
                <w:tcPr>
                  <w:tcW w:w="918"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液态</w:t>
                  </w:r>
                </w:p>
              </w:tc>
              <w:tc>
                <w:tcPr>
                  <w:tcW w:w="976"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矿物油</w:t>
                  </w:r>
                </w:p>
              </w:tc>
              <w:tc>
                <w:tcPr>
                  <w:tcW w:w="1179" w:type="dxa"/>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w:t>
                  </w:r>
                </w:p>
              </w:tc>
              <w:tc>
                <w:tcPr>
                  <w:tcW w:w="1432" w:type="dxa"/>
                  <w:noWrap w:val="0"/>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bidi="ar"/>
                    </w:rPr>
                    <w:t>0.</w:t>
                  </w:r>
                  <w:r>
                    <w:rPr>
                      <w:rFonts w:hint="eastAsia" w:ascii="Times New Roman" w:hAnsi="Times New Roman" w:cs="Times New Roman"/>
                      <w:color w:val="auto"/>
                      <w:kern w:val="0"/>
                      <w:sz w:val="18"/>
                      <w:szCs w:val="18"/>
                      <w:highlight w:val="none"/>
                      <w:lang w:val="en-US" w:eastAsia="zh-CN" w:bidi="ar"/>
                    </w:rPr>
                    <w:t>2</w:t>
                  </w:r>
                </w:p>
              </w:tc>
              <w:tc>
                <w:tcPr>
                  <w:tcW w:w="821" w:type="dxa"/>
                  <w:noWrap w:val="0"/>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2500</w:t>
                  </w:r>
                </w:p>
              </w:tc>
              <w:tc>
                <w:tcPr>
                  <w:tcW w:w="1071" w:type="dxa"/>
                  <w:noWrap w:val="0"/>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00</w:t>
                  </w:r>
                  <w:r>
                    <w:rPr>
                      <w:rFonts w:hint="eastAsia" w:ascii="Times New Roman" w:hAnsi="Times New Roman" w:cs="Times New Roman"/>
                      <w:color w:val="auto"/>
                      <w:sz w:val="18"/>
                      <w:szCs w:val="18"/>
                      <w:highlight w:val="none"/>
                      <w:lang w:val="en-US" w:eastAsia="zh-CN"/>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pPr>
                    <w:widowControl/>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p>
              </w:tc>
              <w:tc>
                <w:tcPr>
                  <w:tcW w:w="821" w:type="dxa"/>
                  <w:noWrap w:val="0"/>
                  <w:vAlign w:val="center"/>
                </w:tcPr>
                <w:p>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eastAsia" w:cs="Times New Roman"/>
                      <w:color w:val="auto"/>
                      <w:kern w:val="0"/>
                      <w:szCs w:val="21"/>
                      <w:highlight w:val="none"/>
                      <w:lang w:eastAsia="zh-CN" w:bidi="ar"/>
                    </w:rPr>
                    <w:t>硫酸</w:t>
                  </w:r>
                </w:p>
              </w:tc>
              <w:tc>
                <w:tcPr>
                  <w:tcW w:w="918"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液态</w:t>
                  </w:r>
                </w:p>
              </w:tc>
              <w:tc>
                <w:tcPr>
                  <w:tcW w:w="976"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eastAsia="zh-CN" w:bidi="ar"/>
                    </w:rPr>
                    <w:t>硫酸</w:t>
                  </w:r>
                </w:p>
              </w:tc>
              <w:tc>
                <w:tcPr>
                  <w:tcW w:w="1179"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7664-93-9</w:t>
                  </w:r>
                </w:p>
              </w:tc>
              <w:tc>
                <w:tcPr>
                  <w:tcW w:w="1432" w:type="dxa"/>
                  <w:noWrap w:val="0"/>
                  <w:vAlign w:val="center"/>
                </w:tcPr>
                <w:p>
                  <w:pPr>
                    <w:widowControl/>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1.0</w:t>
                  </w:r>
                </w:p>
              </w:tc>
              <w:tc>
                <w:tcPr>
                  <w:tcW w:w="821" w:type="dxa"/>
                  <w:noWrap w:val="0"/>
                  <w:vAlign w:val="center"/>
                </w:tcPr>
                <w:p>
                  <w:pPr>
                    <w:widowControl/>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10</w:t>
                  </w:r>
                </w:p>
              </w:tc>
              <w:tc>
                <w:tcPr>
                  <w:tcW w:w="1071" w:type="dxa"/>
                  <w:noWrap w:val="0"/>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4714" w:type="dxa"/>
                  <w:gridSpan w:val="5"/>
                  <w:noWrap w:val="0"/>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合计</w:t>
                  </w:r>
                </w:p>
              </w:tc>
              <w:tc>
                <w:tcPr>
                  <w:tcW w:w="1432" w:type="dxa"/>
                  <w:noWrap w:val="0"/>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w:t>
                  </w:r>
                </w:p>
              </w:tc>
              <w:tc>
                <w:tcPr>
                  <w:tcW w:w="821" w:type="dxa"/>
                  <w:noWrap w:val="0"/>
                  <w:vAlign w:val="center"/>
                </w:tcPr>
                <w:p>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w:t>
                  </w:r>
                </w:p>
              </w:tc>
              <w:tc>
                <w:tcPr>
                  <w:tcW w:w="1071" w:type="dxa"/>
                  <w:noWrap w:val="0"/>
                  <w:vAlign w:val="center"/>
                </w:tcPr>
                <w:p>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eastAsia"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00</w:t>
                  </w:r>
                  <w:r>
                    <w:rPr>
                      <w:rFonts w:hint="eastAsia" w:ascii="Times New Roman" w:hAnsi="Times New Roman" w:cs="Times New Roman"/>
                      <w:color w:val="auto"/>
                      <w:sz w:val="18"/>
                      <w:szCs w:val="18"/>
                      <w:highlight w:val="none"/>
                      <w:lang w:val="en-US" w:eastAsia="zh-CN"/>
                    </w:rPr>
                    <w:t>8</w:t>
                  </w:r>
                </w:p>
              </w:tc>
            </w:tr>
          </w:tbl>
          <w:p>
            <w:pPr>
              <w:adjustRightInd w:val="0"/>
              <w:snapToGrid w:val="0"/>
              <w:spacing w:line="420" w:lineRule="auto"/>
              <w:ind w:firstLine="480"/>
              <w:rPr>
                <w:color w:val="auto"/>
                <w:sz w:val="24"/>
                <w:highlight w:val="none"/>
              </w:rPr>
            </w:pPr>
            <w:r>
              <w:rPr>
                <w:color w:val="auto"/>
                <w:sz w:val="24"/>
                <w:highlight w:val="none"/>
              </w:rPr>
              <w:t>项目Q值为计算所涉及的每种危险物质在厂界内的最大存在总量与其在《建设项目环境风险评价技术导则》（HJ 169-2018）附录B 中对应临界量的比值Q。当只涉及一种危险物质时，计算该物质的总量与其临界量比值，即为Q；当存在多种危险物质时，则按下式计算物质总量与其临界量比值（Q）：</w:t>
            </w:r>
          </w:p>
          <w:p>
            <w:pPr>
              <w:adjustRightInd w:val="0"/>
              <w:snapToGrid w:val="0"/>
              <w:spacing w:line="420" w:lineRule="auto"/>
              <w:ind w:firstLine="480"/>
              <w:jc w:val="center"/>
              <w:rPr>
                <w:color w:val="auto"/>
                <w:sz w:val="24"/>
                <w:highlight w:val="none"/>
              </w:rPr>
            </w:pPr>
            <w:r>
              <w:rPr>
                <w:color w:val="auto"/>
                <w:sz w:val="24"/>
                <w:highlight w:val="none"/>
              </w:rPr>
              <w:t>Q= q1/Q1+ q2/Q2+……+qn/Qn</w:t>
            </w:r>
          </w:p>
          <w:p>
            <w:pPr>
              <w:adjustRightInd w:val="0"/>
              <w:snapToGrid w:val="0"/>
              <w:spacing w:line="420" w:lineRule="auto"/>
              <w:ind w:firstLine="480"/>
              <w:rPr>
                <w:color w:val="auto"/>
                <w:sz w:val="24"/>
                <w:highlight w:val="none"/>
              </w:rPr>
            </w:pPr>
            <w:r>
              <w:rPr>
                <w:color w:val="auto"/>
                <w:sz w:val="24"/>
                <w:highlight w:val="none"/>
              </w:rPr>
              <w:t>式中：q1，q2，…，qn—每种危险物质的最大存在总量，t；</w:t>
            </w:r>
          </w:p>
          <w:p>
            <w:pPr>
              <w:adjustRightInd w:val="0"/>
              <w:snapToGrid w:val="0"/>
              <w:spacing w:line="420" w:lineRule="auto"/>
              <w:ind w:firstLine="1080" w:firstLineChars="450"/>
              <w:rPr>
                <w:color w:val="auto"/>
                <w:sz w:val="24"/>
                <w:highlight w:val="none"/>
              </w:rPr>
            </w:pPr>
            <w:r>
              <w:rPr>
                <w:color w:val="auto"/>
                <w:sz w:val="24"/>
                <w:highlight w:val="none"/>
              </w:rPr>
              <w:t>Q1，Q2，…，Qn—每种危险物质的临界量，t。</w:t>
            </w:r>
          </w:p>
          <w:p>
            <w:pPr>
              <w:adjustRightInd w:val="0"/>
              <w:snapToGrid w:val="0"/>
              <w:spacing w:line="420" w:lineRule="auto"/>
              <w:ind w:firstLine="1080" w:firstLineChars="450"/>
              <w:rPr>
                <w:color w:val="auto"/>
                <w:sz w:val="24"/>
                <w:highlight w:val="none"/>
              </w:rPr>
            </w:pPr>
            <w:r>
              <w:rPr>
                <w:color w:val="auto"/>
                <w:sz w:val="24"/>
                <w:highlight w:val="none"/>
              </w:rPr>
              <w:t>当Q＜1 时，该项目环境风险潜势为I。</w:t>
            </w:r>
          </w:p>
          <w:p>
            <w:pPr>
              <w:pStyle w:val="66"/>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根据计算，本项目Q=0.</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00</w:t>
            </w:r>
            <w:r>
              <w:rPr>
                <w:rFonts w:hint="eastAsia" w:ascii="Times New Roman" w:hAnsi="Times New Roman" w:cs="Times New Roman"/>
                <w:color w:val="auto"/>
                <w:highlight w:val="none"/>
                <w:lang w:val="en-US" w:eastAsia="zh-CN"/>
              </w:rPr>
              <w:t>08</w:t>
            </w:r>
            <w:r>
              <w:rPr>
                <w:rFonts w:hint="default" w:ascii="Times New Roman" w:hAnsi="Times New Roman" w:cs="Times New Roman"/>
                <w:color w:val="auto"/>
                <w:highlight w:val="none"/>
              </w:rPr>
              <w:t>&lt;1，</w:t>
            </w:r>
            <w:r>
              <w:rPr>
                <w:rFonts w:hint="default" w:ascii="Times New Roman" w:hAnsi="Times New Roman" w:cs="Times New Roman"/>
                <w:color w:val="auto"/>
                <w:szCs w:val="24"/>
                <w:highlight w:val="none"/>
              </w:rPr>
              <w:t>环境风险潜势为I。根据《建设项目环境影响报告表编制技术指南 污染影响类》本项目危险物质存量未超过临界量，因此不开展环境风险专题评价。</w:t>
            </w:r>
          </w:p>
          <w:p>
            <w:pPr>
              <w:pStyle w:val="66"/>
              <w:numPr>
                <w:ilvl w:val="0"/>
                <w:numId w:val="6"/>
              </w:num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环境风险物质分布情况</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根据本项目的工艺流程情况，原料暂存情况本项目风险物质主要存在于</w:t>
            </w:r>
            <w:r>
              <w:rPr>
                <w:rFonts w:hint="eastAsia" w:ascii="Times New Roman" w:hAnsi="Times New Roman" w:cs="Times New Roman"/>
                <w:color w:val="auto"/>
                <w:highlight w:val="none"/>
                <w:lang w:eastAsia="zh-CN"/>
              </w:rPr>
              <w:t>液压设备所在区域、</w:t>
            </w:r>
            <w:r>
              <w:rPr>
                <w:rFonts w:hint="default" w:ascii="Times New Roman" w:hAnsi="Times New Roman" w:cs="Times New Roman"/>
                <w:color w:val="auto"/>
                <w:highlight w:val="none"/>
              </w:rPr>
              <w:t>危废间</w:t>
            </w:r>
            <w:r>
              <w:rPr>
                <w:rFonts w:hint="eastAsia" w:ascii="Times New Roman" w:hAnsi="Times New Roman" w:cs="Times New Roman"/>
                <w:color w:val="auto"/>
                <w:highlight w:val="none"/>
                <w:lang w:eastAsia="zh-CN"/>
              </w:rPr>
              <w:t>、污水处理站、硫酸暂存间</w:t>
            </w:r>
            <w:r>
              <w:rPr>
                <w:rFonts w:hint="default" w:ascii="Times New Roman" w:hAnsi="Times New Roman" w:cs="Times New Roman"/>
                <w:color w:val="auto"/>
                <w:highlight w:val="none"/>
              </w:rPr>
              <w:t>。</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（2）可能影响途径</w:t>
            </w:r>
          </w:p>
          <w:p>
            <w:pPr>
              <w:pStyle w:val="66"/>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环境风险物质对外环境的影响方式主要为泄漏。</w:t>
            </w:r>
          </w:p>
          <w:p>
            <w:pPr>
              <w:pStyle w:val="66"/>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（3）风险防范措施</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eastAsia" w:ascii="Times New Roman" w:hAnsi="Times New Roman" w:cs="Times New Roman"/>
                <w:color w:val="auto"/>
                <w:highlight w:val="none"/>
                <w:lang w:eastAsia="zh-CN"/>
              </w:rPr>
              <w:t>润滑</w:t>
            </w:r>
            <w:r>
              <w:rPr>
                <w:rFonts w:hint="default" w:ascii="Times New Roman" w:hAnsi="Times New Roman" w:cs="Times New Roman"/>
                <w:color w:val="auto"/>
                <w:highlight w:val="none"/>
              </w:rPr>
              <w:t>油</w:t>
            </w:r>
            <w:r>
              <w:rPr>
                <w:rFonts w:hint="eastAsia" w:ascii="Times New Roman" w:hAnsi="Times New Roman" w:cs="Times New Roman"/>
                <w:color w:val="auto"/>
                <w:highlight w:val="none"/>
                <w:lang w:eastAsia="zh-CN"/>
              </w:rPr>
              <w:t>、硫酸</w:t>
            </w:r>
            <w:r>
              <w:rPr>
                <w:rFonts w:hint="default" w:ascii="Times New Roman" w:hAnsi="Times New Roman" w:cs="Times New Roman"/>
                <w:color w:val="auto"/>
                <w:highlight w:val="none"/>
              </w:rPr>
              <w:t>在厂区的储存量，降低风险物质整体存在量，以从源头上降低环境风险。</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③按照《危险废物贮存污染控制标准》GB18597－20</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rPr>
              <w:t>的规定管理危废暂存间，并做好防渗、防泄漏、防遗撒措施。危险废物定期交由</w:t>
            </w:r>
            <w:r>
              <w:rPr>
                <w:rFonts w:hint="eastAsia" w:ascii="Times New Roman" w:hAnsi="Times New Roman" w:cs="Times New Roman"/>
                <w:color w:val="auto"/>
                <w:highlight w:val="none"/>
                <w:lang w:val="en-US" w:eastAsia="zh-CN"/>
              </w:rPr>
              <w:t>有</w:t>
            </w:r>
            <w:r>
              <w:rPr>
                <w:rFonts w:hint="default" w:ascii="Times New Roman" w:hAnsi="Times New Roman" w:cs="Times New Roman"/>
                <w:color w:val="auto"/>
                <w:highlight w:val="none"/>
              </w:rPr>
              <w:t>资质</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单位处置。</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④加强原料管理，严禁烟火，</w:t>
            </w:r>
            <w:r>
              <w:rPr>
                <w:rFonts w:hint="eastAsia" w:ascii="Times New Roman" w:hAnsi="Times New Roman" w:cs="Times New Roman"/>
                <w:color w:val="auto"/>
                <w:highlight w:val="none"/>
                <w:lang w:val="en-US" w:eastAsia="zh-CN"/>
              </w:rPr>
              <w:t>车间内分散</w:t>
            </w:r>
            <w:r>
              <w:rPr>
                <w:rFonts w:hint="default" w:ascii="Times New Roman" w:hAnsi="Times New Roman" w:cs="Times New Roman"/>
                <w:color w:val="auto"/>
                <w:highlight w:val="none"/>
              </w:rPr>
              <w:t>设置干粉灭火器，以备紧急状态下扑灭初期火灾。</w:t>
            </w:r>
          </w:p>
          <w:p>
            <w:pPr>
              <w:pStyle w:val="66"/>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⑤</w:t>
            </w:r>
            <w:r>
              <w:rPr>
                <w:rFonts w:hint="default" w:ascii="Times New Roman" w:hAnsi="Times New Roman" w:cs="Times New Roman"/>
                <w:color w:val="auto"/>
              </w:rPr>
              <w:t>每年定期对</w:t>
            </w:r>
            <w:r>
              <w:rPr>
                <w:rFonts w:hint="default" w:ascii="Times New Roman" w:hAnsi="Times New Roman" w:cs="Times New Roman"/>
                <w:color w:val="auto"/>
                <w:lang w:eastAsia="zh-CN"/>
              </w:rPr>
              <w:t>生产线涉水加工区域</w:t>
            </w:r>
            <w:r>
              <w:rPr>
                <w:rFonts w:hint="default" w:ascii="Times New Roman" w:hAnsi="Times New Roman" w:cs="Times New Roman"/>
                <w:color w:val="auto"/>
              </w:rPr>
              <w:t>进行检查，</w:t>
            </w:r>
            <w:r>
              <w:rPr>
                <w:rFonts w:hint="default" w:ascii="Times New Roman" w:hAnsi="Times New Roman" w:cs="Times New Roman"/>
                <w:color w:val="auto"/>
                <w:lang w:eastAsia="zh-CN"/>
              </w:rPr>
              <w:t>防止防渗层损坏后，生产废水下渗污染土壤和地下水</w:t>
            </w:r>
            <w:r>
              <w:rPr>
                <w:rFonts w:hint="default" w:ascii="Times New Roman" w:hAnsi="Times New Roman" w:cs="Times New Roman"/>
                <w:color w:val="auto"/>
              </w:rPr>
              <w:t>。</w:t>
            </w:r>
            <w:r>
              <w:rPr>
                <w:rFonts w:hint="eastAsia" w:ascii="Times New Roman" w:hAnsi="Times New Roman" w:cs="Times New Roman"/>
                <w:color w:val="auto"/>
                <w:lang w:eastAsia="zh-CN"/>
              </w:rPr>
              <w:t>限定硫酸在厂区的暂存量</w:t>
            </w:r>
            <w:r>
              <w:rPr>
                <w:rFonts w:hint="eastAsia" w:ascii="Times New Roman" w:hAnsi="Times New Roman" w:cs="Times New Roman"/>
                <w:color w:val="auto"/>
                <w:lang w:val="en-US" w:eastAsia="zh-CN"/>
              </w:rPr>
              <w:t>。</w:t>
            </w:r>
          </w:p>
          <w:p>
            <w:pPr>
              <w:pStyle w:val="66"/>
              <w:bidi w:val="0"/>
              <w:rPr>
                <w:rFonts w:hint="default" w:ascii="Times New Roman" w:hAnsi="Times New Roman" w:cs="Times New Roman"/>
                <w:color w:val="auto"/>
                <w:highlight w:val="none"/>
              </w:rPr>
            </w:pPr>
            <w:r>
              <w:rPr>
                <w:rFonts w:hint="eastAsia" w:ascii="Times New Roman" w:hAnsi="Times New Roman" w:cs="Times New Roman"/>
                <w:color w:val="auto"/>
                <w:lang w:eastAsia="zh-CN"/>
              </w:rPr>
              <w:t>⑥限定塑料产品在厂区内的暂存量，塑料仓库暂存区域设置干粉灭火器，以备紧急状态下扑灭初期火灾。</w:t>
            </w:r>
          </w:p>
          <w:p>
            <w:pPr>
              <w:pStyle w:val="66"/>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⑦</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p>
            <w:pPr>
              <w:adjustRightInd w:val="0"/>
              <w:snapToGrid w:val="0"/>
              <w:spacing w:line="360" w:lineRule="auto"/>
              <w:ind w:firstLine="482" w:firstLineChars="200"/>
              <w:rPr>
                <w:b/>
                <w:color w:val="auto"/>
                <w:sz w:val="24"/>
                <w:highlight w:val="none"/>
              </w:rPr>
            </w:pPr>
            <w:r>
              <w:rPr>
                <w:b/>
                <w:color w:val="auto"/>
                <w:sz w:val="24"/>
                <w:highlight w:val="none"/>
              </w:rPr>
              <w:t>8、环境风险应急预案</w:t>
            </w:r>
          </w:p>
          <w:p>
            <w:pPr>
              <w:spacing w:line="444" w:lineRule="auto"/>
              <w:ind w:firstLine="480" w:firstLineChars="200"/>
              <w:jc w:val="left"/>
              <w:rPr>
                <w:color w:val="auto"/>
                <w:sz w:val="24"/>
                <w:szCs w:val="22"/>
                <w:highlight w:val="none"/>
              </w:rPr>
            </w:pPr>
            <w:r>
              <w:rPr>
                <w:color w:val="auto"/>
                <w:sz w:val="24"/>
                <w:szCs w:val="22"/>
                <w:highlight w:val="none"/>
              </w:rPr>
              <w:t>为做好本项目的应急准备工作，本环评要求建设单位按照表4-</w:t>
            </w:r>
            <w:r>
              <w:rPr>
                <w:rFonts w:hint="eastAsia"/>
                <w:color w:val="auto"/>
                <w:sz w:val="24"/>
                <w:szCs w:val="22"/>
                <w:highlight w:val="none"/>
                <w:lang w:val="en-US" w:eastAsia="zh-CN"/>
              </w:rPr>
              <w:t>23</w:t>
            </w:r>
            <w:r>
              <w:rPr>
                <w:color w:val="auto"/>
                <w:sz w:val="24"/>
                <w:szCs w:val="22"/>
                <w:highlight w:val="none"/>
              </w:rPr>
              <w:t>所示内容，制定突发环境事件应急预案，并报送遂宁市</w:t>
            </w:r>
            <w:r>
              <w:rPr>
                <w:rFonts w:hint="eastAsia"/>
                <w:color w:val="auto"/>
                <w:sz w:val="24"/>
                <w:szCs w:val="22"/>
                <w:highlight w:val="none"/>
                <w:lang w:eastAsia="zh-CN"/>
              </w:rPr>
              <w:t>蓬溪</w:t>
            </w:r>
            <w:r>
              <w:rPr>
                <w:color w:val="auto"/>
                <w:sz w:val="24"/>
                <w:szCs w:val="22"/>
                <w:highlight w:val="none"/>
              </w:rPr>
              <w:t>生态环境局备案。</w:t>
            </w:r>
          </w:p>
          <w:p>
            <w:pPr>
              <w:adjustRightInd w:val="0"/>
              <w:snapToGrid w:val="0"/>
              <w:spacing w:before="120" w:line="360" w:lineRule="auto"/>
              <w:ind w:firstLine="482" w:firstLineChars="200"/>
              <w:jc w:val="center"/>
              <w:rPr>
                <w:b/>
                <w:bCs/>
                <w:color w:val="auto"/>
                <w:sz w:val="24"/>
                <w:highlight w:val="none"/>
              </w:rPr>
            </w:pPr>
            <w:r>
              <w:rPr>
                <w:b/>
                <w:bCs/>
                <w:color w:val="auto"/>
                <w:sz w:val="24"/>
                <w:highlight w:val="none"/>
              </w:rPr>
              <w:t>表 4-</w:t>
            </w:r>
            <w:r>
              <w:rPr>
                <w:rFonts w:hint="eastAsia"/>
                <w:b/>
                <w:bCs/>
                <w:color w:val="auto"/>
                <w:sz w:val="24"/>
                <w:highlight w:val="none"/>
                <w:lang w:val="en-US" w:eastAsia="zh-CN"/>
              </w:rPr>
              <w:t>23</w:t>
            </w:r>
            <w:r>
              <w:rPr>
                <w:b/>
                <w:bCs/>
                <w:color w:val="auto"/>
                <w:sz w:val="24"/>
                <w:highlight w:val="none"/>
              </w:rPr>
              <w:t>环境风险应急预案内容</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2"/>
              <w:gridCol w:w="2905"/>
              <w:gridCol w:w="42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1252" w:type="dxa"/>
                  <w:noWrap w:val="0"/>
                  <w:vAlign w:val="center"/>
                </w:tcPr>
                <w:p>
                  <w:pPr>
                    <w:widowControl/>
                    <w:adjustRightInd w:val="0"/>
                    <w:snapToGrid w:val="0"/>
                    <w:jc w:val="center"/>
                    <w:rPr>
                      <w:b/>
                      <w:bCs/>
                      <w:color w:val="auto"/>
                      <w:sz w:val="24"/>
                      <w:highlight w:val="none"/>
                    </w:rPr>
                  </w:pPr>
                  <w:r>
                    <w:rPr>
                      <w:b/>
                      <w:bCs/>
                      <w:color w:val="auto"/>
                      <w:sz w:val="24"/>
                      <w:highlight w:val="none"/>
                    </w:rPr>
                    <w:t>序号</w:t>
                  </w:r>
                </w:p>
              </w:tc>
              <w:tc>
                <w:tcPr>
                  <w:tcW w:w="2905" w:type="dxa"/>
                  <w:noWrap w:val="0"/>
                  <w:vAlign w:val="center"/>
                </w:tcPr>
                <w:p>
                  <w:pPr>
                    <w:widowControl/>
                    <w:adjustRightInd w:val="0"/>
                    <w:snapToGrid w:val="0"/>
                    <w:jc w:val="center"/>
                    <w:rPr>
                      <w:b/>
                      <w:bCs/>
                      <w:color w:val="auto"/>
                      <w:sz w:val="24"/>
                      <w:highlight w:val="none"/>
                    </w:rPr>
                  </w:pPr>
                  <w:r>
                    <w:rPr>
                      <w:b/>
                      <w:bCs/>
                      <w:color w:val="auto"/>
                      <w:sz w:val="24"/>
                      <w:highlight w:val="none"/>
                    </w:rPr>
                    <w:t>项目</w:t>
                  </w:r>
                </w:p>
              </w:tc>
              <w:tc>
                <w:tcPr>
                  <w:tcW w:w="4241" w:type="dxa"/>
                  <w:noWrap w:val="0"/>
                  <w:vAlign w:val="center"/>
                </w:tcPr>
                <w:p>
                  <w:pPr>
                    <w:widowControl/>
                    <w:adjustRightInd w:val="0"/>
                    <w:snapToGrid w:val="0"/>
                    <w:jc w:val="center"/>
                    <w:rPr>
                      <w:b/>
                      <w:bCs/>
                      <w:color w:val="auto"/>
                      <w:sz w:val="24"/>
                      <w:highlight w:val="none"/>
                    </w:rPr>
                  </w:pPr>
                  <w:r>
                    <w:rPr>
                      <w:b/>
                      <w:bCs/>
                      <w:color w:val="auto"/>
                      <w:sz w:val="24"/>
                      <w:highlight w:val="none"/>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1</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应急组织机构、人员</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公司应急机构人员，地方政府应急联络人员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2</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预案分级响应条件</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3</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应急救援保障</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应急设施、设备与器材等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4</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报警、通讯联络方式</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规定应急状态下的</w:t>
                  </w:r>
                  <w:r>
                    <w:rPr>
                      <w:rFonts w:hint="eastAsia"/>
                      <w:color w:val="auto"/>
                      <w:szCs w:val="21"/>
                      <w:highlight w:val="none"/>
                      <w:lang w:eastAsia="zh-CN"/>
                    </w:rPr>
                    <w:t>报警通信</w:t>
                  </w:r>
                  <w:r>
                    <w:rPr>
                      <w:color w:val="auto"/>
                      <w:szCs w:val="21"/>
                      <w:highlight w:val="none"/>
                    </w:rPr>
                    <w:t>方式；交通保障、管制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04"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5</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应急环境监测、抢险、救援及</w:t>
                  </w:r>
                </w:p>
                <w:p>
                  <w:pPr>
                    <w:adjustRightInd w:val="0"/>
                    <w:snapToGrid w:val="0"/>
                    <w:spacing w:line="360" w:lineRule="auto"/>
                    <w:rPr>
                      <w:color w:val="auto"/>
                      <w:szCs w:val="21"/>
                      <w:highlight w:val="none"/>
                    </w:rPr>
                  </w:pPr>
                  <w:r>
                    <w:rPr>
                      <w:color w:val="auto"/>
                      <w:szCs w:val="21"/>
                      <w:highlight w:val="none"/>
                    </w:rPr>
                    <w:t>控制措施</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委托监测机构对事故现场进行监测，对事故性质、参数与后果进行评估，为指挥部门提供决策根据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6</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应急</w:t>
                  </w:r>
                  <w:r>
                    <w:rPr>
                      <w:rFonts w:hint="eastAsia"/>
                      <w:color w:val="auto"/>
                      <w:szCs w:val="21"/>
                      <w:highlight w:val="none"/>
                      <w:lang w:eastAsia="zh-CN"/>
                    </w:rPr>
                    <w:t>监测</w:t>
                  </w:r>
                  <w:r>
                    <w:rPr>
                      <w:color w:val="auto"/>
                      <w:szCs w:val="21"/>
                      <w:highlight w:val="none"/>
                    </w:rPr>
                    <w:t>、防护措施、清除泄漏措施器材</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7</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人员紧急撤离、疏散</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00"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8</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事故应急救援关闭程序与恢复措施</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专业队伍抢救结束后，做好事故现场善</w:t>
                  </w:r>
                  <w:r>
                    <w:rPr>
                      <w:rFonts w:hint="eastAsia"/>
                      <w:color w:val="auto"/>
                      <w:szCs w:val="21"/>
                      <w:highlight w:val="none"/>
                      <w:lang w:eastAsia="zh-CN"/>
                    </w:rPr>
                    <w:t>后处</w:t>
                  </w:r>
                  <w:r>
                    <w:rPr>
                      <w:color w:val="auto"/>
                      <w:szCs w:val="21"/>
                      <w:highlight w:val="none"/>
                    </w:rPr>
                    <w:t>理，邻近区域解除事故警戒及善后恢复措施，现场调查、清理、清洗工作恢复生产状态，组织生产。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1252" w:type="dxa"/>
                  <w:noWrap w:val="0"/>
                  <w:vAlign w:val="center"/>
                </w:tcPr>
                <w:p>
                  <w:pPr>
                    <w:adjustRightInd w:val="0"/>
                    <w:snapToGrid w:val="0"/>
                    <w:jc w:val="center"/>
                    <w:rPr>
                      <w:color w:val="auto"/>
                      <w:szCs w:val="21"/>
                      <w:highlight w:val="none"/>
                    </w:rPr>
                  </w:pPr>
                  <w:r>
                    <w:rPr>
                      <w:color w:val="auto"/>
                      <w:szCs w:val="21"/>
                      <w:highlight w:val="none"/>
                    </w:rPr>
                    <w:t>9</w:t>
                  </w:r>
                </w:p>
              </w:tc>
              <w:tc>
                <w:tcPr>
                  <w:tcW w:w="2905" w:type="dxa"/>
                  <w:noWrap w:val="0"/>
                  <w:vAlign w:val="center"/>
                </w:tcPr>
                <w:p>
                  <w:pPr>
                    <w:adjustRightInd w:val="0"/>
                    <w:snapToGrid w:val="0"/>
                    <w:spacing w:line="360" w:lineRule="auto"/>
                    <w:rPr>
                      <w:color w:val="auto"/>
                      <w:szCs w:val="21"/>
                      <w:highlight w:val="none"/>
                    </w:rPr>
                  </w:pPr>
                  <w:r>
                    <w:rPr>
                      <w:color w:val="auto"/>
                      <w:szCs w:val="21"/>
                      <w:highlight w:val="none"/>
                    </w:rPr>
                    <w:t>应急培训计划</w:t>
                  </w:r>
                </w:p>
              </w:tc>
              <w:tc>
                <w:tcPr>
                  <w:tcW w:w="4241" w:type="dxa"/>
                  <w:noWrap w:val="0"/>
                  <w:vAlign w:val="center"/>
                </w:tcPr>
                <w:p>
                  <w:pPr>
                    <w:adjustRightInd w:val="0"/>
                    <w:snapToGrid w:val="0"/>
                    <w:spacing w:line="360" w:lineRule="auto"/>
                    <w:rPr>
                      <w:color w:val="auto"/>
                      <w:szCs w:val="21"/>
                      <w:highlight w:val="none"/>
                    </w:rPr>
                  </w:pPr>
                  <w:r>
                    <w:rPr>
                      <w:color w:val="auto"/>
                      <w:szCs w:val="21"/>
                      <w:highlight w:val="none"/>
                    </w:rPr>
                    <w:t>制定计划，安排人员培训与演练</w:t>
                  </w:r>
                </w:p>
              </w:tc>
            </w:tr>
          </w:tbl>
          <w:p>
            <w:pPr>
              <w:pStyle w:val="2"/>
              <w:rPr>
                <w:color w:val="auto"/>
                <w:highlight w:val="none"/>
              </w:rPr>
            </w:pPr>
          </w:p>
          <w:p>
            <w:pPr>
              <w:pStyle w:val="2"/>
            </w:pPr>
          </w:p>
          <w:p>
            <w:pPr>
              <w:adjustRightInd w:val="0"/>
              <w:snapToGrid w:val="0"/>
              <w:spacing w:line="360" w:lineRule="auto"/>
              <w:rPr>
                <w:b/>
                <w:kern w:val="0"/>
                <w:sz w:val="28"/>
                <w:szCs w:val="28"/>
                <w:vertAlign w:val="baseline"/>
              </w:rPr>
            </w:pPr>
          </w:p>
        </w:tc>
      </w:tr>
    </w:tbl>
    <w:p>
      <w:pPr>
        <w:adjustRightInd w:val="0"/>
        <w:snapToGrid w:val="0"/>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1"/>
        <w:spacing w:before="0" w:beforeAutospacing="0" w:after="0" w:afterAutospacing="0"/>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2" w:name="_Hlk54167917"/>
      <w:r>
        <w:rPr>
          <w:rFonts w:ascii="Times New Roman" w:hAnsi="Times New Roman" w:eastAsia="黑体"/>
          <w:snapToGrid w:val="0"/>
          <w:sz w:val="30"/>
          <w:szCs w:val="30"/>
        </w:rPr>
        <w:t>环境保护措施监督检查清单</w:t>
      </w:r>
      <w:bookmarkEnd w:id="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118"/>
        <w:gridCol w:w="1609"/>
        <w:gridCol w:w="1704"/>
        <w:gridCol w:w="19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pPr>
              <w:adjustRightInd w:val="0"/>
              <w:snapToGrid w:val="0"/>
              <w:ind w:firstLine="840"/>
              <w:rPr>
                <w:sz w:val="24"/>
              </w:rPr>
            </w:pPr>
            <w:r>
              <w:rPr>
                <w:sz w:val="24"/>
              </w:rPr>
              <w:t>内容</w:t>
            </w:r>
          </w:p>
          <w:p>
            <w:pPr>
              <w:adjustRightInd w:val="0"/>
              <w:snapToGrid w:val="0"/>
              <w:rPr>
                <w:sz w:val="24"/>
              </w:rPr>
            </w:pPr>
            <w:r>
              <w:rPr>
                <w:sz w:val="24"/>
              </w:rPr>
              <w:t>要素</w:t>
            </w:r>
          </w:p>
        </w:tc>
        <w:tc>
          <w:tcPr>
            <w:tcW w:w="2118" w:type="dxa"/>
            <w:noWrap w:val="0"/>
            <w:vAlign w:val="center"/>
          </w:tcPr>
          <w:p>
            <w:pPr>
              <w:adjustRightInd w:val="0"/>
              <w:snapToGrid w:val="0"/>
              <w:jc w:val="center"/>
              <w:rPr>
                <w:sz w:val="24"/>
              </w:rPr>
            </w:pPr>
            <w:r>
              <w:rPr>
                <w:sz w:val="24"/>
              </w:rPr>
              <w:t>排放口</w:t>
            </w:r>
            <w:r>
              <w:rPr>
                <w:rFonts w:hint="eastAsia"/>
                <w:sz w:val="24"/>
              </w:rPr>
              <w:t>（</w:t>
            </w:r>
            <w:r>
              <w:rPr>
                <w:sz w:val="24"/>
              </w:rPr>
              <w:t>编号、</w:t>
            </w:r>
          </w:p>
          <w:p>
            <w:pPr>
              <w:adjustRightInd w:val="0"/>
              <w:snapToGrid w:val="0"/>
              <w:jc w:val="center"/>
              <w:rPr>
                <w:sz w:val="24"/>
              </w:rPr>
            </w:pPr>
            <w:r>
              <w:rPr>
                <w:sz w:val="24"/>
              </w:rPr>
              <w:t>名称</w:t>
            </w:r>
            <w:r>
              <w:rPr>
                <w:rFonts w:hint="eastAsia"/>
                <w:sz w:val="24"/>
              </w:rPr>
              <w:t>）</w:t>
            </w:r>
            <w:r>
              <w:rPr>
                <w:sz w:val="24"/>
              </w:rPr>
              <w:t>/污染源</w:t>
            </w:r>
          </w:p>
        </w:tc>
        <w:tc>
          <w:tcPr>
            <w:tcW w:w="1609" w:type="dxa"/>
            <w:noWrap w:val="0"/>
            <w:vAlign w:val="center"/>
          </w:tcPr>
          <w:p>
            <w:pPr>
              <w:adjustRightInd w:val="0"/>
              <w:snapToGrid w:val="0"/>
              <w:jc w:val="center"/>
              <w:rPr>
                <w:sz w:val="24"/>
              </w:rPr>
            </w:pPr>
            <w:r>
              <w:rPr>
                <w:sz w:val="24"/>
              </w:rPr>
              <w:t>污染物项目</w:t>
            </w:r>
          </w:p>
        </w:tc>
        <w:tc>
          <w:tcPr>
            <w:tcW w:w="1704" w:type="dxa"/>
            <w:noWrap w:val="0"/>
            <w:vAlign w:val="center"/>
          </w:tcPr>
          <w:p>
            <w:pPr>
              <w:adjustRightInd w:val="0"/>
              <w:snapToGrid w:val="0"/>
              <w:jc w:val="center"/>
              <w:rPr>
                <w:sz w:val="24"/>
              </w:rPr>
            </w:pPr>
            <w:r>
              <w:rPr>
                <w:sz w:val="24"/>
              </w:rPr>
              <w:t>环境保护措施</w:t>
            </w:r>
          </w:p>
        </w:tc>
        <w:tc>
          <w:tcPr>
            <w:tcW w:w="1954" w:type="dxa"/>
            <w:noWrap w:val="0"/>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restart"/>
            <w:noWrap w:val="0"/>
            <w:vAlign w:val="center"/>
          </w:tcPr>
          <w:p>
            <w:pPr>
              <w:adjustRightInd w:val="0"/>
              <w:snapToGrid w:val="0"/>
              <w:jc w:val="center"/>
              <w:rPr>
                <w:sz w:val="24"/>
              </w:rPr>
            </w:pPr>
            <w:r>
              <w:rPr>
                <w:sz w:val="24"/>
              </w:rPr>
              <w:t>大气环境</w:t>
            </w:r>
          </w:p>
        </w:tc>
        <w:tc>
          <w:tcPr>
            <w:tcW w:w="2118" w:type="dxa"/>
            <w:noWrap w:val="0"/>
            <w:vAlign w:val="center"/>
          </w:tcPr>
          <w:p>
            <w:pPr>
              <w:adjustRightInd w:val="0"/>
              <w:snapToGrid w:val="0"/>
              <w:jc w:val="center"/>
              <w:rPr>
                <w:rFonts w:hint="eastAsia"/>
                <w:sz w:val="24"/>
                <w:szCs w:val="24"/>
              </w:rPr>
            </w:pPr>
            <w:r>
              <w:rPr>
                <w:rFonts w:hint="eastAsia" w:cs="Times New Roman"/>
                <w:color w:val="auto"/>
                <w:sz w:val="24"/>
                <w:szCs w:val="24"/>
                <w:lang w:val="en-US" w:eastAsia="zh-CN"/>
              </w:rPr>
              <w:t>塑料筐生产原料混料</w:t>
            </w:r>
            <w:r>
              <w:rPr>
                <w:rFonts w:hint="default" w:ascii="Times New Roman" w:hAnsi="Times New Roman" w:cs="Times New Roman"/>
                <w:color w:val="auto"/>
                <w:sz w:val="24"/>
                <w:szCs w:val="24"/>
                <w:lang w:val="en-US" w:eastAsia="zh-CN"/>
              </w:rPr>
              <w:t>粉尘</w:t>
            </w:r>
            <w:r>
              <w:rPr>
                <w:rFonts w:hint="default" w:ascii="Times New Roman" w:hAnsi="Times New Roman" w:cs="Times New Roman"/>
                <w:color w:val="auto"/>
                <w:sz w:val="24"/>
                <w:szCs w:val="24"/>
              </w:rPr>
              <w:t>排放口（DA00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p>
        </w:tc>
        <w:tc>
          <w:tcPr>
            <w:tcW w:w="1609" w:type="dxa"/>
            <w:noWrap w:val="0"/>
            <w:vAlign w:val="center"/>
          </w:tcPr>
          <w:p>
            <w:pPr>
              <w:adjustRightInd w:val="0"/>
              <w:snapToGrid w:val="0"/>
              <w:jc w:val="center"/>
              <w:rPr>
                <w:sz w:val="24"/>
              </w:rPr>
            </w:pPr>
            <w:r>
              <w:rPr>
                <w:rFonts w:hint="eastAsia" w:ascii="Times New Roman" w:hAnsi="Times New Roman" w:eastAsia="宋体" w:cs="Times New Roman"/>
                <w:sz w:val="24"/>
                <w:lang w:eastAsia="zh-CN"/>
              </w:rPr>
              <w:t>颗粒物</w:t>
            </w:r>
          </w:p>
        </w:tc>
        <w:tc>
          <w:tcPr>
            <w:tcW w:w="1704" w:type="dxa"/>
            <w:noWrap w:val="0"/>
            <w:vAlign w:val="center"/>
          </w:tcPr>
          <w:p>
            <w:pPr>
              <w:adjustRightInd w:val="0"/>
              <w:snapToGrid w:val="0"/>
              <w:jc w:val="center"/>
              <w:rPr>
                <w:rFonts w:hint="default"/>
                <w:sz w:val="24"/>
                <w:lang w:val="en-US"/>
              </w:rPr>
            </w:pPr>
            <w:r>
              <w:rPr>
                <w:rFonts w:hint="eastAsia"/>
                <w:sz w:val="24"/>
                <w:lang w:val="en-US" w:eastAsia="zh-CN"/>
              </w:rPr>
              <w:t>侧吸罩收集+布袋除尘器+</w:t>
            </w:r>
            <w:r>
              <w:rPr>
                <w:sz w:val="24"/>
              </w:rPr>
              <w:t>15m排气筒</w:t>
            </w:r>
          </w:p>
        </w:tc>
        <w:tc>
          <w:tcPr>
            <w:tcW w:w="1954" w:type="dxa"/>
            <w:noWrap w:val="0"/>
            <w:vAlign w:val="center"/>
          </w:tcPr>
          <w:p>
            <w:pPr>
              <w:adjustRightInd w:val="0"/>
              <w:snapToGrid w:val="0"/>
              <w:jc w:val="center"/>
              <w:rPr>
                <w:sz w:val="24"/>
                <w:szCs w:val="24"/>
              </w:rPr>
            </w:pPr>
            <w:r>
              <w:rPr>
                <w:color w:val="auto"/>
                <w:sz w:val="24"/>
                <w:szCs w:val="24"/>
                <w:highlight w:val="none"/>
              </w:rPr>
              <w:t>《大气污染物综合排放标准》</w:t>
            </w:r>
            <w:r>
              <w:rPr>
                <w:rFonts w:ascii="Times New Roman" w:hAnsi="Times New Roman" w:eastAsia="宋体" w:cs="Times New Roman"/>
                <w:color w:val="auto"/>
                <w:sz w:val="21"/>
                <w:szCs w:val="21"/>
                <w:highlight w:val="none"/>
              </w:rPr>
              <w:t>（GB16297-1996）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pPr>
              <w:adjustRightInd w:val="0"/>
              <w:snapToGrid w:val="0"/>
              <w:jc w:val="center"/>
              <w:rPr>
                <w:sz w:val="24"/>
              </w:rPr>
            </w:pPr>
          </w:p>
        </w:tc>
        <w:tc>
          <w:tcPr>
            <w:tcW w:w="2118" w:type="dxa"/>
            <w:noWrap w:val="0"/>
            <w:vAlign w:val="center"/>
          </w:tcPr>
          <w:p>
            <w:pPr>
              <w:adjustRightInd w:val="0"/>
              <w:snapToGrid w:val="0"/>
              <w:jc w:val="center"/>
              <w:rPr>
                <w:rFonts w:hint="default" w:eastAsia="宋体"/>
                <w:sz w:val="24"/>
                <w:szCs w:val="24"/>
                <w:lang w:val="en-US" w:eastAsia="zh-CN"/>
              </w:rPr>
            </w:pPr>
            <w:r>
              <w:rPr>
                <w:rFonts w:hint="eastAsia" w:ascii="Times New Roman" w:hAnsi="Times New Roman" w:eastAsia="宋体" w:cs="Times New Roman"/>
                <w:color w:val="auto"/>
                <w:sz w:val="24"/>
                <w:szCs w:val="24"/>
                <w:lang w:val="en-US" w:eastAsia="zh-CN"/>
              </w:rPr>
              <w:t>塑料框生产有机</w:t>
            </w:r>
            <w:r>
              <w:rPr>
                <w:rFonts w:hint="default" w:ascii="Times New Roman" w:hAnsi="Times New Roman" w:eastAsia="宋体" w:cs="Times New Roman"/>
                <w:color w:val="auto"/>
                <w:sz w:val="24"/>
                <w:szCs w:val="24"/>
                <w:lang w:val="en-US" w:eastAsia="zh-CN"/>
              </w:rPr>
              <w:t>废气排放口（DA002）</w:t>
            </w:r>
          </w:p>
        </w:tc>
        <w:tc>
          <w:tcPr>
            <w:tcW w:w="1609" w:type="dxa"/>
            <w:noWrap w:val="0"/>
            <w:vAlign w:val="center"/>
          </w:tcPr>
          <w:p>
            <w:pPr>
              <w:adjustRightInd w:val="0"/>
              <w:snapToGrid w:val="0"/>
              <w:jc w:val="center"/>
              <w:rPr>
                <w:rFonts w:hint="default" w:eastAsia="宋体"/>
                <w:sz w:val="24"/>
                <w:lang w:val="en-US" w:eastAsia="zh-CN"/>
              </w:rPr>
            </w:pPr>
            <w:r>
              <w:rPr>
                <w:rFonts w:hint="eastAsia"/>
                <w:sz w:val="24"/>
              </w:rPr>
              <w:t>颗粒物</w:t>
            </w:r>
            <w:r>
              <w:rPr>
                <w:rFonts w:hint="eastAsia"/>
                <w:sz w:val="24"/>
                <w:lang w:eastAsia="zh-CN"/>
              </w:rPr>
              <w:t>、</w:t>
            </w:r>
            <w:r>
              <w:rPr>
                <w:rFonts w:hint="eastAsia"/>
                <w:sz w:val="24"/>
                <w:lang w:val="en-US" w:eastAsia="zh-CN"/>
              </w:rPr>
              <w:t>VOCs（以非甲烷总烃计）</w:t>
            </w:r>
          </w:p>
        </w:tc>
        <w:tc>
          <w:tcPr>
            <w:tcW w:w="1704" w:type="dxa"/>
            <w:noWrap w:val="0"/>
            <w:vAlign w:val="center"/>
          </w:tcPr>
          <w:p>
            <w:pPr>
              <w:adjustRightInd w:val="0"/>
              <w:snapToGrid w:val="0"/>
              <w:jc w:val="center"/>
              <w:rPr>
                <w:rFonts w:hint="default" w:eastAsia="宋体"/>
                <w:sz w:val="24"/>
                <w:lang w:val="en-US" w:eastAsia="zh-CN"/>
              </w:rPr>
            </w:pPr>
            <w:r>
              <w:rPr>
                <w:rFonts w:hint="eastAsia"/>
                <w:sz w:val="24"/>
                <w:lang w:val="en-US" w:eastAsia="zh-CN"/>
              </w:rPr>
              <w:t>过滤棉+活性炭吸附系统+</w:t>
            </w:r>
            <w:r>
              <w:rPr>
                <w:sz w:val="24"/>
              </w:rPr>
              <w:t>15m排气筒</w:t>
            </w:r>
          </w:p>
        </w:tc>
        <w:tc>
          <w:tcPr>
            <w:tcW w:w="1954" w:type="dxa"/>
            <w:noWrap w:val="0"/>
            <w:vAlign w:val="center"/>
          </w:tcPr>
          <w:p>
            <w:pPr>
              <w:adjustRightInd w:val="0"/>
              <w:snapToGrid w:val="0"/>
              <w:jc w:val="center"/>
              <w:rPr>
                <w:sz w:val="24"/>
                <w:szCs w:val="24"/>
              </w:rPr>
            </w:pPr>
            <w:r>
              <w:rPr>
                <w:rFonts w:hint="default" w:ascii="Times New Roman" w:hAnsi="Times New Roman" w:cs="Times New Roman"/>
                <w:bCs/>
                <w:color w:val="auto"/>
                <w:sz w:val="24"/>
                <w:szCs w:val="24"/>
                <w:highlight w:val="none"/>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pPr>
              <w:adjustRightInd w:val="0"/>
              <w:snapToGrid w:val="0"/>
              <w:jc w:val="center"/>
              <w:rPr>
                <w:sz w:val="24"/>
              </w:rPr>
            </w:pPr>
          </w:p>
        </w:tc>
        <w:tc>
          <w:tcPr>
            <w:tcW w:w="2118" w:type="dxa"/>
            <w:noWrap w:val="0"/>
            <w:vAlign w:val="center"/>
          </w:tcPr>
          <w:p>
            <w:pPr>
              <w:adjustRightInd w:val="0"/>
              <w:snapToGrid w:val="0"/>
              <w:jc w:val="center"/>
              <w:rPr>
                <w:rFonts w:hint="eastAsia"/>
                <w:sz w:val="24"/>
                <w:szCs w:val="24"/>
                <w:lang w:val="en-US" w:eastAsia="zh-CN"/>
              </w:rPr>
            </w:pPr>
            <w:r>
              <w:rPr>
                <w:rFonts w:hint="eastAsia" w:ascii="Times New Roman" w:hAnsi="Times New Roman" w:eastAsia="宋体" w:cs="Times New Roman"/>
                <w:color w:val="auto"/>
                <w:sz w:val="24"/>
                <w:szCs w:val="24"/>
                <w:lang w:val="en-US" w:eastAsia="zh-CN"/>
              </w:rPr>
              <w:t>废塑料造粒生产</w:t>
            </w:r>
            <w:r>
              <w:rPr>
                <w:rFonts w:hint="default" w:ascii="Times New Roman" w:hAnsi="Times New Roman" w:eastAsia="宋体" w:cs="Times New Roman"/>
                <w:color w:val="auto"/>
                <w:sz w:val="24"/>
                <w:szCs w:val="24"/>
                <w:lang w:val="en-US" w:eastAsia="zh-CN"/>
              </w:rPr>
              <w:t>有机废气排放口（DA00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tc>
        <w:tc>
          <w:tcPr>
            <w:tcW w:w="1609" w:type="dxa"/>
            <w:noWrap w:val="0"/>
            <w:vAlign w:val="center"/>
          </w:tcPr>
          <w:p>
            <w:pPr>
              <w:adjustRightInd w:val="0"/>
              <w:snapToGrid w:val="0"/>
              <w:jc w:val="center"/>
              <w:rPr>
                <w:rFonts w:hint="eastAsia"/>
                <w:sz w:val="24"/>
              </w:rPr>
            </w:pPr>
            <w:r>
              <w:rPr>
                <w:rFonts w:hint="eastAsia"/>
                <w:sz w:val="24"/>
                <w:lang w:val="en-US" w:eastAsia="zh-CN"/>
              </w:rPr>
              <w:t>VOCs（以非甲烷总烃计）</w:t>
            </w:r>
          </w:p>
        </w:tc>
        <w:tc>
          <w:tcPr>
            <w:tcW w:w="1704" w:type="dxa"/>
            <w:noWrap w:val="0"/>
            <w:vAlign w:val="center"/>
          </w:tcPr>
          <w:p>
            <w:pPr>
              <w:adjustRightInd w:val="0"/>
              <w:snapToGrid w:val="0"/>
              <w:jc w:val="center"/>
              <w:rPr>
                <w:rFonts w:hint="eastAsia"/>
                <w:sz w:val="24"/>
                <w:lang w:val="en-US" w:eastAsia="zh-CN"/>
              </w:rPr>
            </w:pPr>
            <w:r>
              <w:rPr>
                <w:rFonts w:hint="eastAsia"/>
                <w:sz w:val="24"/>
                <w:lang w:val="en-US" w:eastAsia="zh-CN"/>
              </w:rPr>
              <w:t>活性炭吸附系统+</w:t>
            </w:r>
            <w:r>
              <w:rPr>
                <w:sz w:val="24"/>
              </w:rPr>
              <w:t>15m排气筒</w:t>
            </w:r>
          </w:p>
        </w:tc>
        <w:tc>
          <w:tcPr>
            <w:tcW w:w="1954" w:type="dxa"/>
            <w:noWrap w:val="0"/>
            <w:vAlign w:val="center"/>
          </w:tcPr>
          <w:p>
            <w:pPr>
              <w:adjustRightInd w:val="0"/>
              <w:snapToGrid w:val="0"/>
              <w:jc w:val="center"/>
              <w:rPr>
                <w:rFonts w:hint="default" w:ascii="Times New Roman" w:hAnsi="Times New Roman" w:cs="Times New Roman"/>
                <w:bCs/>
                <w:color w:val="auto"/>
                <w:sz w:val="24"/>
                <w:szCs w:val="24"/>
                <w:highlight w:val="none"/>
              </w:rPr>
            </w:pPr>
            <w:r>
              <w:rPr>
                <w:color w:val="auto"/>
                <w:sz w:val="24"/>
                <w:szCs w:val="24"/>
                <w:highlight w:val="none"/>
              </w:rPr>
              <w:t>《大气污染物综合排放标准》</w:t>
            </w:r>
            <w:r>
              <w:rPr>
                <w:color w:val="auto"/>
                <w:sz w:val="21"/>
                <w:szCs w:val="21"/>
                <w:highlight w:val="none"/>
              </w:rPr>
              <w:t>（GB16297-1996）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jc w:val="center"/>
              <w:rPr>
                <w:sz w:val="24"/>
              </w:rPr>
            </w:pPr>
            <w:r>
              <w:rPr>
                <w:sz w:val="24"/>
              </w:rPr>
              <w:t>地表水环境</w:t>
            </w:r>
          </w:p>
        </w:tc>
        <w:tc>
          <w:tcPr>
            <w:tcW w:w="2118" w:type="dxa"/>
            <w:noWrap w:val="0"/>
            <w:vAlign w:val="center"/>
          </w:tcPr>
          <w:p>
            <w:pPr>
              <w:adjustRightInd w:val="0"/>
              <w:snapToGrid w:val="0"/>
              <w:jc w:val="center"/>
              <w:rPr>
                <w:sz w:val="24"/>
              </w:rPr>
            </w:pPr>
            <w:r>
              <w:rPr>
                <w:rFonts w:hint="eastAsia"/>
                <w:sz w:val="24"/>
                <w:lang w:val="en-US" w:eastAsia="zh-CN"/>
              </w:rPr>
              <w:t>废水排放口</w:t>
            </w:r>
            <w:r>
              <w:rPr>
                <w:sz w:val="24"/>
              </w:rPr>
              <w:t>（DW001）</w:t>
            </w:r>
          </w:p>
        </w:tc>
        <w:tc>
          <w:tcPr>
            <w:tcW w:w="1609" w:type="dxa"/>
            <w:noWrap w:val="0"/>
            <w:vAlign w:val="center"/>
          </w:tcPr>
          <w:p>
            <w:pPr>
              <w:adjustRightInd w:val="0"/>
              <w:snapToGrid w:val="0"/>
              <w:jc w:val="center"/>
              <w:rPr>
                <w:sz w:val="24"/>
              </w:rPr>
            </w:pPr>
            <w:r>
              <w:rPr>
                <w:rFonts w:hint="eastAsia"/>
                <w:sz w:val="24"/>
                <w:lang w:val="en-US" w:eastAsia="zh-CN"/>
              </w:rPr>
              <w:t>pH、</w:t>
            </w:r>
            <w:r>
              <w:rPr>
                <w:sz w:val="24"/>
              </w:rPr>
              <w:t>COD、BOD</w:t>
            </w:r>
            <w:r>
              <w:rPr>
                <w:sz w:val="24"/>
                <w:vertAlign w:val="subscript"/>
              </w:rPr>
              <w:t>5</w:t>
            </w:r>
            <w:r>
              <w:rPr>
                <w:sz w:val="24"/>
              </w:rPr>
              <w:t>、NH</w:t>
            </w:r>
            <w:r>
              <w:rPr>
                <w:sz w:val="24"/>
                <w:vertAlign w:val="subscript"/>
              </w:rPr>
              <w:t>3</w:t>
            </w:r>
            <w:r>
              <w:rPr>
                <w:sz w:val="24"/>
              </w:rPr>
              <w:t>-N、TP、TN</w:t>
            </w:r>
            <w:r>
              <w:rPr>
                <w:rFonts w:hint="eastAsia"/>
                <w:sz w:val="24"/>
                <w:lang w:eastAsia="zh-CN"/>
              </w:rPr>
              <w:t>、石油类</w:t>
            </w:r>
            <w:r>
              <w:rPr>
                <w:sz w:val="24"/>
              </w:rPr>
              <w:t>等</w:t>
            </w:r>
          </w:p>
        </w:tc>
        <w:tc>
          <w:tcPr>
            <w:tcW w:w="1704" w:type="dxa"/>
            <w:noWrap w:val="0"/>
            <w:vAlign w:val="center"/>
          </w:tcPr>
          <w:p>
            <w:pPr>
              <w:adjustRightInd w:val="0"/>
              <w:snapToGrid w:val="0"/>
              <w:jc w:val="center"/>
              <w:rPr>
                <w:sz w:val="24"/>
              </w:rPr>
            </w:pPr>
            <w:r>
              <w:rPr>
                <w:rFonts w:hint="eastAsia"/>
                <w:sz w:val="24"/>
              </w:rPr>
              <w:t>建设20m³/d的生产废水处理设施一处（处理工艺为pH调节+三级沉淀池+滤网+洗渣机(滚筒式）+压滤机+一级气浮+二级气浮+调节池+A/O生化处理+二次</w:t>
            </w:r>
            <w:r>
              <w:rPr>
                <w:rFonts w:hint="eastAsia"/>
                <w:sz w:val="24"/>
                <w:lang w:eastAsia="zh-CN"/>
              </w:rPr>
              <w:t>沉淀</w:t>
            </w:r>
            <w:r>
              <w:rPr>
                <w:rFonts w:hint="eastAsia"/>
                <w:sz w:val="24"/>
              </w:rPr>
              <w:t>）对生产废水处理达标后经厂区总排放口排入蓬溪经开区污水处理厂处理</w:t>
            </w:r>
          </w:p>
        </w:tc>
        <w:tc>
          <w:tcPr>
            <w:tcW w:w="1954" w:type="dxa"/>
            <w:noWrap w:val="0"/>
            <w:vAlign w:val="center"/>
          </w:tcPr>
          <w:p>
            <w:pPr>
              <w:adjustRightInd w:val="0"/>
              <w:snapToGrid w:val="0"/>
              <w:jc w:val="center"/>
              <w:rPr>
                <w:sz w:val="24"/>
              </w:rPr>
            </w:pPr>
            <w:r>
              <w:rPr>
                <w:rFonts w:hint="eastAsia"/>
                <w:sz w:val="24"/>
                <w:szCs w:val="20"/>
                <w:lang w:eastAsia="zh-CN"/>
              </w:rPr>
              <w:t>氨氮、</w:t>
            </w:r>
            <w:r>
              <w:rPr>
                <w:sz w:val="24"/>
                <w:szCs w:val="20"/>
              </w:rPr>
              <w:t>总磷、总氮执行《污水排入城市下水道水质标准》GB/T31962-2015 B级标准其余污染物执行</w:t>
            </w:r>
            <w:r>
              <w:rPr>
                <w:sz w:val="24"/>
              </w:rPr>
              <w:t>《污水综合排放标准》（GB8978-1996）三级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jc w:val="center"/>
              <w:rPr>
                <w:sz w:val="24"/>
              </w:rPr>
            </w:pPr>
            <w:r>
              <w:rPr>
                <w:sz w:val="24"/>
              </w:rPr>
              <w:t>声环境</w:t>
            </w:r>
          </w:p>
        </w:tc>
        <w:tc>
          <w:tcPr>
            <w:tcW w:w="2118" w:type="dxa"/>
            <w:noWrap w:val="0"/>
            <w:vAlign w:val="center"/>
          </w:tcPr>
          <w:p>
            <w:pPr>
              <w:adjustRightInd w:val="0"/>
              <w:snapToGrid w:val="0"/>
              <w:jc w:val="center"/>
              <w:rPr>
                <w:sz w:val="24"/>
              </w:rPr>
            </w:pPr>
            <w:r>
              <w:rPr>
                <w:sz w:val="24"/>
              </w:rPr>
              <w:t>生产线设备</w:t>
            </w:r>
          </w:p>
        </w:tc>
        <w:tc>
          <w:tcPr>
            <w:tcW w:w="1609" w:type="dxa"/>
            <w:noWrap w:val="0"/>
            <w:vAlign w:val="center"/>
          </w:tcPr>
          <w:p>
            <w:pPr>
              <w:adjustRightInd w:val="0"/>
              <w:snapToGrid w:val="0"/>
              <w:jc w:val="center"/>
              <w:rPr>
                <w:sz w:val="24"/>
              </w:rPr>
            </w:pPr>
            <w:r>
              <w:rPr>
                <w:sz w:val="24"/>
              </w:rPr>
              <w:t>设备噪声</w:t>
            </w:r>
          </w:p>
        </w:tc>
        <w:tc>
          <w:tcPr>
            <w:tcW w:w="1704" w:type="dxa"/>
            <w:noWrap w:val="0"/>
            <w:vAlign w:val="center"/>
          </w:tcPr>
          <w:p>
            <w:pPr>
              <w:adjustRightInd w:val="0"/>
              <w:snapToGrid w:val="0"/>
              <w:jc w:val="center"/>
              <w:rPr>
                <w:sz w:val="24"/>
              </w:rPr>
            </w:pPr>
            <w:r>
              <w:rPr>
                <w:sz w:val="24"/>
              </w:rPr>
              <w:t>建筑结构屏蔽、设置减震设施、距离衰减</w:t>
            </w:r>
          </w:p>
        </w:tc>
        <w:tc>
          <w:tcPr>
            <w:tcW w:w="1954" w:type="dxa"/>
            <w:noWrap w:val="0"/>
            <w:vAlign w:val="center"/>
          </w:tcPr>
          <w:p>
            <w:pPr>
              <w:adjustRightInd w:val="0"/>
              <w:snapToGrid w:val="0"/>
              <w:jc w:val="center"/>
              <w:rPr>
                <w:sz w:val="24"/>
              </w:rPr>
            </w:pPr>
            <w:r>
              <w:rPr>
                <w:sz w:val="24"/>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15" w:type="dxa"/>
            <w:noWrap w:val="0"/>
            <w:vAlign w:val="center"/>
          </w:tcPr>
          <w:p>
            <w:pPr>
              <w:adjustRightInd w:val="0"/>
              <w:snapToGrid w:val="0"/>
              <w:jc w:val="center"/>
              <w:rPr>
                <w:sz w:val="24"/>
              </w:rPr>
            </w:pPr>
            <w:r>
              <w:rPr>
                <w:sz w:val="24"/>
              </w:rPr>
              <w:t>电磁辐射</w:t>
            </w:r>
          </w:p>
        </w:tc>
        <w:tc>
          <w:tcPr>
            <w:tcW w:w="7385" w:type="dxa"/>
            <w:gridSpan w:val="4"/>
            <w:noWrap w:val="0"/>
            <w:vAlign w:val="center"/>
          </w:tcPr>
          <w:p>
            <w:pPr>
              <w:adjustRightInd w:val="0"/>
              <w:snapToGrid w:val="0"/>
              <w:jc w:val="center"/>
              <w:rPr>
                <w:sz w:val="24"/>
              </w:rPr>
            </w:pPr>
            <w:r>
              <w:rPr>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sz w:val="24"/>
              </w:rPr>
            </w:pPr>
            <w:r>
              <w:rPr>
                <w:sz w:val="24"/>
              </w:rPr>
              <w:t>固体废物</w:t>
            </w:r>
          </w:p>
        </w:tc>
        <w:tc>
          <w:tcPr>
            <w:tcW w:w="7385" w:type="dxa"/>
            <w:gridSpan w:val="4"/>
            <w:noWrap w:val="0"/>
            <w:vAlign w:val="center"/>
          </w:tcPr>
          <w:p>
            <w:pPr>
              <w:spacing w:line="420" w:lineRule="auto"/>
              <w:ind w:firstLine="480" w:firstLineChars="200"/>
              <w:rPr>
                <w:sz w:val="24"/>
                <w:szCs w:val="20"/>
              </w:rPr>
            </w:pPr>
            <w:r>
              <w:rPr>
                <w:sz w:val="24"/>
              </w:rPr>
              <w:t>运营期间本项目产生的固废主要为：</w:t>
            </w:r>
            <w:r>
              <w:rPr>
                <w:sz w:val="24"/>
                <w:szCs w:val="20"/>
              </w:rPr>
              <w:t>生活垃圾</w:t>
            </w:r>
            <w:r>
              <w:rPr>
                <w:rFonts w:hint="eastAsia"/>
                <w:sz w:val="24"/>
                <w:szCs w:val="20"/>
              </w:rPr>
              <w:t>、</w:t>
            </w:r>
            <w:r>
              <w:rPr>
                <w:rFonts w:hint="eastAsia"/>
                <w:sz w:val="24"/>
                <w:szCs w:val="20"/>
                <w:lang w:val="en-US" w:eastAsia="zh-CN"/>
              </w:rPr>
              <w:t>除尘器粉尘、边角料及不良品、</w:t>
            </w:r>
            <w:r>
              <w:rPr>
                <w:sz w:val="24"/>
                <w:szCs w:val="20"/>
              </w:rPr>
              <w:t>废包装材料，废润滑油及废润滑油桶、废含</w:t>
            </w:r>
            <w:r>
              <w:rPr>
                <w:rFonts w:hint="eastAsia"/>
                <w:sz w:val="24"/>
                <w:szCs w:val="20"/>
                <w:lang w:val="en-US" w:eastAsia="zh-CN"/>
              </w:rPr>
              <w:t>油</w:t>
            </w:r>
            <w:r>
              <w:rPr>
                <w:sz w:val="24"/>
                <w:szCs w:val="20"/>
              </w:rPr>
              <w:t>手套及抹布、</w:t>
            </w:r>
            <w:r>
              <w:rPr>
                <w:rFonts w:hint="eastAsia"/>
                <w:sz w:val="24"/>
                <w:szCs w:val="20"/>
                <w:lang w:eastAsia="zh-CN"/>
              </w:rPr>
              <w:t>废过滤棉、</w:t>
            </w:r>
            <w:r>
              <w:rPr>
                <w:sz w:val="24"/>
                <w:szCs w:val="20"/>
              </w:rPr>
              <w:t>废活性炭</w:t>
            </w:r>
            <w:r>
              <w:rPr>
                <w:rFonts w:hint="eastAsia"/>
                <w:sz w:val="24"/>
                <w:szCs w:val="20"/>
                <w:lang w:eastAsia="zh-CN"/>
              </w:rPr>
              <w:t>、污水处理站污泥、废硫酸包装桶</w:t>
            </w:r>
            <w:r>
              <w:rPr>
                <w:sz w:val="24"/>
                <w:szCs w:val="20"/>
              </w:rPr>
              <w:t>。</w:t>
            </w:r>
          </w:p>
          <w:p>
            <w:pPr>
              <w:pStyle w:val="14"/>
              <w:ind w:firstLine="480" w:firstLineChars="200"/>
              <w:rPr>
                <w:rFonts w:hint="default"/>
                <w:sz w:val="24"/>
                <w:szCs w:val="20"/>
                <w:lang w:val="en-US"/>
              </w:rPr>
            </w:pPr>
            <w:r>
              <w:rPr>
                <w:sz w:val="24"/>
                <w:szCs w:val="20"/>
              </w:rPr>
              <w:t>其中生活垃圾统一收集后交由蓬溪县市政环卫部门处置</w:t>
            </w:r>
            <w:r>
              <w:rPr>
                <w:rFonts w:hint="eastAsia"/>
                <w:sz w:val="24"/>
                <w:szCs w:val="20"/>
              </w:rPr>
              <w:t>；</w:t>
            </w:r>
            <w:r>
              <w:rPr>
                <w:rFonts w:hint="eastAsia"/>
                <w:sz w:val="24"/>
                <w:szCs w:val="20"/>
                <w:lang w:val="en-US" w:eastAsia="zh-CN"/>
              </w:rPr>
              <w:t>除尘器粉尘与破碎后的边角料及不良品作为原料回用于生产；</w:t>
            </w:r>
            <w:r>
              <w:rPr>
                <w:rFonts w:hint="eastAsia"/>
                <w:sz w:val="24"/>
                <w:szCs w:val="20"/>
              </w:rPr>
              <w:t>废包装材料</w:t>
            </w:r>
            <w:r>
              <w:rPr>
                <w:sz w:val="24"/>
                <w:szCs w:val="20"/>
              </w:rPr>
              <w:t>统一收集后出售给资源回收部门</w:t>
            </w:r>
            <w:r>
              <w:rPr>
                <w:rFonts w:hint="eastAsia"/>
                <w:sz w:val="24"/>
                <w:szCs w:val="20"/>
              </w:rPr>
              <w:t>；</w:t>
            </w:r>
            <w:r>
              <w:rPr>
                <w:rFonts w:hint="eastAsia"/>
                <w:sz w:val="24"/>
                <w:szCs w:val="20"/>
                <w:lang w:eastAsia="zh-CN"/>
              </w:rPr>
              <w:t>污水处理站污泥定期压滤处理后委托污泥处置单位处置。</w:t>
            </w:r>
            <w:r>
              <w:rPr>
                <w:sz w:val="24"/>
                <w:szCs w:val="20"/>
              </w:rPr>
              <w:t>废润滑油及废润滑油桶、废含</w:t>
            </w:r>
            <w:r>
              <w:rPr>
                <w:rFonts w:hint="eastAsia"/>
                <w:sz w:val="24"/>
                <w:szCs w:val="20"/>
                <w:lang w:val="en-US" w:eastAsia="zh-CN"/>
              </w:rPr>
              <w:t>油</w:t>
            </w:r>
            <w:r>
              <w:rPr>
                <w:sz w:val="24"/>
                <w:szCs w:val="20"/>
              </w:rPr>
              <w:t>手套及抹布、</w:t>
            </w:r>
            <w:r>
              <w:rPr>
                <w:rFonts w:hint="eastAsia"/>
                <w:sz w:val="24"/>
                <w:szCs w:val="20"/>
                <w:lang w:eastAsia="zh-CN"/>
              </w:rPr>
              <w:t>废过滤棉、</w:t>
            </w:r>
            <w:r>
              <w:rPr>
                <w:sz w:val="24"/>
                <w:szCs w:val="20"/>
              </w:rPr>
              <w:t>废活性炭</w:t>
            </w:r>
            <w:r>
              <w:rPr>
                <w:rFonts w:hint="eastAsia"/>
                <w:sz w:val="24"/>
                <w:szCs w:val="20"/>
                <w:lang w:eastAsia="zh-CN"/>
              </w:rPr>
              <w:t>、废硫酸包装桶</w:t>
            </w:r>
            <w:r>
              <w:rPr>
                <w:sz w:val="24"/>
                <w:szCs w:val="20"/>
              </w:rPr>
              <w:t>收集后暂存于危废间内，定期委托资质单位处置。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7385" w:type="dxa"/>
            <w:gridSpan w:val="4"/>
            <w:noWrap w:val="0"/>
            <w:vAlign w:val="center"/>
          </w:tcPr>
          <w:p>
            <w:pPr>
              <w:pStyle w:val="14"/>
              <w:rPr>
                <w:sz w:val="24"/>
              </w:rPr>
            </w:pPr>
            <w:r>
              <w:rPr>
                <w:sz w:val="24"/>
              </w:rPr>
              <w:t>①危废暂存间</w:t>
            </w:r>
            <w:r>
              <w:rPr>
                <w:rFonts w:hint="eastAsia"/>
                <w:sz w:val="24"/>
                <w:lang w:eastAsia="zh-CN"/>
              </w:rPr>
              <w:t>、污水处理站、硫酸暂存区</w:t>
            </w:r>
            <w:r>
              <w:rPr>
                <w:sz w:val="24"/>
              </w:rPr>
              <w:t>划分为重点防渗区，防渗要求：采用2 毫米以上的高密度聚乙烯或其他人工防渗材料组成，渗透系数应小于 1.0×10</w:t>
            </w:r>
            <w:r>
              <w:rPr>
                <w:sz w:val="24"/>
                <w:vertAlign w:val="superscript"/>
              </w:rPr>
              <w:t>-10</w:t>
            </w:r>
            <w:r>
              <w:rPr>
                <w:sz w:val="24"/>
              </w:rPr>
              <w:t>cm/s，或参照GB18598执行</w:t>
            </w:r>
            <w:r>
              <w:rPr>
                <w:rFonts w:hint="eastAsia"/>
                <w:sz w:val="24"/>
              </w:rPr>
              <w:t>，或按本环评推荐方式建设</w:t>
            </w:r>
            <w:r>
              <w:rPr>
                <w:sz w:val="24"/>
              </w:rPr>
              <w:t>。</w:t>
            </w:r>
          </w:p>
          <w:p>
            <w:pPr>
              <w:pStyle w:val="14"/>
              <w:rPr>
                <w:sz w:val="24"/>
              </w:rPr>
            </w:pPr>
            <w:r>
              <w:rPr>
                <w:sz w:val="24"/>
              </w:rPr>
              <w:t>②</w:t>
            </w:r>
            <w:r>
              <w:rPr>
                <w:rFonts w:hint="eastAsia"/>
                <w:sz w:val="24"/>
                <w:lang w:val="en-US" w:eastAsia="zh-CN"/>
              </w:rPr>
              <w:t>一般固废暂存区</w:t>
            </w:r>
            <w:r>
              <w:rPr>
                <w:rFonts w:hint="eastAsia"/>
                <w:sz w:val="24"/>
              </w:rPr>
              <w:t>划分为一般防渗区，一般防渗区采用等效黏土防渗层Mb≥1.5m，K≤1×10</w:t>
            </w:r>
            <w:r>
              <w:rPr>
                <w:rFonts w:hint="eastAsia"/>
                <w:sz w:val="24"/>
                <w:vertAlign w:val="superscript"/>
              </w:rPr>
              <w:t>-7</w:t>
            </w:r>
            <w:r>
              <w:rPr>
                <w:rFonts w:hint="eastAsia"/>
                <w:sz w:val="24"/>
              </w:rPr>
              <w:t>cm/s；或参照GB16889执行</w:t>
            </w:r>
          </w:p>
          <w:p>
            <w:pPr>
              <w:pStyle w:val="14"/>
              <w:rPr>
                <w:sz w:val="24"/>
              </w:rPr>
            </w:pPr>
            <w:r>
              <w:rPr>
                <w:rFonts w:hint="eastAsia"/>
                <w:sz w:val="24"/>
              </w:rPr>
              <w:t>③</w:t>
            </w:r>
            <w:r>
              <w:rPr>
                <w:sz w:val="24"/>
              </w:rPr>
              <w:t>除</w:t>
            </w:r>
            <w:r>
              <w:rPr>
                <w:rFonts w:hint="eastAsia"/>
                <w:sz w:val="24"/>
              </w:rPr>
              <w:t>重点防渗、一般防渗以外的区域为简单防渗</w:t>
            </w:r>
            <w:r>
              <w:rPr>
                <w:sz w:val="24"/>
              </w:rPr>
              <w:t>，简单防渗区采取一般地面硬化即可。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15" w:type="dxa"/>
            <w:noWrap w:val="0"/>
            <w:vAlign w:val="center"/>
          </w:tcPr>
          <w:p>
            <w:pPr>
              <w:adjustRightInd w:val="0"/>
              <w:snapToGrid w:val="0"/>
              <w:jc w:val="center"/>
              <w:rPr>
                <w:sz w:val="24"/>
              </w:rPr>
            </w:pPr>
            <w:r>
              <w:rPr>
                <w:sz w:val="24"/>
              </w:rPr>
              <w:t>生态保护措施</w:t>
            </w:r>
          </w:p>
        </w:tc>
        <w:tc>
          <w:tcPr>
            <w:tcW w:w="7385" w:type="dxa"/>
            <w:gridSpan w:val="4"/>
            <w:noWrap w:val="0"/>
            <w:vAlign w:val="center"/>
          </w:tcPr>
          <w:p>
            <w:pPr>
              <w:pStyle w:val="14"/>
              <w:rPr>
                <w:sz w:val="24"/>
              </w:rPr>
            </w:pPr>
            <w:r>
              <w:rPr>
                <w:sz w:val="24"/>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jc w:val="center"/>
              <w:rPr>
                <w:spacing w:val="-8"/>
                <w:sz w:val="24"/>
              </w:rPr>
            </w:pPr>
            <w:r>
              <w:rPr>
                <w:spacing w:val="-8"/>
                <w:sz w:val="24"/>
              </w:rPr>
              <w:t>环境风险</w:t>
            </w:r>
          </w:p>
          <w:p>
            <w:pPr>
              <w:adjustRightInd w:val="0"/>
              <w:snapToGrid w:val="0"/>
              <w:jc w:val="center"/>
              <w:rPr>
                <w:spacing w:val="-8"/>
                <w:sz w:val="24"/>
              </w:rPr>
            </w:pPr>
            <w:r>
              <w:rPr>
                <w:spacing w:val="-8"/>
                <w:sz w:val="24"/>
              </w:rPr>
              <w:t>防范措施</w:t>
            </w:r>
          </w:p>
        </w:tc>
        <w:tc>
          <w:tcPr>
            <w:tcW w:w="7385" w:type="dxa"/>
            <w:gridSpan w:val="4"/>
            <w:noWrap w:val="0"/>
            <w:vAlign w:val="center"/>
          </w:tcPr>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eastAsia" w:ascii="Times New Roman" w:hAnsi="Times New Roman" w:cs="Times New Roman"/>
                <w:color w:val="auto"/>
                <w:highlight w:val="none"/>
                <w:lang w:eastAsia="zh-CN"/>
              </w:rPr>
              <w:t>润滑</w:t>
            </w:r>
            <w:r>
              <w:rPr>
                <w:rFonts w:hint="default" w:ascii="Times New Roman" w:hAnsi="Times New Roman" w:cs="Times New Roman"/>
                <w:color w:val="auto"/>
                <w:highlight w:val="none"/>
              </w:rPr>
              <w:t>油</w:t>
            </w:r>
            <w:r>
              <w:rPr>
                <w:rFonts w:hint="eastAsia" w:ascii="Times New Roman" w:hAnsi="Times New Roman" w:cs="Times New Roman"/>
                <w:color w:val="auto"/>
                <w:highlight w:val="none"/>
                <w:lang w:eastAsia="zh-CN"/>
              </w:rPr>
              <w:t>、硫酸</w:t>
            </w:r>
            <w:r>
              <w:rPr>
                <w:rFonts w:hint="default" w:ascii="Times New Roman" w:hAnsi="Times New Roman" w:cs="Times New Roman"/>
                <w:color w:val="auto"/>
                <w:highlight w:val="none"/>
              </w:rPr>
              <w:t>在厂区的储存量，降低风险物质整体存在量，以从源头上降低环境风险。</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③按照《危险废物贮存污染控制标准》GB18597－20</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rPr>
              <w:t>的规定管理危废暂存间，并做好防渗、防泄漏、防遗撒措施。危险废物定期交由</w:t>
            </w:r>
            <w:r>
              <w:rPr>
                <w:rFonts w:hint="eastAsia" w:ascii="Times New Roman" w:hAnsi="Times New Roman" w:cs="Times New Roman"/>
                <w:color w:val="auto"/>
                <w:highlight w:val="none"/>
                <w:lang w:val="en-US" w:eastAsia="zh-CN"/>
              </w:rPr>
              <w:t>有</w:t>
            </w:r>
            <w:r>
              <w:rPr>
                <w:rFonts w:hint="default" w:ascii="Times New Roman" w:hAnsi="Times New Roman" w:cs="Times New Roman"/>
                <w:color w:val="auto"/>
                <w:highlight w:val="none"/>
              </w:rPr>
              <w:t>资质</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单位处置。</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④加强原料管理，严禁烟火，</w:t>
            </w:r>
            <w:r>
              <w:rPr>
                <w:rFonts w:hint="eastAsia" w:ascii="Times New Roman" w:hAnsi="Times New Roman" w:cs="Times New Roman"/>
                <w:color w:val="auto"/>
                <w:highlight w:val="none"/>
                <w:lang w:val="en-US" w:eastAsia="zh-CN"/>
              </w:rPr>
              <w:t>车间内分散</w:t>
            </w:r>
            <w:r>
              <w:rPr>
                <w:rFonts w:hint="default" w:ascii="Times New Roman" w:hAnsi="Times New Roman" w:cs="Times New Roman"/>
                <w:color w:val="auto"/>
                <w:highlight w:val="none"/>
              </w:rPr>
              <w:t>设置干粉灭火器，以备紧急状态下扑灭初期火灾。</w:t>
            </w:r>
          </w:p>
          <w:p>
            <w:pPr>
              <w:pStyle w:val="66"/>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⑤</w:t>
            </w:r>
            <w:r>
              <w:rPr>
                <w:rFonts w:hint="default" w:ascii="Times New Roman" w:hAnsi="Times New Roman" w:cs="Times New Roman"/>
                <w:color w:val="auto"/>
              </w:rPr>
              <w:t>每年定期对</w:t>
            </w:r>
            <w:r>
              <w:rPr>
                <w:rFonts w:hint="default" w:ascii="Times New Roman" w:hAnsi="Times New Roman" w:cs="Times New Roman"/>
                <w:color w:val="auto"/>
                <w:lang w:eastAsia="zh-CN"/>
              </w:rPr>
              <w:t>生产线涉水加工区域</w:t>
            </w:r>
            <w:r>
              <w:rPr>
                <w:rFonts w:hint="default" w:ascii="Times New Roman" w:hAnsi="Times New Roman" w:cs="Times New Roman"/>
                <w:color w:val="auto"/>
              </w:rPr>
              <w:t>进行检查，</w:t>
            </w:r>
            <w:r>
              <w:rPr>
                <w:rFonts w:hint="default" w:ascii="Times New Roman" w:hAnsi="Times New Roman" w:cs="Times New Roman"/>
                <w:color w:val="auto"/>
                <w:lang w:eastAsia="zh-CN"/>
              </w:rPr>
              <w:t>防止防渗层损坏后，生产废水下渗污染土壤和地下水</w:t>
            </w:r>
            <w:r>
              <w:rPr>
                <w:rFonts w:hint="default" w:ascii="Times New Roman" w:hAnsi="Times New Roman" w:cs="Times New Roman"/>
                <w:color w:val="auto"/>
              </w:rPr>
              <w:t>。</w:t>
            </w:r>
            <w:r>
              <w:rPr>
                <w:rFonts w:hint="eastAsia" w:ascii="Times New Roman" w:hAnsi="Times New Roman" w:cs="Times New Roman"/>
                <w:color w:val="auto"/>
                <w:lang w:eastAsia="zh-CN"/>
              </w:rPr>
              <w:t>限定硫酸在厂区的暂存量</w:t>
            </w:r>
            <w:r>
              <w:rPr>
                <w:rFonts w:hint="eastAsia" w:ascii="Times New Roman" w:hAnsi="Times New Roman" w:cs="Times New Roman"/>
                <w:color w:val="auto"/>
                <w:lang w:val="en-US" w:eastAsia="zh-CN"/>
              </w:rPr>
              <w:t>。</w:t>
            </w:r>
          </w:p>
          <w:p>
            <w:pPr>
              <w:pStyle w:val="66"/>
              <w:bidi w:val="0"/>
              <w:rPr>
                <w:rFonts w:hint="default" w:ascii="Times New Roman" w:hAnsi="Times New Roman" w:cs="Times New Roman"/>
                <w:color w:val="auto"/>
                <w:highlight w:val="none"/>
              </w:rPr>
            </w:pPr>
            <w:r>
              <w:rPr>
                <w:rFonts w:hint="eastAsia" w:ascii="Times New Roman" w:hAnsi="Times New Roman" w:cs="Times New Roman"/>
                <w:color w:val="auto"/>
                <w:lang w:eastAsia="zh-CN"/>
              </w:rPr>
              <w:t>⑥限定塑料产品在厂区内的暂存量，塑料仓库暂存区域设置干粉灭火器，以备紧急状态下扑灭初期火灾。</w:t>
            </w:r>
          </w:p>
          <w:p>
            <w:pPr>
              <w:pStyle w:val="66"/>
              <w:ind w:firstLine="480"/>
              <w:rPr>
                <w:rFonts w:hint="default" w:ascii="Times New Roman" w:hAnsi="Times New Roman" w:cs="Times New Roman"/>
                <w:szCs w:val="24"/>
              </w:rPr>
            </w:pPr>
            <w:r>
              <w:rPr>
                <w:rFonts w:hint="eastAsia" w:ascii="Times New Roman" w:hAnsi="Times New Roman" w:cs="Times New Roman"/>
                <w:color w:val="auto"/>
                <w:highlight w:val="none"/>
                <w:lang w:val="en-US" w:eastAsia="zh-CN"/>
              </w:rPr>
              <w:t>⑦</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pPr>
              <w:adjustRightInd w:val="0"/>
              <w:snapToGrid w:val="0"/>
              <w:jc w:val="center"/>
              <w:rPr>
                <w:spacing w:val="-8"/>
                <w:sz w:val="24"/>
              </w:rPr>
            </w:pPr>
            <w:r>
              <w:rPr>
                <w:spacing w:val="-8"/>
                <w:sz w:val="24"/>
              </w:rPr>
              <w:t>其他环境</w:t>
            </w:r>
          </w:p>
          <w:p>
            <w:pPr>
              <w:adjustRightInd w:val="0"/>
              <w:snapToGrid w:val="0"/>
              <w:jc w:val="center"/>
              <w:rPr>
                <w:spacing w:val="-8"/>
                <w:sz w:val="24"/>
              </w:rPr>
            </w:pPr>
            <w:r>
              <w:rPr>
                <w:spacing w:val="-8"/>
                <w:sz w:val="24"/>
              </w:rPr>
              <w:t>管理要求</w:t>
            </w:r>
          </w:p>
        </w:tc>
        <w:tc>
          <w:tcPr>
            <w:tcW w:w="7385" w:type="dxa"/>
            <w:gridSpan w:val="4"/>
            <w:noWrap w:val="0"/>
            <w:vAlign w:val="center"/>
          </w:tcPr>
          <w:p>
            <w:pPr>
              <w:pStyle w:val="66"/>
              <w:ind w:firstLine="480"/>
              <w:rPr>
                <w:rFonts w:hint="default" w:ascii="Times New Roman" w:hAnsi="Times New Roman" w:cs="Times New Roman"/>
                <w:szCs w:val="24"/>
              </w:rPr>
            </w:pPr>
            <w:r>
              <w:rPr>
                <w:rFonts w:hint="default" w:ascii="Times New Roman" w:hAnsi="Times New Roman" w:cs="Times New Roman"/>
                <w:szCs w:val="24"/>
              </w:rPr>
              <w:t>①项目发生实际排污前，登录全国排污许可证管理信息平台及时</w:t>
            </w:r>
            <w:r>
              <w:rPr>
                <w:rFonts w:ascii="Times New Roman" w:hAnsi="Times New Roman" w:cs="Times New Roman"/>
                <w:szCs w:val="24"/>
              </w:rPr>
              <w:t>办理</w:t>
            </w:r>
            <w:r>
              <w:rPr>
                <w:rFonts w:hint="default" w:ascii="Times New Roman" w:hAnsi="Times New Roman" w:cs="Times New Roman"/>
                <w:szCs w:val="24"/>
              </w:rPr>
              <w:t>排污许可</w:t>
            </w:r>
            <w:r>
              <w:rPr>
                <w:rFonts w:ascii="Times New Roman" w:hAnsi="Times New Roman" w:cs="Times New Roman"/>
                <w:szCs w:val="24"/>
              </w:rPr>
              <w:t>手续</w:t>
            </w:r>
            <w:r>
              <w:rPr>
                <w:rFonts w:hint="default" w:ascii="Times New Roman" w:hAnsi="Times New Roman" w:cs="Times New Roman"/>
                <w:szCs w:val="24"/>
              </w:rPr>
              <w:t>。</w:t>
            </w:r>
          </w:p>
          <w:p>
            <w:pPr>
              <w:pStyle w:val="66"/>
              <w:ind w:firstLine="480"/>
              <w:rPr>
                <w:rFonts w:hint="default" w:ascii="Times New Roman" w:hAnsi="Times New Roman" w:cs="Times New Roman"/>
                <w:szCs w:val="24"/>
              </w:rPr>
            </w:pPr>
            <w:r>
              <w:rPr>
                <w:rFonts w:hint="default" w:ascii="Times New Roman" w:hAnsi="Times New Roman" w:cs="Times New Roman"/>
                <w:szCs w:val="24"/>
              </w:rPr>
              <w:t>②严格落实本环评提出的各项环保措施，严格落实“三同时”制度。项目竣工后严格按照国家规定的程序和方式组织竣工验收。</w:t>
            </w:r>
          </w:p>
          <w:p>
            <w:pPr>
              <w:pStyle w:val="66"/>
              <w:ind w:firstLine="480"/>
              <w:rPr>
                <w:rFonts w:hint="default" w:ascii="Times New Roman" w:hAnsi="Times New Roman" w:cs="Times New Roman"/>
                <w:szCs w:val="24"/>
              </w:rPr>
            </w:pPr>
            <w:r>
              <w:rPr>
                <w:rFonts w:hint="default" w:ascii="Times New Roman" w:hAnsi="Times New Roman" w:cs="Times New Roman"/>
                <w:szCs w:val="24"/>
              </w:rPr>
              <w:t>③</w:t>
            </w:r>
            <w:r>
              <w:rPr>
                <w:rFonts w:hint="eastAsia" w:ascii="Times New Roman" w:hAnsi="Times New Roman" w:cs="Times New Roman"/>
                <w:szCs w:val="24"/>
                <w:lang w:eastAsia="zh-CN"/>
              </w:rPr>
              <w:t>本次</w:t>
            </w:r>
            <w:r>
              <w:rPr>
                <w:rFonts w:hint="default" w:ascii="Times New Roman" w:hAnsi="Times New Roman" w:cs="Times New Roman"/>
                <w:szCs w:val="24"/>
              </w:rPr>
              <w:t>环评获批后5年后动工建设的应重新报原审批部门审查，发生重大变化的应重新报批。</w:t>
            </w:r>
          </w:p>
          <w:p>
            <w:pPr>
              <w:pStyle w:val="66"/>
              <w:ind w:firstLine="480"/>
              <w:rPr>
                <w:rFonts w:hint="default" w:ascii="Times New Roman" w:hAnsi="Times New Roman" w:cs="Times New Roman"/>
                <w:szCs w:val="24"/>
              </w:rPr>
            </w:pPr>
            <w:r>
              <w:rPr>
                <w:rFonts w:hint="default" w:ascii="Times New Roman" w:hAnsi="Times New Roman" w:cs="Times New Roman"/>
                <w:szCs w:val="24"/>
              </w:rPr>
              <w:t>④定期保养设备，</w:t>
            </w:r>
            <w:r>
              <w:rPr>
                <w:rFonts w:hint="eastAsia" w:ascii="Times New Roman" w:hAnsi="Times New Roman" w:cs="Times New Roman"/>
                <w:szCs w:val="24"/>
                <w:lang w:eastAsia="zh-CN"/>
              </w:rPr>
              <w:t>防止</w:t>
            </w:r>
            <w:r>
              <w:rPr>
                <w:rFonts w:hint="default" w:ascii="Times New Roman" w:hAnsi="Times New Roman" w:cs="Times New Roman"/>
                <w:szCs w:val="24"/>
              </w:rPr>
              <w:t>设备因保养不适当造成设备异常运行而增加噪声产生量；做好厂房隔声、设备减振，确保厂界噪声达标。</w:t>
            </w:r>
          </w:p>
          <w:p>
            <w:pPr>
              <w:pStyle w:val="66"/>
              <w:ind w:firstLine="480"/>
              <w:rPr>
                <w:rFonts w:hint="default" w:ascii="Times New Roman" w:hAnsi="Times New Roman" w:cs="Times New Roman"/>
                <w:szCs w:val="24"/>
              </w:rPr>
            </w:pPr>
            <w:r>
              <w:rPr>
                <w:rFonts w:hint="default" w:ascii="Times New Roman" w:hAnsi="Times New Roman" w:cs="Times New Roman"/>
                <w:szCs w:val="24"/>
              </w:rPr>
              <w:t>⑤生活垃圾等应每天及时清运，防止夏季恶臭气味的产生，清除蚊蝇和寄生虫卵产生场所。</w:t>
            </w:r>
          </w:p>
          <w:p>
            <w:pPr>
              <w:pStyle w:val="66"/>
              <w:ind w:firstLine="480"/>
              <w:rPr>
                <w:rFonts w:hint="default" w:ascii="Times New Roman" w:hAnsi="Times New Roman" w:cs="Times New Roman"/>
                <w:szCs w:val="24"/>
              </w:rPr>
            </w:pPr>
            <w:r>
              <w:rPr>
                <w:rFonts w:hint="default" w:ascii="Times New Roman" w:hAnsi="Times New Roman" w:cs="Times New Roman"/>
                <w:szCs w:val="24"/>
              </w:rPr>
              <w:t>⑥切实加强各环保设施的日常维护管理，定期检查运行情况，确保处理效果，尽量</w:t>
            </w:r>
            <w:r>
              <w:rPr>
                <w:rFonts w:hint="eastAsia" w:ascii="Times New Roman" w:hAnsi="Times New Roman" w:cs="Times New Roman"/>
                <w:szCs w:val="24"/>
                <w:lang w:eastAsia="zh-CN"/>
              </w:rPr>
              <w:t>避免</w:t>
            </w:r>
            <w:r>
              <w:rPr>
                <w:rFonts w:hint="default" w:ascii="Times New Roman" w:hAnsi="Times New Roman" w:cs="Times New Roman"/>
                <w:szCs w:val="24"/>
              </w:rPr>
              <w:t>环保设施处于“非正常工况”，尽量减少各类污染物排放，以减轻对环境的影响。加强环境管理，</w:t>
            </w:r>
            <w:r>
              <w:rPr>
                <w:rFonts w:hint="eastAsia" w:ascii="Times New Roman" w:hAnsi="Times New Roman" w:cs="Times New Roman"/>
                <w:szCs w:val="24"/>
                <w:lang w:eastAsia="zh-CN"/>
              </w:rPr>
              <w:t>增强</w:t>
            </w:r>
            <w:r>
              <w:rPr>
                <w:rFonts w:hint="default" w:ascii="Times New Roman" w:hAnsi="Times New Roman" w:cs="Times New Roman"/>
                <w:szCs w:val="24"/>
              </w:rPr>
              <w:t>职工环保意识，设置专人负责环境管理，落实环境管理制度，确保各项治理设施正常稳定运行。</w:t>
            </w: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p>
            <w:pPr>
              <w:adjustRightInd w:val="0"/>
              <w:snapToGrid w:val="0"/>
              <w:rPr>
                <w:sz w:val="24"/>
              </w:rPr>
            </w:pPr>
          </w:p>
        </w:tc>
      </w:tr>
    </w:tbl>
    <w:p>
      <w:pPr>
        <w:pStyle w:val="21"/>
        <w:spacing w:before="0" w:beforeAutospacing="0" w:after="0" w:afterAutospacing="0"/>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before="240" w:beforeLines="100" w:line="420" w:lineRule="auto"/>
              <w:ind w:firstLine="480" w:firstLineChars="200"/>
              <w:rPr>
                <w:sz w:val="24"/>
                <w:szCs w:val="20"/>
              </w:rPr>
            </w:pPr>
            <w:bookmarkStart w:id="3" w:name="OLE_LINK18"/>
            <w:r>
              <w:rPr>
                <w:sz w:val="24"/>
                <w:szCs w:val="20"/>
              </w:rPr>
              <w:t>根据分析，本项目的建设符合国家产业政策，符合</w:t>
            </w:r>
            <w:r>
              <w:rPr>
                <w:sz w:val="24"/>
              </w:rPr>
              <w:t>蓬溪县的相关规划。</w:t>
            </w:r>
            <w:r>
              <w:rPr>
                <w:sz w:val="24"/>
                <w:szCs w:val="20"/>
              </w:rPr>
              <w:t>环保措施具有可行性，项目的建设和</w:t>
            </w:r>
            <w:r>
              <w:rPr>
                <w:rFonts w:hint="eastAsia"/>
                <w:sz w:val="24"/>
                <w:szCs w:val="20"/>
                <w:lang w:eastAsia="zh-CN"/>
              </w:rPr>
              <w:t>运营</w:t>
            </w:r>
            <w:r>
              <w:rPr>
                <w:sz w:val="24"/>
                <w:szCs w:val="20"/>
              </w:rPr>
              <w:t>不会对区域环境质量造成明显影响。因此本评价认为，项目在落实本环评提出的环保措施后，施工期和运营期产生的负面影响是可以得到有效控制的，并能为环境所接受。因此，从环境影响评价角度来说，本项目的建设是可行的。</w:t>
            </w:r>
            <w:bookmarkEnd w:id="3"/>
          </w:p>
          <w:p>
            <w:pPr>
              <w:spacing w:before="240" w:beforeLines="100" w:line="420" w:lineRule="auto"/>
              <w:ind w:firstLine="480" w:firstLineChars="200"/>
              <w:rPr>
                <w:sz w:val="24"/>
                <w:szCs w:val="20"/>
              </w:rPr>
            </w:pPr>
          </w:p>
          <w:p>
            <w:pPr>
              <w:pStyle w:val="66"/>
              <w:ind w:firstLine="480"/>
              <w:rPr>
                <w:rFonts w:hint="default" w:ascii="Times New Roman" w:hAnsi="Times New Roman" w:cs="Times New Roman"/>
              </w:rPr>
            </w:pPr>
            <w:r>
              <w:rPr>
                <w:rFonts w:hint="default" w:ascii="Times New Roman" w:hAnsi="Times New Roman" w:cs="Times New Roman"/>
              </w:rPr>
              <w:t>本次评价结论是在建设单位提供的建设内容和规模的基础上得出的，若建设单位改变相关的建设内容和规模，建设单位应按照环保部门的有关要求另行申报。</w:t>
            </w:r>
          </w:p>
          <w:p>
            <w:pPr>
              <w:spacing w:before="240" w:beforeLines="100" w:line="420" w:lineRule="auto"/>
              <w:ind w:firstLine="480" w:firstLineChars="200"/>
              <w:rPr>
                <w:sz w:val="24"/>
                <w:szCs w:val="20"/>
              </w:rPr>
            </w:pPr>
          </w:p>
          <w:p>
            <w:pPr>
              <w:spacing w:line="360" w:lineRule="auto"/>
              <w:rPr>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21"/>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sz w:val="38"/>
        </w:rPr>
        <mc:AlternateContent>
          <mc:Choice Requires="wps">
            <w:drawing>
              <wp:anchor distT="0" distB="0" distL="114300" distR="114300" simplePos="0" relativeHeight="251662336" behindDoc="0" locked="0" layoutInCell="1" allowOverlap="1">
                <wp:simplePos x="0" y="0"/>
                <wp:positionH relativeFrom="column">
                  <wp:posOffset>7691120</wp:posOffset>
                </wp:positionH>
                <wp:positionV relativeFrom="paragraph">
                  <wp:posOffset>575945</wp:posOffset>
                </wp:positionV>
                <wp:extent cx="924560" cy="268605"/>
                <wp:effectExtent l="0" t="0" r="0" b="0"/>
                <wp:wrapNone/>
                <wp:docPr id="70" name="文本框 424"/>
                <wp:cNvGraphicFramePr/>
                <a:graphic xmlns:a="http://schemas.openxmlformats.org/drawingml/2006/main">
                  <a:graphicData uri="http://schemas.microsoft.com/office/word/2010/wordprocessingShape">
                    <wps:wsp>
                      <wps:cNvSpPr txBox="1"/>
                      <wps:spPr>
                        <a:xfrm>
                          <a:off x="0" y="0"/>
                          <a:ext cx="924560" cy="268605"/>
                        </a:xfrm>
                        <a:prstGeom prst="rect">
                          <a:avLst/>
                        </a:prstGeom>
                        <a:noFill/>
                        <a:ln>
                          <a:noFill/>
                        </a:ln>
                      </wps:spPr>
                      <wps:txbx>
                        <w:txbxContent>
                          <w:p>
                            <w:r>
                              <w:rPr>
                                <w:rFonts w:hint="eastAsia"/>
                              </w:rPr>
                              <w:t>单位：t/a</w:t>
                            </w:r>
                          </w:p>
                        </w:txbxContent>
                      </wps:txbx>
                      <wps:bodyPr wrap="square" upright="1"/>
                    </wps:wsp>
                  </a:graphicData>
                </a:graphic>
              </wp:anchor>
            </w:drawing>
          </mc:Choice>
          <mc:Fallback>
            <w:pict>
              <v:shape id="文本框 424" o:spid="_x0000_s1026" o:spt="202" type="#_x0000_t202" style="position:absolute;left:0pt;margin-left:605.6pt;margin-top:45.35pt;height:21.15pt;width:72.8pt;z-index:251662336;mso-width-relative:page;mso-height-relative:page;" filled="f" stroked="f" coordsize="21600,21600" o:gfxdata="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&#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DBF+vP1wAAAAwBAAAPAAAAAAAAAAEAIAAAADgAAABk&#10;cnMvZG93bnJldi54bWxQSwECFAAUAAAACACHTuJAMVpfWbgBAABeAwAADgAAAAAAAAABACAAAAA8&#10;AQAAZHJzL2Uyb0RvYy54bWxQSwUGAAAAAAYABgBZAQAAZgUAAAAA&#10;">
                <v:fill on="f" focussize="0,0"/>
                <v:stroke on="f"/>
                <v:imagedata o:title=""/>
                <o:lock v:ext="edit" aspectratio="f"/>
                <v:textbox>
                  <w:txbxContent>
                    <w:p>
                      <w:r>
                        <w:rPr>
                          <w:rFonts w:hint="eastAsia"/>
                        </w:rPr>
                        <w:t>单位：t/a</w:t>
                      </w:r>
                    </w:p>
                  </w:txbxContent>
                </v:textbox>
              </v:shape>
            </w:pict>
          </mc:Fallback>
        </mc:AlternateContent>
      </w:r>
      <w:r>
        <w:rPr>
          <w:rFonts w:hint="eastAsia" w:ascii="方正小标宋_GBK" w:hAnsi="黑体" w:eastAsia="方正小标宋_GBK"/>
          <w:snapToGrid w:val="0"/>
          <w:sz w:val="38"/>
          <w:szCs w:val="38"/>
        </w:rPr>
        <w:t>建设项目污染物排放量汇总表</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83"/>
        <w:gridCol w:w="1758"/>
        <w:gridCol w:w="14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5"/>
              <w:spacing w:line="240" w:lineRule="auto"/>
              <w:jc w:val="righ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pPr>
              <w:pStyle w:val="45"/>
              <w:spacing w:line="240" w:lineRule="auto"/>
              <w:jc w:val="left"/>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417" w:type="dxa"/>
            <w:noWrap w:val="0"/>
            <w:tcMar>
              <w:left w:w="28" w:type="dxa"/>
              <w:right w:w="28" w:type="dxa"/>
            </w:tcMar>
            <w:vAlign w:val="center"/>
          </w:tcPr>
          <w:p>
            <w:pPr>
              <w:pStyle w:val="45"/>
              <w:spacing w:line="240" w:lineRule="auto"/>
              <w:rPr>
                <w:rFonts w:hint="eastAsia"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701" w:type="dxa"/>
            <w:noWrap w:val="0"/>
            <w:tcMar>
              <w:left w:w="28" w:type="dxa"/>
              <w:right w:w="28" w:type="dxa"/>
            </w:tcMar>
            <w:vAlign w:val="center"/>
          </w:tcPr>
          <w:p>
            <w:pPr>
              <w:pStyle w:val="45"/>
              <w:spacing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现有工程</w:t>
            </w:r>
          </w:p>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276" w:type="dxa"/>
            <w:noWrap w:val="0"/>
            <w:tcMar>
              <w:left w:w="28" w:type="dxa"/>
              <w:right w:w="28" w:type="dxa"/>
            </w:tcMar>
            <w:vAlign w:val="center"/>
          </w:tcPr>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t>许可排放量</w:t>
            </w:r>
          </w:p>
          <w:p>
            <w:pPr>
              <w:pStyle w:val="45"/>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01" w:type="dxa"/>
            <w:noWrap w:val="0"/>
            <w:tcMar>
              <w:left w:w="28" w:type="dxa"/>
              <w:right w:w="28" w:type="dxa"/>
            </w:tcMar>
            <w:vAlign w:val="center"/>
          </w:tcPr>
          <w:p>
            <w:pPr>
              <w:pStyle w:val="45"/>
              <w:spacing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在建工程</w:t>
            </w:r>
          </w:p>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59" w:type="dxa"/>
            <w:noWrap w:val="0"/>
            <w:tcMar>
              <w:left w:w="28" w:type="dxa"/>
              <w:right w:w="28" w:type="dxa"/>
            </w:tcMar>
            <w:vAlign w:val="center"/>
          </w:tcPr>
          <w:p>
            <w:pPr>
              <w:pStyle w:val="45"/>
              <w:spacing w:line="240" w:lineRule="auto"/>
              <w:rPr>
                <w:rFonts w:hint="eastAsia" w:ascii="黑体" w:hAnsi="黑体" w:eastAsia="黑体"/>
                <w:snapToGrid w:val="0"/>
                <w:spacing w:val="-6"/>
                <w:kern w:val="21"/>
                <w:szCs w:val="21"/>
              </w:rPr>
            </w:pPr>
            <w:r>
              <w:rPr>
                <w:rFonts w:ascii="黑体" w:hAnsi="黑体" w:eastAsia="黑体"/>
                <w:snapToGrid w:val="0"/>
                <w:spacing w:val="-6"/>
                <w:kern w:val="21"/>
                <w:szCs w:val="21"/>
              </w:rPr>
              <w:t>本项目</w:t>
            </w:r>
          </w:p>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383" w:type="dxa"/>
            <w:noWrap w:val="0"/>
            <w:tcMar>
              <w:left w:w="28" w:type="dxa"/>
              <w:right w:w="28" w:type="dxa"/>
            </w:tcMar>
            <w:vAlign w:val="center"/>
          </w:tcPr>
          <w:p>
            <w:pPr>
              <w:pStyle w:val="45"/>
              <w:spacing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以新带老削减量</w:t>
            </w:r>
          </w:p>
          <w:p>
            <w:pPr>
              <w:pStyle w:val="45"/>
              <w:spacing w:line="240" w:lineRule="auto"/>
              <w:rPr>
                <w:rFonts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758" w:type="dxa"/>
            <w:noWrap w:val="0"/>
            <w:tcMar>
              <w:left w:w="28" w:type="dxa"/>
              <w:right w:w="28" w:type="dxa"/>
            </w:tcMar>
            <w:vAlign w:val="center"/>
          </w:tcPr>
          <w:p>
            <w:pPr>
              <w:pStyle w:val="45"/>
              <w:spacing w:line="240" w:lineRule="auto"/>
              <w:rPr>
                <w:rFonts w:hint="eastAsia" w:ascii="黑体" w:hAnsi="黑体" w:eastAsia="黑体"/>
                <w:snapToGrid w:val="0"/>
                <w:spacing w:val="-16"/>
                <w:kern w:val="21"/>
                <w:szCs w:val="21"/>
              </w:rPr>
            </w:pPr>
            <w:r>
              <w:rPr>
                <w:rFonts w:ascii="黑体" w:hAnsi="黑体" w:eastAsia="黑体"/>
                <w:snapToGrid w:val="0"/>
                <w:spacing w:val="-16"/>
                <w:kern w:val="21"/>
                <w:szCs w:val="21"/>
              </w:rPr>
              <w:t>本项目建成后</w:t>
            </w:r>
          </w:p>
          <w:p>
            <w:pPr>
              <w:pStyle w:val="45"/>
              <w:spacing w:line="240" w:lineRule="auto"/>
              <w:rPr>
                <w:rFonts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1405" w:type="dxa"/>
            <w:noWrap w:val="0"/>
            <w:tcMar>
              <w:left w:w="28" w:type="dxa"/>
              <w:right w:w="28" w:type="dxa"/>
            </w:tcMar>
            <w:vAlign w:val="center"/>
          </w:tcPr>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t>变化量</w:t>
            </w:r>
          </w:p>
          <w:p>
            <w:pPr>
              <w:pStyle w:val="45"/>
              <w:spacing w:line="240" w:lineRule="auto"/>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5"/>
              <w:spacing w:line="240" w:lineRule="auto"/>
              <w:rPr>
                <w:rFonts w:hint="eastAsia" w:cs="宋体"/>
                <w:snapToGrid w:val="0"/>
                <w:kern w:val="21"/>
                <w:szCs w:val="21"/>
              </w:rPr>
            </w:pPr>
            <w:r>
              <w:rPr>
                <w:rFonts w:hint="eastAsia" w:cs="宋体"/>
                <w:snapToGrid w:val="0"/>
                <w:kern w:val="21"/>
                <w:szCs w:val="21"/>
              </w:rPr>
              <w:t>废气</w:t>
            </w:r>
          </w:p>
        </w:tc>
        <w:tc>
          <w:tcPr>
            <w:tcW w:w="1417" w:type="dxa"/>
            <w:noWrap w:val="0"/>
            <w:vAlign w:val="center"/>
          </w:tcPr>
          <w:p>
            <w:pPr>
              <w:pStyle w:val="45"/>
              <w:spacing w:line="240" w:lineRule="auto"/>
              <w:rPr>
                <w:rFonts w:hint="eastAsia" w:cs="宋体"/>
                <w:snapToGrid w:val="0"/>
                <w:kern w:val="21"/>
                <w:szCs w:val="21"/>
              </w:rPr>
            </w:pPr>
            <w:r>
              <w:rPr>
                <w:rFonts w:ascii="Times New Roman" w:hAnsi="Times New Roman"/>
                <w:snapToGrid w:val="0"/>
                <w:kern w:val="21"/>
                <w:szCs w:val="21"/>
              </w:rPr>
              <w:t>VOCs</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76"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559" w:type="dxa"/>
            <w:noWrap w:val="0"/>
            <w:vAlign w:val="center"/>
          </w:tcPr>
          <w:p>
            <w:pPr>
              <w:widowControl/>
              <w:jc w:val="center"/>
              <w:textAlignment w:val="center"/>
              <w:rPr>
                <w:rFonts w:hint="default"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2.4420</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58"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2.4420</w:t>
            </w:r>
          </w:p>
        </w:tc>
        <w:tc>
          <w:tcPr>
            <w:tcW w:w="1405"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2.4420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pStyle w:val="45"/>
              <w:spacing w:line="240" w:lineRule="auto"/>
              <w:rPr>
                <w:rFonts w:hint="eastAsia" w:ascii="Times New Roman" w:hAnsi="Times New Roman" w:eastAsia="宋体"/>
                <w:snapToGrid w:val="0"/>
                <w:kern w:val="21"/>
                <w:szCs w:val="21"/>
                <w:lang w:eastAsia="zh-CN"/>
              </w:rPr>
            </w:pPr>
            <w:r>
              <w:rPr>
                <w:rFonts w:hint="eastAsia" w:ascii="Times New Roman" w:hAnsi="Times New Roman"/>
                <w:snapToGrid w:val="0"/>
                <w:kern w:val="21"/>
                <w:szCs w:val="21"/>
              </w:rPr>
              <w:t>颗粒物</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76"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559"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1.2096</w:t>
            </w:r>
            <w:r>
              <w:rPr>
                <w:rFonts w:hint="eastAsia" w:ascii="Times New Roman" w:hAnsi="Times New Roman" w:eastAsia="宋体" w:cs="Times New Roman"/>
                <w:kern w:val="0"/>
                <w:sz w:val="18"/>
                <w:szCs w:val="18"/>
                <w:lang w:val="en-US" w:eastAsia="zh-CN" w:bidi="ar"/>
              </w:rPr>
              <w:t xml:space="preserve"> </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58"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1.2096</w:t>
            </w:r>
            <w:r>
              <w:rPr>
                <w:rFonts w:hint="eastAsia" w:ascii="Times New Roman" w:hAnsi="Times New Roman" w:eastAsia="宋体" w:cs="Times New Roman"/>
                <w:kern w:val="0"/>
                <w:sz w:val="18"/>
                <w:szCs w:val="18"/>
                <w:lang w:val="en-US" w:eastAsia="zh-CN" w:bidi="ar"/>
              </w:rPr>
              <w:t xml:space="preserve"> </w:t>
            </w:r>
          </w:p>
        </w:tc>
        <w:tc>
          <w:tcPr>
            <w:tcW w:w="1405" w:type="dxa"/>
            <w:noWrap w:val="0"/>
            <w:vAlign w:val="center"/>
          </w:tcPr>
          <w:p>
            <w:pPr>
              <w:widowControl/>
              <w:jc w:val="center"/>
              <w:textAlignment w:val="center"/>
              <w:rPr>
                <w:rFonts w:hint="eastAsia" w:ascii="Times New Roman" w:hAnsi="Times New Roman" w:eastAsia="宋体" w:cs="Times New Roman"/>
                <w:kern w:val="0"/>
                <w:sz w:val="18"/>
                <w:szCs w:val="18"/>
                <w:lang w:val="en-US" w:eastAsia="zh-CN" w:bidi="ar"/>
              </w:rPr>
            </w:pPr>
            <w:r>
              <w:rPr>
                <w:rFonts w:hint="eastAsia" w:cs="Times New Roman"/>
                <w:kern w:val="0"/>
                <w:sz w:val="18"/>
                <w:szCs w:val="18"/>
                <w:lang w:val="en-US" w:eastAsia="zh-CN" w:bidi="ar"/>
              </w:rPr>
              <w:t>1.2096</w:t>
            </w:r>
            <w:r>
              <w:rPr>
                <w:rFonts w:hint="eastAsia" w:ascii="Times New Roman" w:hAnsi="Times New Roman" w:eastAsia="宋体" w:cs="Times New Roman"/>
                <w:kern w:val="0"/>
                <w:sz w:val="18"/>
                <w:szCs w:val="18"/>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5"/>
              <w:spacing w:line="240" w:lineRule="auto"/>
              <w:rPr>
                <w:rFonts w:hint="eastAsia" w:cs="宋体"/>
                <w:snapToGrid w:val="0"/>
                <w:kern w:val="21"/>
                <w:szCs w:val="21"/>
              </w:rPr>
            </w:pPr>
            <w:r>
              <w:rPr>
                <w:rFonts w:hint="eastAsia" w:cs="宋体"/>
                <w:snapToGrid w:val="0"/>
                <w:kern w:val="21"/>
                <w:szCs w:val="21"/>
              </w:rPr>
              <w:t>废水</w:t>
            </w:r>
          </w:p>
          <w:p>
            <w:pPr>
              <w:pStyle w:val="45"/>
              <w:spacing w:line="240" w:lineRule="auto"/>
              <w:rPr>
                <w:rFonts w:hint="eastAsia" w:cs="宋体"/>
                <w:snapToGrid w:val="0"/>
                <w:kern w:val="21"/>
                <w:szCs w:val="21"/>
              </w:rPr>
            </w:pPr>
            <w:r>
              <w:rPr>
                <w:rFonts w:ascii="Times New Roman" w:hAnsi="Times New Roman"/>
                <w:snapToGrid w:val="0"/>
                <w:kern w:val="21"/>
                <w:sz w:val="18"/>
                <w:szCs w:val="18"/>
              </w:rPr>
              <w:t>（</w:t>
            </w:r>
            <w:r>
              <w:rPr>
                <w:rFonts w:hint="eastAsia" w:ascii="Times New Roman" w:hAnsi="Times New Roman"/>
                <w:snapToGrid w:val="0"/>
                <w:kern w:val="21"/>
                <w:sz w:val="18"/>
                <w:szCs w:val="18"/>
              </w:rPr>
              <w:t>外排环境量</w:t>
            </w:r>
            <w:r>
              <w:rPr>
                <w:rFonts w:ascii="Times New Roman" w:hAnsi="Times New Roman"/>
                <w:snapToGrid w:val="0"/>
                <w:kern w:val="21"/>
                <w:sz w:val="18"/>
                <w:szCs w:val="18"/>
              </w:rPr>
              <w:t>）</w:t>
            </w:r>
          </w:p>
        </w:tc>
        <w:tc>
          <w:tcPr>
            <w:tcW w:w="1417" w:type="dxa"/>
            <w:noWrap w:val="0"/>
            <w:vAlign w:val="center"/>
          </w:tcPr>
          <w:p>
            <w:pPr>
              <w:keepNext w:val="0"/>
              <w:keepLines w:val="0"/>
              <w:widowControl/>
              <w:suppressLineNumbers w:val="0"/>
              <w:jc w:val="center"/>
              <w:textAlignment w:val="center"/>
              <w:rPr>
                <w:rFonts w:ascii="Times New Roman" w:hAnsi="Times New Roman"/>
                <w:snapToGrid w:val="0"/>
                <w:kern w:val="21"/>
                <w:szCs w:val="21"/>
              </w:rPr>
            </w:pPr>
            <w:r>
              <w:rPr>
                <w:rFonts w:hint="default" w:ascii="Times New Roman" w:hAnsi="Times New Roman" w:eastAsia="宋体" w:cs="Times New Roman"/>
                <w:i w:val="0"/>
                <w:iCs w:val="0"/>
                <w:color w:val="000000"/>
                <w:kern w:val="0"/>
                <w:sz w:val="22"/>
                <w:szCs w:val="22"/>
                <w:u w:val="none"/>
                <w:lang w:val="en-US" w:eastAsia="zh-CN" w:bidi="ar"/>
              </w:rPr>
              <w:t>COD</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76"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0.3306</w:t>
            </w:r>
          </w:p>
        </w:tc>
        <w:tc>
          <w:tcPr>
            <w:tcW w:w="13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0.3306</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0.3306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ascii="Times New Roman" w:hAnsi="Times New Roman"/>
                <w:snapToGrid w:val="0"/>
                <w:kern w:val="21"/>
                <w:szCs w:val="21"/>
              </w:rPr>
            </w:pPr>
            <w:r>
              <w:rPr>
                <w:rFonts w:hint="eastAsia" w:ascii="宋体" w:hAnsi="宋体" w:eastAsia="宋体" w:cs="宋体"/>
                <w:i w:val="0"/>
                <w:iCs w:val="0"/>
                <w:color w:val="000000"/>
                <w:kern w:val="0"/>
                <w:sz w:val="22"/>
                <w:szCs w:val="22"/>
                <w:u w:val="none"/>
                <w:lang w:val="en-US" w:eastAsia="zh-CN" w:bidi="ar"/>
              </w:rPr>
              <w:t>氨氮</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76"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0.0331</w:t>
            </w:r>
          </w:p>
        </w:tc>
        <w:tc>
          <w:tcPr>
            <w:tcW w:w="13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0.0331</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ascii="Times New Roman" w:hAnsi="Times New Roman"/>
                <w:snapToGrid w:val="0"/>
                <w:kern w:val="21"/>
                <w:szCs w:val="21"/>
              </w:rPr>
            </w:pPr>
            <w:r>
              <w:rPr>
                <w:rFonts w:hint="eastAsia" w:ascii="宋体" w:hAnsi="宋体" w:eastAsia="宋体" w:cs="宋体"/>
                <w:i w:val="0"/>
                <w:iCs w:val="0"/>
                <w:color w:val="000000"/>
                <w:kern w:val="0"/>
                <w:sz w:val="22"/>
                <w:szCs w:val="22"/>
                <w:u w:val="none"/>
                <w:lang w:val="en-US" w:eastAsia="zh-CN" w:bidi="ar"/>
              </w:rPr>
              <w:t>总氮</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76"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0.0992</w:t>
            </w:r>
          </w:p>
        </w:tc>
        <w:tc>
          <w:tcPr>
            <w:tcW w:w="13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0.0992</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0.0992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ascii="Times New Roman" w:hAnsi="Times New Roman"/>
                <w:snapToGrid w:val="0"/>
                <w:kern w:val="21"/>
                <w:szCs w:val="21"/>
              </w:rPr>
            </w:pPr>
            <w:r>
              <w:rPr>
                <w:rFonts w:hint="eastAsia" w:ascii="宋体" w:hAnsi="宋体" w:eastAsia="宋体" w:cs="宋体"/>
                <w:i w:val="0"/>
                <w:iCs w:val="0"/>
                <w:color w:val="000000"/>
                <w:kern w:val="0"/>
                <w:sz w:val="22"/>
                <w:szCs w:val="22"/>
                <w:u w:val="none"/>
                <w:lang w:val="en-US" w:eastAsia="zh-CN" w:bidi="ar"/>
              </w:rPr>
              <w:t>总磷</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276"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701" w:type="dxa"/>
            <w:noWrap w:val="0"/>
            <w:vAlign w:val="center"/>
          </w:tcPr>
          <w:p>
            <w:pPr>
              <w:pStyle w:val="45"/>
              <w:spacing w:line="240" w:lineRule="auto"/>
              <w:jc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0.0033</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138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0.0033</w:t>
            </w:r>
            <w:r>
              <w:rPr>
                <w:rFonts w:hint="default" w:ascii="Times New Roman" w:hAnsi="Times New Roman" w:eastAsia="宋体" w:cs="Times New Roman"/>
                <w:i w:val="0"/>
                <w:iCs w:val="0"/>
                <w:color w:val="000000"/>
                <w:kern w:val="0"/>
                <w:sz w:val="18"/>
                <w:szCs w:val="18"/>
                <w:u w:val="none"/>
                <w:lang w:val="en-US" w:eastAsia="zh-CN" w:bidi="ar"/>
              </w:rPr>
              <w:t xml:space="preserve"> </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0.0033</w:t>
            </w:r>
            <w:r>
              <w:rPr>
                <w:rFonts w:hint="default" w:ascii="Times New Roman" w:hAnsi="Times New Roman" w:eastAsia="宋体" w:cs="Times New Roman"/>
                <w:i w:val="0"/>
                <w:iCs w:val="0"/>
                <w:color w:val="000000"/>
                <w:kern w:val="0"/>
                <w:sz w:val="18"/>
                <w:szCs w:val="18"/>
                <w:u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5"/>
              <w:spacing w:line="240" w:lineRule="auto"/>
              <w:rPr>
                <w:rFonts w:cs="宋体"/>
                <w:snapToGrid w:val="0"/>
                <w:kern w:val="21"/>
                <w:szCs w:val="21"/>
              </w:rPr>
            </w:pPr>
            <w:r>
              <w:rPr>
                <w:rFonts w:hint="eastAsia" w:cs="宋体"/>
                <w:snapToGrid w:val="0"/>
                <w:kern w:val="21"/>
                <w:szCs w:val="21"/>
              </w:rPr>
              <w:t>一般工业</w:t>
            </w:r>
          </w:p>
          <w:p>
            <w:pPr>
              <w:pStyle w:val="45"/>
              <w:spacing w:line="240" w:lineRule="auto"/>
              <w:rPr>
                <w:rFonts w:hint="eastAsia" w:cs="宋体"/>
                <w:snapToGrid w:val="0"/>
                <w:kern w:val="21"/>
                <w:szCs w:val="21"/>
              </w:rPr>
            </w:pPr>
            <w:r>
              <w:rPr>
                <w:rFonts w:hint="eastAsia" w:cs="宋体"/>
                <w:snapToGrid w:val="0"/>
                <w:kern w:val="21"/>
                <w:szCs w:val="21"/>
              </w:rPr>
              <w:t>固体废物</w:t>
            </w:r>
          </w:p>
        </w:tc>
        <w:tc>
          <w:tcPr>
            <w:tcW w:w="1417" w:type="dxa"/>
            <w:noWrap w:val="0"/>
            <w:vAlign w:val="center"/>
          </w:tcPr>
          <w:p>
            <w:pPr>
              <w:keepNext w:val="0"/>
              <w:keepLines w:val="0"/>
              <w:widowControl/>
              <w:suppressLineNumbers w:val="0"/>
              <w:jc w:val="center"/>
              <w:textAlignment w:val="center"/>
              <w:rPr>
                <w:rFonts w:hAnsi="宋体" w:cs="宋体"/>
                <w:snapToGrid w:val="0"/>
                <w:kern w:val="21"/>
                <w:szCs w:val="21"/>
              </w:rPr>
            </w:pPr>
            <w:r>
              <w:rPr>
                <w:rFonts w:hint="eastAsia" w:ascii="宋体" w:hAnsi="宋体" w:eastAsia="宋体" w:cs="宋体"/>
                <w:i w:val="0"/>
                <w:iCs w:val="0"/>
                <w:color w:val="000000"/>
                <w:kern w:val="0"/>
                <w:sz w:val="18"/>
                <w:szCs w:val="18"/>
                <w:u w:val="none"/>
                <w:lang w:val="en-US" w:eastAsia="zh-CN" w:bidi="ar"/>
              </w:rPr>
              <w:t>生活垃圾</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4.14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cs="宋体"/>
                <w:snapToGrid w:val="0"/>
                <w:kern w:val="21"/>
                <w:szCs w:val="21"/>
              </w:rPr>
            </w:pPr>
            <w:r>
              <w:rPr>
                <w:rFonts w:hint="eastAsia" w:ascii="宋体" w:hAnsi="宋体" w:eastAsia="宋体" w:cs="宋体"/>
                <w:i w:val="0"/>
                <w:iCs w:val="0"/>
                <w:color w:val="000000"/>
                <w:kern w:val="0"/>
                <w:sz w:val="18"/>
                <w:szCs w:val="18"/>
                <w:u w:val="none"/>
                <w:lang w:val="en-US" w:eastAsia="zh-CN" w:bidi="ar"/>
              </w:rPr>
              <w:t>边角料及不良品</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kern w:val="0"/>
                <w:sz w:val="18"/>
                <w:szCs w:val="18"/>
                <w:lang w:bidi="ar"/>
              </w:rPr>
            </w:pPr>
            <w:r>
              <w:rPr>
                <w:rFonts w:hint="eastAsia" w:ascii="宋体" w:hAnsi="宋体" w:eastAsia="宋体" w:cs="宋体"/>
                <w:i w:val="0"/>
                <w:iCs w:val="0"/>
                <w:color w:val="000000"/>
                <w:kern w:val="0"/>
                <w:sz w:val="18"/>
                <w:szCs w:val="18"/>
                <w:u w:val="none"/>
                <w:lang w:val="en-US" w:eastAsia="zh-CN" w:bidi="ar"/>
              </w:rPr>
              <w:t>除尘器粉尘</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16.63</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16.63</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废包装物</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cs="宋体"/>
                <w:snapToGrid w:val="0"/>
                <w:kern w:val="21"/>
                <w:szCs w:val="21"/>
              </w:rPr>
            </w:pPr>
            <w:r>
              <w:rPr>
                <w:rFonts w:hint="eastAsia" w:ascii="宋体" w:hAnsi="宋体" w:eastAsia="宋体" w:cs="宋体"/>
                <w:i w:val="0"/>
                <w:iCs w:val="0"/>
                <w:color w:val="000000"/>
                <w:kern w:val="0"/>
                <w:sz w:val="18"/>
                <w:szCs w:val="18"/>
                <w:u w:val="none"/>
                <w:lang w:val="en-US" w:eastAsia="zh-CN" w:bidi="ar"/>
              </w:rPr>
              <w:t>污泥</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5"/>
              <w:spacing w:line="240" w:lineRule="auto"/>
              <w:rPr>
                <w:rFonts w:hint="eastAsia" w:cs="宋体"/>
                <w:snapToGrid w:val="0"/>
                <w:kern w:val="21"/>
                <w:szCs w:val="21"/>
              </w:rPr>
            </w:pPr>
            <w:r>
              <w:rPr>
                <w:rFonts w:hint="eastAsia" w:cs="宋体"/>
                <w:snapToGrid w:val="0"/>
                <w:kern w:val="21"/>
                <w:szCs w:val="21"/>
              </w:rPr>
              <w:t>危险废物</w:t>
            </w:r>
          </w:p>
        </w:tc>
        <w:tc>
          <w:tcPr>
            <w:tcW w:w="1417" w:type="dxa"/>
            <w:noWrap w:val="0"/>
            <w:vAlign w:val="center"/>
          </w:tcPr>
          <w:p>
            <w:pPr>
              <w:keepNext w:val="0"/>
              <w:keepLines w:val="0"/>
              <w:widowControl/>
              <w:suppressLineNumbers w:val="0"/>
              <w:jc w:val="center"/>
              <w:textAlignment w:val="center"/>
              <w:rPr>
                <w:rFonts w:hint="eastAsia" w:ascii="宋体" w:hAnsi="宋体" w:cs="宋体"/>
                <w:kern w:val="0"/>
                <w:sz w:val="18"/>
                <w:szCs w:val="18"/>
                <w:lang w:bidi="ar"/>
              </w:rPr>
            </w:pPr>
            <w:r>
              <w:rPr>
                <w:rFonts w:hint="eastAsia" w:ascii="宋体" w:hAnsi="宋体" w:eastAsia="宋体" w:cs="宋体"/>
                <w:i w:val="0"/>
                <w:iCs w:val="0"/>
                <w:color w:val="000000"/>
                <w:kern w:val="0"/>
                <w:sz w:val="18"/>
                <w:szCs w:val="18"/>
                <w:u w:val="none"/>
                <w:lang w:val="en-US" w:eastAsia="zh-CN" w:bidi="ar"/>
              </w:rPr>
              <w:t>废润滑油</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hAnsi="宋体" w:cs="宋体"/>
                <w:snapToGrid w:val="0"/>
                <w:kern w:val="21"/>
                <w:szCs w:val="21"/>
              </w:rPr>
            </w:pPr>
            <w:r>
              <w:rPr>
                <w:rFonts w:hint="eastAsia" w:ascii="宋体" w:hAnsi="宋体" w:eastAsia="宋体" w:cs="宋体"/>
                <w:i w:val="0"/>
                <w:iCs w:val="0"/>
                <w:color w:val="000000"/>
                <w:kern w:val="0"/>
                <w:sz w:val="18"/>
                <w:szCs w:val="18"/>
                <w:u w:val="none"/>
                <w:lang w:val="en-US" w:eastAsia="zh-CN" w:bidi="ar"/>
              </w:rPr>
              <w:t>废润滑油桶</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0.05</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cs="宋体"/>
                <w:snapToGrid w:val="0"/>
                <w:kern w:val="21"/>
                <w:szCs w:val="21"/>
              </w:rPr>
            </w:pPr>
            <w:r>
              <w:rPr>
                <w:rFonts w:hint="eastAsia" w:ascii="宋体" w:hAnsi="宋体" w:eastAsia="宋体" w:cs="宋体"/>
                <w:i w:val="0"/>
                <w:iCs w:val="0"/>
                <w:color w:val="000000"/>
                <w:kern w:val="0"/>
                <w:sz w:val="18"/>
                <w:szCs w:val="18"/>
                <w:u w:val="none"/>
                <w:lang w:val="en-US" w:eastAsia="zh-CN" w:bidi="ar"/>
              </w:rPr>
              <w:t>废含油手套及抹布</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cs="宋体"/>
                <w:snapToGrid w:val="0"/>
                <w:kern w:val="21"/>
                <w:szCs w:val="21"/>
              </w:rPr>
            </w:pPr>
            <w:r>
              <w:rPr>
                <w:rFonts w:hint="eastAsia" w:ascii="宋体" w:hAnsi="宋体" w:eastAsia="宋体" w:cs="宋体"/>
                <w:i w:val="0"/>
                <w:iCs w:val="0"/>
                <w:color w:val="000000"/>
                <w:kern w:val="0"/>
                <w:sz w:val="18"/>
                <w:szCs w:val="18"/>
                <w:u w:val="none"/>
                <w:lang w:val="en-US" w:eastAsia="zh-CN" w:bidi="ar"/>
              </w:rPr>
              <w:t>废活性炭</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8.14</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8.14</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8.14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hint="eastAsia"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废过滤棉</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4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5"/>
              <w:spacing w:line="240" w:lineRule="auto"/>
              <w:rPr>
                <w:rFonts w:cs="宋体"/>
                <w:snapToGrid w:val="0"/>
                <w:kern w:val="21"/>
                <w:szCs w:val="21"/>
              </w:rPr>
            </w:pPr>
          </w:p>
        </w:tc>
        <w:tc>
          <w:tcPr>
            <w:tcW w:w="1417" w:type="dxa"/>
            <w:noWrap w:val="0"/>
            <w:vAlign w:val="center"/>
          </w:tcPr>
          <w:p>
            <w:pPr>
              <w:keepNext w:val="0"/>
              <w:keepLines w:val="0"/>
              <w:widowControl/>
              <w:suppressLineNumbers w:val="0"/>
              <w:jc w:val="center"/>
              <w:textAlignment w:val="center"/>
              <w:rPr>
                <w:rFonts w:hint="eastAsia" w:cs="宋体"/>
                <w:snapToGrid w:val="0"/>
                <w:kern w:val="21"/>
                <w:szCs w:val="21"/>
              </w:rPr>
            </w:pPr>
            <w:r>
              <w:rPr>
                <w:rFonts w:hint="eastAsia" w:ascii="宋体" w:hAnsi="宋体" w:eastAsia="宋体" w:cs="宋体"/>
                <w:i w:val="0"/>
                <w:iCs w:val="0"/>
                <w:color w:val="000000"/>
                <w:kern w:val="0"/>
                <w:sz w:val="18"/>
                <w:szCs w:val="18"/>
                <w:u w:val="none"/>
                <w:lang w:val="en-US" w:eastAsia="zh-CN" w:bidi="ar"/>
              </w:rPr>
              <w:t>废硫酸包装桶</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276"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01"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383" w:type="dxa"/>
            <w:noWrap w:val="0"/>
            <w:vAlign w:val="center"/>
          </w:tcPr>
          <w:p>
            <w:pPr>
              <w:widowControl/>
              <w:jc w:val="center"/>
              <w:textAlignment w:val="center"/>
              <w:rPr>
                <w:rFonts w:hint="eastAsia"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bidi="ar"/>
              </w:rPr>
              <w:t>0</w:t>
            </w:r>
          </w:p>
        </w:tc>
        <w:tc>
          <w:tcPr>
            <w:tcW w:w="175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4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kern w:val="0"/>
                <w:sz w:val="18"/>
                <w:szCs w:val="18"/>
                <w:lang w:bidi="ar"/>
              </w:rPr>
            </w:pPr>
            <w:r>
              <w:rPr>
                <w:rFonts w:hint="default" w:ascii="Times New Roman" w:hAnsi="Times New Roman" w:eastAsia="宋体" w:cs="Times New Roman"/>
                <w:i w:val="0"/>
                <w:iCs w:val="0"/>
                <w:color w:val="000000"/>
                <w:kern w:val="0"/>
                <w:sz w:val="18"/>
                <w:szCs w:val="18"/>
                <w:u w:val="none"/>
                <w:lang w:val="en-US" w:eastAsia="zh-CN" w:bidi="ar"/>
              </w:rPr>
              <w:t>0.1</w:t>
            </w:r>
          </w:p>
        </w:tc>
      </w:tr>
    </w:tbl>
    <w:p>
      <w:pPr>
        <w:pStyle w:val="45"/>
        <w:spacing w:before="192" w:beforeLines="80" w:after="24"/>
        <w:jc w:val="left"/>
        <w:rPr>
          <w:rFonts w:hint="eastAsia"/>
          <w:snapToGrid w:val="0"/>
          <w:spacing w:val="-6"/>
          <w:kern w:val="21"/>
          <w:szCs w:val="21"/>
        </w:r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szCs w:val="21"/>
        </w:rPr>
        <w:t>①</w:t>
      </w:r>
      <w:r>
        <w:rPr>
          <w:snapToGrid w:val="0"/>
          <w:spacing w:val="-6"/>
          <w:kern w:val="21"/>
          <w:szCs w:val="21"/>
        </w:rPr>
        <w:fldChar w:fldCharType="end"/>
      </w:r>
    </w:p>
    <w:p>
      <w:pPr>
        <w:rPr>
          <w:rFonts w:hint="eastAsia"/>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rPr>
          <w:rFonts w:ascii="宋体" w:hAnsi="宋体" w:eastAsia="黑体"/>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华文仿宋">
    <w:altName w:val="方正仿宋_GBK"/>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fldChar w:fldCharType="begin"/>
    </w:r>
    <w:r>
      <w:rPr>
        <w:rStyle w:val="27"/>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22"/>
        <w:tab w:val="clear" w:pos="4153"/>
      </w:tabs>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DOqXm5zwAAAAUBAAAPAAAAAAAA&#10;AAEAIAAAADgAAABkcnMvZG93bnJldi54bWxQSwECFAAUAAAACACHTuJACkjt2MwBAACdAwAADgAA&#10;AAAAAAABACAAAAA0AQAAZHJzL2Uyb0RvYy54bWxQSwUGAAAAAAYABgBZAQAAc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76</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AjsKOZywEAAJ0DAAAOAAAA&#10;AAAAAAEAIAAAADQBAABkcnMvZTJvRG9jLnhtbFBLBQYAAAAABgAGAFkBAABx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77</w:t>
                          </w:r>
                          <w:r>
                            <w:fldChar w:fldCharType="end"/>
                          </w:r>
                        </w:p>
                      </w:txbxContent>
                    </wps:txbx>
                    <wps:bodyPr wrap="none" lIns="0" tIns="0" rIns="0" bIns="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M6pebnPAAAABQEAAA8AAAAAAAAA&#10;AQAgAAAAOAAAAGRycy9kb3ducmV2LnhtbFBLAQIUABQAAAAIAIdO4kDpvTgvywEAAJ0DAAAOAAAA&#10;AAAAAAEAIAAAADQBAABkcnMvZTJvRG9jLnhtbFBLBQYAAAAABgAGAFkBAABx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77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D9F06"/>
    <w:multiLevelType w:val="singleLevel"/>
    <w:tmpl w:val="AA6D9F06"/>
    <w:lvl w:ilvl="0" w:tentative="0">
      <w:start w:val="3"/>
      <w:numFmt w:val="decimal"/>
      <w:suff w:val="nothing"/>
      <w:lvlText w:val="（%1）"/>
      <w:lvlJc w:val="left"/>
    </w:lvl>
  </w:abstractNum>
  <w:abstractNum w:abstractNumId="1">
    <w:nsid w:val="B912CC63"/>
    <w:multiLevelType w:val="singleLevel"/>
    <w:tmpl w:val="B912CC63"/>
    <w:lvl w:ilvl="0" w:tentative="0">
      <w:start w:val="1"/>
      <w:numFmt w:val="decimal"/>
      <w:suff w:val="nothing"/>
      <w:lvlText w:val="（%1）"/>
      <w:lvlJc w:val="left"/>
    </w:lvl>
  </w:abstractNum>
  <w:abstractNum w:abstractNumId="2">
    <w:nsid w:val="FB459EAB"/>
    <w:multiLevelType w:val="singleLevel"/>
    <w:tmpl w:val="FB459EAB"/>
    <w:lvl w:ilvl="0" w:tentative="0">
      <w:start w:val="1"/>
      <w:numFmt w:val="decimal"/>
      <w:suff w:val="nothing"/>
      <w:lvlText w:val="%1、"/>
      <w:lvlJc w:val="left"/>
    </w:lvl>
  </w:abstractNum>
  <w:abstractNum w:abstractNumId="3">
    <w:nsid w:val="0D3DA221"/>
    <w:multiLevelType w:val="singleLevel"/>
    <w:tmpl w:val="0D3DA221"/>
    <w:lvl w:ilvl="0" w:tentative="0">
      <w:start w:val="1"/>
      <w:numFmt w:val="decimal"/>
      <w:suff w:val="nothing"/>
      <w:lvlText w:val="%1、"/>
      <w:lvlJc w:val="left"/>
    </w:lvl>
  </w:abstractNum>
  <w:abstractNum w:abstractNumId="4">
    <w:nsid w:val="17B02B94"/>
    <w:multiLevelType w:val="singleLevel"/>
    <w:tmpl w:val="17B02B94"/>
    <w:lvl w:ilvl="0" w:tentative="0">
      <w:start w:val="6"/>
      <w:numFmt w:val="decimal"/>
      <w:suff w:val="nothing"/>
      <w:lvlText w:val="%1、"/>
      <w:lvlJc w:val="left"/>
    </w:lvl>
  </w:abstractNum>
  <w:abstractNum w:abstractNumId="5">
    <w:nsid w:val="4EFAB09F"/>
    <w:multiLevelType w:val="singleLevel"/>
    <w:tmpl w:val="4EFAB09F"/>
    <w:lvl w:ilvl="0" w:tentative="0">
      <w:start w:val="1"/>
      <w:numFmt w:val="upperLetter"/>
      <w:suff w:val="nothing"/>
      <w:lvlText w:val="%1、"/>
      <w:lvlJc w:val="left"/>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kYTQxMjI4YjdiMTU4YjhkYjc4ZGEyNTllNDY2Zm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1E0"/>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1B5E"/>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1913"/>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11FC"/>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0C4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54"/>
    <w:rsid w:val="00FD54DB"/>
    <w:rsid w:val="00FD619F"/>
    <w:rsid w:val="010101AD"/>
    <w:rsid w:val="0104025E"/>
    <w:rsid w:val="01123EB7"/>
    <w:rsid w:val="01131FA8"/>
    <w:rsid w:val="01290F7E"/>
    <w:rsid w:val="015D1E09"/>
    <w:rsid w:val="01C26E13"/>
    <w:rsid w:val="023218CA"/>
    <w:rsid w:val="02697903"/>
    <w:rsid w:val="02C07190"/>
    <w:rsid w:val="02C43119"/>
    <w:rsid w:val="02CF56A6"/>
    <w:rsid w:val="02F96569"/>
    <w:rsid w:val="034B0FFA"/>
    <w:rsid w:val="034D095E"/>
    <w:rsid w:val="038325D2"/>
    <w:rsid w:val="03973085"/>
    <w:rsid w:val="03EA7B21"/>
    <w:rsid w:val="041047F1"/>
    <w:rsid w:val="04722D72"/>
    <w:rsid w:val="04913503"/>
    <w:rsid w:val="04A45128"/>
    <w:rsid w:val="05377B18"/>
    <w:rsid w:val="059B00A7"/>
    <w:rsid w:val="05F83EAE"/>
    <w:rsid w:val="060C7DF4"/>
    <w:rsid w:val="060E23AC"/>
    <w:rsid w:val="061978E9"/>
    <w:rsid w:val="063E7D85"/>
    <w:rsid w:val="065169B7"/>
    <w:rsid w:val="07251FC3"/>
    <w:rsid w:val="07293586"/>
    <w:rsid w:val="07295285"/>
    <w:rsid w:val="0739256A"/>
    <w:rsid w:val="07623B09"/>
    <w:rsid w:val="07636392"/>
    <w:rsid w:val="07770C56"/>
    <w:rsid w:val="079B73F0"/>
    <w:rsid w:val="079D0E7F"/>
    <w:rsid w:val="07E905F5"/>
    <w:rsid w:val="080A4AD9"/>
    <w:rsid w:val="080E6595"/>
    <w:rsid w:val="08286403"/>
    <w:rsid w:val="085C6D70"/>
    <w:rsid w:val="08E05BFA"/>
    <w:rsid w:val="092217DD"/>
    <w:rsid w:val="093A7294"/>
    <w:rsid w:val="095C5155"/>
    <w:rsid w:val="09F41468"/>
    <w:rsid w:val="09F977AC"/>
    <w:rsid w:val="09FC6AC8"/>
    <w:rsid w:val="0A022ACD"/>
    <w:rsid w:val="0A125676"/>
    <w:rsid w:val="0A263993"/>
    <w:rsid w:val="0A26566B"/>
    <w:rsid w:val="0A2D3AC2"/>
    <w:rsid w:val="0A42201D"/>
    <w:rsid w:val="0AA43DAB"/>
    <w:rsid w:val="0AA755DF"/>
    <w:rsid w:val="0B120D44"/>
    <w:rsid w:val="0B5B0786"/>
    <w:rsid w:val="0B8654C7"/>
    <w:rsid w:val="0B883F4D"/>
    <w:rsid w:val="0BCE4B75"/>
    <w:rsid w:val="0BD27BF6"/>
    <w:rsid w:val="0C3B3C7D"/>
    <w:rsid w:val="0C435B9B"/>
    <w:rsid w:val="0CAB2EAE"/>
    <w:rsid w:val="0CB953C7"/>
    <w:rsid w:val="0CE148D2"/>
    <w:rsid w:val="0CF544CB"/>
    <w:rsid w:val="0CFE343C"/>
    <w:rsid w:val="0D0B6168"/>
    <w:rsid w:val="0D155331"/>
    <w:rsid w:val="0D240982"/>
    <w:rsid w:val="0D4E664B"/>
    <w:rsid w:val="0D621C7D"/>
    <w:rsid w:val="0D9773A6"/>
    <w:rsid w:val="0DBF68FD"/>
    <w:rsid w:val="0E0A7CF9"/>
    <w:rsid w:val="0E1529C0"/>
    <w:rsid w:val="0E73034D"/>
    <w:rsid w:val="0F13775A"/>
    <w:rsid w:val="0F1D0FF6"/>
    <w:rsid w:val="0F5F45FE"/>
    <w:rsid w:val="0F741F89"/>
    <w:rsid w:val="0F9A112B"/>
    <w:rsid w:val="100D1EE7"/>
    <w:rsid w:val="10501721"/>
    <w:rsid w:val="10524C52"/>
    <w:rsid w:val="106D2F64"/>
    <w:rsid w:val="10B63710"/>
    <w:rsid w:val="10B8464E"/>
    <w:rsid w:val="10F10820"/>
    <w:rsid w:val="10F66AD9"/>
    <w:rsid w:val="111C2F7A"/>
    <w:rsid w:val="11416687"/>
    <w:rsid w:val="11665CA1"/>
    <w:rsid w:val="125E0D24"/>
    <w:rsid w:val="125E4238"/>
    <w:rsid w:val="126873BA"/>
    <w:rsid w:val="12AF3F44"/>
    <w:rsid w:val="12EA1F47"/>
    <w:rsid w:val="13086842"/>
    <w:rsid w:val="13274F64"/>
    <w:rsid w:val="133E6515"/>
    <w:rsid w:val="13951726"/>
    <w:rsid w:val="13AA5959"/>
    <w:rsid w:val="13AC18FC"/>
    <w:rsid w:val="14396509"/>
    <w:rsid w:val="146B50E8"/>
    <w:rsid w:val="14CE0E84"/>
    <w:rsid w:val="14DD2C3C"/>
    <w:rsid w:val="150953F2"/>
    <w:rsid w:val="151D1788"/>
    <w:rsid w:val="155618F4"/>
    <w:rsid w:val="159B19FD"/>
    <w:rsid w:val="15C250DC"/>
    <w:rsid w:val="15FB249C"/>
    <w:rsid w:val="15FD1E71"/>
    <w:rsid w:val="16041BCA"/>
    <w:rsid w:val="16087E1D"/>
    <w:rsid w:val="16A372B3"/>
    <w:rsid w:val="16C471BC"/>
    <w:rsid w:val="176C0D79"/>
    <w:rsid w:val="17701D14"/>
    <w:rsid w:val="17735226"/>
    <w:rsid w:val="177B5642"/>
    <w:rsid w:val="17CC40F0"/>
    <w:rsid w:val="186B47E9"/>
    <w:rsid w:val="189F624C"/>
    <w:rsid w:val="192A17B1"/>
    <w:rsid w:val="19C72AD7"/>
    <w:rsid w:val="19DF4C6C"/>
    <w:rsid w:val="1A1C66C0"/>
    <w:rsid w:val="1A42393B"/>
    <w:rsid w:val="1A934D2E"/>
    <w:rsid w:val="1A9F4F41"/>
    <w:rsid w:val="1AA83FBF"/>
    <w:rsid w:val="1AAD45DE"/>
    <w:rsid w:val="1AB174E3"/>
    <w:rsid w:val="1AEB6F83"/>
    <w:rsid w:val="1B046F80"/>
    <w:rsid w:val="1B3267B5"/>
    <w:rsid w:val="1B40161D"/>
    <w:rsid w:val="1B441859"/>
    <w:rsid w:val="1B6606B1"/>
    <w:rsid w:val="1BF43BDF"/>
    <w:rsid w:val="1BF63327"/>
    <w:rsid w:val="1C01469B"/>
    <w:rsid w:val="1C375441"/>
    <w:rsid w:val="1C493F61"/>
    <w:rsid w:val="1C5E7925"/>
    <w:rsid w:val="1C766D20"/>
    <w:rsid w:val="1CF01C4F"/>
    <w:rsid w:val="1CF66443"/>
    <w:rsid w:val="1CFD070F"/>
    <w:rsid w:val="1D0B2A29"/>
    <w:rsid w:val="1D0F1285"/>
    <w:rsid w:val="1D165820"/>
    <w:rsid w:val="1D5F6196"/>
    <w:rsid w:val="1D6132A5"/>
    <w:rsid w:val="1D807115"/>
    <w:rsid w:val="1D8E56D5"/>
    <w:rsid w:val="1DC774F2"/>
    <w:rsid w:val="1DEA1774"/>
    <w:rsid w:val="1E4515D6"/>
    <w:rsid w:val="1E5D0198"/>
    <w:rsid w:val="1E7A43DA"/>
    <w:rsid w:val="1E916852"/>
    <w:rsid w:val="1EDD4398"/>
    <w:rsid w:val="1F06438B"/>
    <w:rsid w:val="1F147B51"/>
    <w:rsid w:val="1F1B5E97"/>
    <w:rsid w:val="1FE7539E"/>
    <w:rsid w:val="20671BE0"/>
    <w:rsid w:val="20963CB8"/>
    <w:rsid w:val="20A3249B"/>
    <w:rsid w:val="20A664BA"/>
    <w:rsid w:val="20A81A1B"/>
    <w:rsid w:val="20B07FB6"/>
    <w:rsid w:val="20B646FB"/>
    <w:rsid w:val="20DE6C42"/>
    <w:rsid w:val="213B74B1"/>
    <w:rsid w:val="215A2310"/>
    <w:rsid w:val="21AF0D0A"/>
    <w:rsid w:val="21DE318A"/>
    <w:rsid w:val="21EF5B80"/>
    <w:rsid w:val="21FB38B9"/>
    <w:rsid w:val="22576990"/>
    <w:rsid w:val="22910249"/>
    <w:rsid w:val="22CC58EC"/>
    <w:rsid w:val="22F47480"/>
    <w:rsid w:val="233052DA"/>
    <w:rsid w:val="2354663A"/>
    <w:rsid w:val="23572B2D"/>
    <w:rsid w:val="23575402"/>
    <w:rsid w:val="23610C80"/>
    <w:rsid w:val="23620D1A"/>
    <w:rsid w:val="23A75A11"/>
    <w:rsid w:val="23DE1C48"/>
    <w:rsid w:val="240210CD"/>
    <w:rsid w:val="24B450B1"/>
    <w:rsid w:val="24BF09F7"/>
    <w:rsid w:val="24DF3BFB"/>
    <w:rsid w:val="252D53FE"/>
    <w:rsid w:val="254C60A9"/>
    <w:rsid w:val="25AC271E"/>
    <w:rsid w:val="25EC2D81"/>
    <w:rsid w:val="25ED2491"/>
    <w:rsid w:val="25F45EFD"/>
    <w:rsid w:val="25FC1D16"/>
    <w:rsid w:val="26363563"/>
    <w:rsid w:val="26440527"/>
    <w:rsid w:val="266B76F4"/>
    <w:rsid w:val="266E65C6"/>
    <w:rsid w:val="27020825"/>
    <w:rsid w:val="275324C4"/>
    <w:rsid w:val="2753728B"/>
    <w:rsid w:val="275D2FB6"/>
    <w:rsid w:val="277057A2"/>
    <w:rsid w:val="278913FE"/>
    <w:rsid w:val="27CC3C98"/>
    <w:rsid w:val="281E524F"/>
    <w:rsid w:val="28485A15"/>
    <w:rsid w:val="2865547B"/>
    <w:rsid w:val="290D27BA"/>
    <w:rsid w:val="29206EB8"/>
    <w:rsid w:val="29595666"/>
    <w:rsid w:val="296C014A"/>
    <w:rsid w:val="29874881"/>
    <w:rsid w:val="29BD217C"/>
    <w:rsid w:val="29E325E0"/>
    <w:rsid w:val="29E968C4"/>
    <w:rsid w:val="2A26205C"/>
    <w:rsid w:val="2A452503"/>
    <w:rsid w:val="2AA03DAD"/>
    <w:rsid w:val="2B3C7C6E"/>
    <w:rsid w:val="2B404781"/>
    <w:rsid w:val="2B5A3A6C"/>
    <w:rsid w:val="2BA936A8"/>
    <w:rsid w:val="2C315A5A"/>
    <w:rsid w:val="2C4B1C25"/>
    <w:rsid w:val="2C5254EB"/>
    <w:rsid w:val="2C9A6880"/>
    <w:rsid w:val="2D8420EC"/>
    <w:rsid w:val="2D9E56F5"/>
    <w:rsid w:val="2DAA4A7C"/>
    <w:rsid w:val="2E20300F"/>
    <w:rsid w:val="2E667F96"/>
    <w:rsid w:val="2E7B1F74"/>
    <w:rsid w:val="2E8226AB"/>
    <w:rsid w:val="2EE02756"/>
    <w:rsid w:val="2F2D14C0"/>
    <w:rsid w:val="2F2E4BD5"/>
    <w:rsid w:val="2FB00E87"/>
    <w:rsid w:val="2FC11C09"/>
    <w:rsid w:val="2FD065E6"/>
    <w:rsid w:val="2FD96870"/>
    <w:rsid w:val="30580BC9"/>
    <w:rsid w:val="309E5743"/>
    <w:rsid w:val="30B347DA"/>
    <w:rsid w:val="30C827FD"/>
    <w:rsid w:val="30CB018E"/>
    <w:rsid w:val="311E2ED7"/>
    <w:rsid w:val="314243E0"/>
    <w:rsid w:val="315619EE"/>
    <w:rsid w:val="315C449C"/>
    <w:rsid w:val="316D31B2"/>
    <w:rsid w:val="317D4CC1"/>
    <w:rsid w:val="31B82709"/>
    <w:rsid w:val="31D05482"/>
    <w:rsid w:val="32400B34"/>
    <w:rsid w:val="326676A3"/>
    <w:rsid w:val="326C51CA"/>
    <w:rsid w:val="329E6876"/>
    <w:rsid w:val="32B8349D"/>
    <w:rsid w:val="332D7CE1"/>
    <w:rsid w:val="333015F2"/>
    <w:rsid w:val="33460DA3"/>
    <w:rsid w:val="334B6320"/>
    <w:rsid w:val="33D934D4"/>
    <w:rsid w:val="33FE0265"/>
    <w:rsid w:val="33FE1476"/>
    <w:rsid w:val="33FE2F6A"/>
    <w:rsid w:val="340E07E5"/>
    <w:rsid w:val="341B1F88"/>
    <w:rsid w:val="34235BF7"/>
    <w:rsid w:val="343A1CD5"/>
    <w:rsid w:val="34DB140D"/>
    <w:rsid w:val="356F1FA8"/>
    <w:rsid w:val="358C5FA8"/>
    <w:rsid w:val="35C15DF1"/>
    <w:rsid w:val="35E0728C"/>
    <w:rsid w:val="36074A7F"/>
    <w:rsid w:val="360D7531"/>
    <w:rsid w:val="36583308"/>
    <w:rsid w:val="368F41DF"/>
    <w:rsid w:val="36923549"/>
    <w:rsid w:val="36A93B22"/>
    <w:rsid w:val="36B75FBF"/>
    <w:rsid w:val="36BD0C45"/>
    <w:rsid w:val="36BF2BD1"/>
    <w:rsid w:val="372A6593"/>
    <w:rsid w:val="377C2E03"/>
    <w:rsid w:val="37AF6474"/>
    <w:rsid w:val="37B54672"/>
    <w:rsid w:val="37E00298"/>
    <w:rsid w:val="3804639A"/>
    <w:rsid w:val="388760E5"/>
    <w:rsid w:val="389A2AB0"/>
    <w:rsid w:val="38AC08C1"/>
    <w:rsid w:val="38B302F9"/>
    <w:rsid w:val="38DA238F"/>
    <w:rsid w:val="38F12CD3"/>
    <w:rsid w:val="38F94775"/>
    <w:rsid w:val="392971ED"/>
    <w:rsid w:val="392C25FB"/>
    <w:rsid w:val="39325651"/>
    <w:rsid w:val="39461AFC"/>
    <w:rsid w:val="398820E4"/>
    <w:rsid w:val="39B40870"/>
    <w:rsid w:val="39F84CBC"/>
    <w:rsid w:val="3A872856"/>
    <w:rsid w:val="3A9248CD"/>
    <w:rsid w:val="3ADE034F"/>
    <w:rsid w:val="3AE9785F"/>
    <w:rsid w:val="3AEC6AE6"/>
    <w:rsid w:val="3AF800AB"/>
    <w:rsid w:val="3B0E78A2"/>
    <w:rsid w:val="3B3763D1"/>
    <w:rsid w:val="3B40671F"/>
    <w:rsid w:val="3B5D49FC"/>
    <w:rsid w:val="3B9755C1"/>
    <w:rsid w:val="3C024D81"/>
    <w:rsid w:val="3C167A44"/>
    <w:rsid w:val="3C2F6E1E"/>
    <w:rsid w:val="3C4F64BA"/>
    <w:rsid w:val="3CA8353A"/>
    <w:rsid w:val="3CAB076D"/>
    <w:rsid w:val="3CBB635D"/>
    <w:rsid w:val="3CDA245A"/>
    <w:rsid w:val="3CEB072C"/>
    <w:rsid w:val="3D075177"/>
    <w:rsid w:val="3D1E06B7"/>
    <w:rsid w:val="3D2A703F"/>
    <w:rsid w:val="3D93058E"/>
    <w:rsid w:val="3DD65E81"/>
    <w:rsid w:val="3E4C73CE"/>
    <w:rsid w:val="3E7324C3"/>
    <w:rsid w:val="3ECB4852"/>
    <w:rsid w:val="3EDA0523"/>
    <w:rsid w:val="3F144331"/>
    <w:rsid w:val="3F4F0FDF"/>
    <w:rsid w:val="3F5D194E"/>
    <w:rsid w:val="3FC92B3F"/>
    <w:rsid w:val="3FCF12B8"/>
    <w:rsid w:val="3FF12080"/>
    <w:rsid w:val="3FF605DD"/>
    <w:rsid w:val="3FFB388C"/>
    <w:rsid w:val="40351AFA"/>
    <w:rsid w:val="40444BCA"/>
    <w:rsid w:val="407A6407"/>
    <w:rsid w:val="40925627"/>
    <w:rsid w:val="40B06FB3"/>
    <w:rsid w:val="417B1711"/>
    <w:rsid w:val="41D923CA"/>
    <w:rsid w:val="41DD6176"/>
    <w:rsid w:val="4200449D"/>
    <w:rsid w:val="422A38E4"/>
    <w:rsid w:val="423A3BCC"/>
    <w:rsid w:val="424E57D2"/>
    <w:rsid w:val="42B26C49"/>
    <w:rsid w:val="430F31E1"/>
    <w:rsid w:val="433A6FE6"/>
    <w:rsid w:val="43480868"/>
    <w:rsid w:val="4350713C"/>
    <w:rsid w:val="436653E0"/>
    <w:rsid w:val="43712958"/>
    <w:rsid w:val="439C3BCA"/>
    <w:rsid w:val="43C4431A"/>
    <w:rsid w:val="43E12355"/>
    <w:rsid w:val="441C23A5"/>
    <w:rsid w:val="445945C6"/>
    <w:rsid w:val="445F5DBB"/>
    <w:rsid w:val="44B951CC"/>
    <w:rsid w:val="44BA53C1"/>
    <w:rsid w:val="44CD14E0"/>
    <w:rsid w:val="44EA24D3"/>
    <w:rsid w:val="44F20B0B"/>
    <w:rsid w:val="452E5F4C"/>
    <w:rsid w:val="454F2363"/>
    <w:rsid w:val="45612018"/>
    <w:rsid w:val="458946E9"/>
    <w:rsid w:val="45A47C0E"/>
    <w:rsid w:val="46174332"/>
    <w:rsid w:val="463A4797"/>
    <w:rsid w:val="4654527A"/>
    <w:rsid w:val="4657112E"/>
    <w:rsid w:val="46577FD6"/>
    <w:rsid w:val="46D955A7"/>
    <w:rsid w:val="46EA3DF3"/>
    <w:rsid w:val="47133957"/>
    <w:rsid w:val="474D22A8"/>
    <w:rsid w:val="47583F97"/>
    <w:rsid w:val="477420BF"/>
    <w:rsid w:val="477E30A0"/>
    <w:rsid w:val="479016A0"/>
    <w:rsid w:val="47A07E0C"/>
    <w:rsid w:val="47AE390E"/>
    <w:rsid w:val="47D2703E"/>
    <w:rsid w:val="48193B37"/>
    <w:rsid w:val="48313978"/>
    <w:rsid w:val="483F761D"/>
    <w:rsid w:val="4870272E"/>
    <w:rsid w:val="48810296"/>
    <w:rsid w:val="491939B0"/>
    <w:rsid w:val="495319E4"/>
    <w:rsid w:val="496E3EC0"/>
    <w:rsid w:val="49785DC5"/>
    <w:rsid w:val="49DC7715"/>
    <w:rsid w:val="4A023139"/>
    <w:rsid w:val="4A603CCB"/>
    <w:rsid w:val="4A6E0834"/>
    <w:rsid w:val="4A7B576F"/>
    <w:rsid w:val="4AD8457E"/>
    <w:rsid w:val="4AF561A9"/>
    <w:rsid w:val="4B0C6E2E"/>
    <w:rsid w:val="4B210876"/>
    <w:rsid w:val="4B292FF2"/>
    <w:rsid w:val="4B806873"/>
    <w:rsid w:val="4B860A3F"/>
    <w:rsid w:val="4C0C409A"/>
    <w:rsid w:val="4C4A0649"/>
    <w:rsid w:val="4C7C6752"/>
    <w:rsid w:val="4C7E5ECA"/>
    <w:rsid w:val="4C876AA5"/>
    <w:rsid w:val="4D057ED4"/>
    <w:rsid w:val="4D0E00FB"/>
    <w:rsid w:val="4D176606"/>
    <w:rsid w:val="4D1F04D9"/>
    <w:rsid w:val="4D330192"/>
    <w:rsid w:val="4DEC4FB0"/>
    <w:rsid w:val="4DF75BD0"/>
    <w:rsid w:val="4E075D8A"/>
    <w:rsid w:val="4EC00FAD"/>
    <w:rsid w:val="4F1036FB"/>
    <w:rsid w:val="4F2303B5"/>
    <w:rsid w:val="4F471CD3"/>
    <w:rsid w:val="4F7800DE"/>
    <w:rsid w:val="4F9843DC"/>
    <w:rsid w:val="4FC62A8C"/>
    <w:rsid w:val="4FE20F0D"/>
    <w:rsid w:val="4FE51552"/>
    <w:rsid w:val="50504C4B"/>
    <w:rsid w:val="50734E96"/>
    <w:rsid w:val="50803122"/>
    <w:rsid w:val="509C6E7C"/>
    <w:rsid w:val="5162104E"/>
    <w:rsid w:val="51A43CB5"/>
    <w:rsid w:val="51F57A55"/>
    <w:rsid w:val="520F675D"/>
    <w:rsid w:val="527B3D3F"/>
    <w:rsid w:val="52C042D1"/>
    <w:rsid w:val="52C26D3D"/>
    <w:rsid w:val="53670B3A"/>
    <w:rsid w:val="539C3AF4"/>
    <w:rsid w:val="53A039CC"/>
    <w:rsid w:val="53A1505A"/>
    <w:rsid w:val="53DE59A8"/>
    <w:rsid w:val="53E55E8F"/>
    <w:rsid w:val="54031BCB"/>
    <w:rsid w:val="54063E08"/>
    <w:rsid w:val="543437E8"/>
    <w:rsid w:val="5486504B"/>
    <w:rsid w:val="54F73313"/>
    <w:rsid w:val="54F80955"/>
    <w:rsid w:val="555170A7"/>
    <w:rsid w:val="5587536D"/>
    <w:rsid w:val="559B174B"/>
    <w:rsid w:val="55B7742C"/>
    <w:rsid w:val="55CE0CF4"/>
    <w:rsid w:val="55CE77D4"/>
    <w:rsid w:val="55D33BEB"/>
    <w:rsid w:val="560228DB"/>
    <w:rsid w:val="564D4BF4"/>
    <w:rsid w:val="56B22A9C"/>
    <w:rsid w:val="57534858"/>
    <w:rsid w:val="57B72A76"/>
    <w:rsid w:val="57C3426C"/>
    <w:rsid w:val="57CE1F93"/>
    <w:rsid w:val="57D87658"/>
    <w:rsid w:val="57D91A30"/>
    <w:rsid w:val="58041BCB"/>
    <w:rsid w:val="585769FA"/>
    <w:rsid w:val="588743D1"/>
    <w:rsid w:val="5887701A"/>
    <w:rsid w:val="58C20EC3"/>
    <w:rsid w:val="59C0439F"/>
    <w:rsid w:val="5A3A3927"/>
    <w:rsid w:val="5A7C2D67"/>
    <w:rsid w:val="5A7C72AA"/>
    <w:rsid w:val="5ABE2233"/>
    <w:rsid w:val="5ACB1A0A"/>
    <w:rsid w:val="5B0E39F5"/>
    <w:rsid w:val="5B6339F0"/>
    <w:rsid w:val="5B7D3AD4"/>
    <w:rsid w:val="5B8F36CF"/>
    <w:rsid w:val="5BDF5D95"/>
    <w:rsid w:val="5BF079BD"/>
    <w:rsid w:val="5BFE7528"/>
    <w:rsid w:val="5C0A47B4"/>
    <w:rsid w:val="5C2C35E1"/>
    <w:rsid w:val="5D5A0E23"/>
    <w:rsid w:val="5D63364C"/>
    <w:rsid w:val="5D7E6F9B"/>
    <w:rsid w:val="5E147DD1"/>
    <w:rsid w:val="5E2467F1"/>
    <w:rsid w:val="5E67352F"/>
    <w:rsid w:val="5E863D82"/>
    <w:rsid w:val="5EA26C39"/>
    <w:rsid w:val="5EB05D8C"/>
    <w:rsid w:val="5F1A2B43"/>
    <w:rsid w:val="5F244EFA"/>
    <w:rsid w:val="5F3276A6"/>
    <w:rsid w:val="5F630463"/>
    <w:rsid w:val="5F7D6CF6"/>
    <w:rsid w:val="5FB837BB"/>
    <w:rsid w:val="5FD27396"/>
    <w:rsid w:val="5FE8630D"/>
    <w:rsid w:val="604F6C39"/>
    <w:rsid w:val="60CC405A"/>
    <w:rsid w:val="60D735FD"/>
    <w:rsid w:val="60DF60FA"/>
    <w:rsid w:val="61AE3FFC"/>
    <w:rsid w:val="61DD1805"/>
    <w:rsid w:val="61E215D8"/>
    <w:rsid w:val="621B3775"/>
    <w:rsid w:val="62364782"/>
    <w:rsid w:val="623C4497"/>
    <w:rsid w:val="623F2078"/>
    <w:rsid w:val="62B577BF"/>
    <w:rsid w:val="62CB5A5E"/>
    <w:rsid w:val="62D7261F"/>
    <w:rsid w:val="62F86CEC"/>
    <w:rsid w:val="6394356A"/>
    <w:rsid w:val="63C61B2C"/>
    <w:rsid w:val="63D40BE9"/>
    <w:rsid w:val="64102431"/>
    <w:rsid w:val="642923B1"/>
    <w:rsid w:val="64872C61"/>
    <w:rsid w:val="6499279D"/>
    <w:rsid w:val="64A5243A"/>
    <w:rsid w:val="64D16A19"/>
    <w:rsid w:val="64F531DE"/>
    <w:rsid w:val="65322E75"/>
    <w:rsid w:val="65373578"/>
    <w:rsid w:val="65592910"/>
    <w:rsid w:val="656F05C0"/>
    <w:rsid w:val="65D86A53"/>
    <w:rsid w:val="65E0325F"/>
    <w:rsid w:val="671F124A"/>
    <w:rsid w:val="677963AC"/>
    <w:rsid w:val="677A33C6"/>
    <w:rsid w:val="67A133FC"/>
    <w:rsid w:val="67CE48E7"/>
    <w:rsid w:val="681F6961"/>
    <w:rsid w:val="68610A2F"/>
    <w:rsid w:val="686D5EAE"/>
    <w:rsid w:val="68805514"/>
    <w:rsid w:val="69316E2F"/>
    <w:rsid w:val="694E2071"/>
    <w:rsid w:val="695515EC"/>
    <w:rsid w:val="696C07B6"/>
    <w:rsid w:val="69766163"/>
    <w:rsid w:val="697A3B33"/>
    <w:rsid w:val="697F233D"/>
    <w:rsid w:val="698B4A35"/>
    <w:rsid w:val="69D44760"/>
    <w:rsid w:val="69D95206"/>
    <w:rsid w:val="69E95EFF"/>
    <w:rsid w:val="6A520EC7"/>
    <w:rsid w:val="6A5561D8"/>
    <w:rsid w:val="6ACD26FC"/>
    <w:rsid w:val="6AF87E20"/>
    <w:rsid w:val="6B322639"/>
    <w:rsid w:val="6B43739A"/>
    <w:rsid w:val="6C300DB3"/>
    <w:rsid w:val="6C636C38"/>
    <w:rsid w:val="6D7F7620"/>
    <w:rsid w:val="6DB34098"/>
    <w:rsid w:val="6DB545B6"/>
    <w:rsid w:val="6DBE6DD5"/>
    <w:rsid w:val="6DE02FB4"/>
    <w:rsid w:val="6E1D2A95"/>
    <w:rsid w:val="6E287000"/>
    <w:rsid w:val="6E386F5E"/>
    <w:rsid w:val="6E4D58EE"/>
    <w:rsid w:val="6E514CED"/>
    <w:rsid w:val="6E5518BE"/>
    <w:rsid w:val="6E9F07D5"/>
    <w:rsid w:val="6EB563D5"/>
    <w:rsid w:val="6EB65402"/>
    <w:rsid w:val="6ED170D5"/>
    <w:rsid w:val="6ED76777"/>
    <w:rsid w:val="6ED92677"/>
    <w:rsid w:val="6F225983"/>
    <w:rsid w:val="6F677420"/>
    <w:rsid w:val="6FFC5590"/>
    <w:rsid w:val="700E49DC"/>
    <w:rsid w:val="706D1DD0"/>
    <w:rsid w:val="70711BDA"/>
    <w:rsid w:val="70777D48"/>
    <w:rsid w:val="70856B87"/>
    <w:rsid w:val="70996E6D"/>
    <w:rsid w:val="70D527EE"/>
    <w:rsid w:val="70E6039F"/>
    <w:rsid w:val="70EC2A0D"/>
    <w:rsid w:val="715B5300"/>
    <w:rsid w:val="7183488E"/>
    <w:rsid w:val="71995F66"/>
    <w:rsid w:val="719C0F72"/>
    <w:rsid w:val="71BC7EA6"/>
    <w:rsid w:val="71CD285F"/>
    <w:rsid w:val="71D27F8A"/>
    <w:rsid w:val="72120B31"/>
    <w:rsid w:val="72491695"/>
    <w:rsid w:val="724D475E"/>
    <w:rsid w:val="72553024"/>
    <w:rsid w:val="73122968"/>
    <w:rsid w:val="731F5D5E"/>
    <w:rsid w:val="738E4690"/>
    <w:rsid w:val="73C51AD5"/>
    <w:rsid w:val="73C61E8D"/>
    <w:rsid w:val="73F531FC"/>
    <w:rsid w:val="741E793C"/>
    <w:rsid w:val="742617BE"/>
    <w:rsid w:val="745E3944"/>
    <w:rsid w:val="75444A6B"/>
    <w:rsid w:val="756B594D"/>
    <w:rsid w:val="75AF3E5C"/>
    <w:rsid w:val="75BD0A98"/>
    <w:rsid w:val="75CC1869"/>
    <w:rsid w:val="75D16B02"/>
    <w:rsid w:val="75D3015A"/>
    <w:rsid w:val="7635099D"/>
    <w:rsid w:val="76D003CE"/>
    <w:rsid w:val="76D0280E"/>
    <w:rsid w:val="77494234"/>
    <w:rsid w:val="77594E36"/>
    <w:rsid w:val="77762421"/>
    <w:rsid w:val="77B56B1F"/>
    <w:rsid w:val="78013D3F"/>
    <w:rsid w:val="780F09F4"/>
    <w:rsid w:val="78586E83"/>
    <w:rsid w:val="78730D99"/>
    <w:rsid w:val="78A90480"/>
    <w:rsid w:val="790E7239"/>
    <w:rsid w:val="791463DE"/>
    <w:rsid w:val="791704B5"/>
    <w:rsid w:val="792C0F13"/>
    <w:rsid w:val="7931117A"/>
    <w:rsid w:val="7A364017"/>
    <w:rsid w:val="7A6E0FD0"/>
    <w:rsid w:val="7A8265E1"/>
    <w:rsid w:val="7A900BF1"/>
    <w:rsid w:val="7AEA15E0"/>
    <w:rsid w:val="7B686D42"/>
    <w:rsid w:val="7B6A571A"/>
    <w:rsid w:val="7B841746"/>
    <w:rsid w:val="7B8C08E9"/>
    <w:rsid w:val="7BF24BF0"/>
    <w:rsid w:val="7C217593"/>
    <w:rsid w:val="7C47666B"/>
    <w:rsid w:val="7C6C5AC7"/>
    <w:rsid w:val="7C8A26A2"/>
    <w:rsid w:val="7CC6544B"/>
    <w:rsid w:val="7CFC50FE"/>
    <w:rsid w:val="7D0239FF"/>
    <w:rsid w:val="7D1A60DC"/>
    <w:rsid w:val="7D5D42EC"/>
    <w:rsid w:val="7D5E40CD"/>
    <w:rsid w:val="7D8E6B9B"/>
    <w:rsid w:val="7DCD56F2"/>
    <w:rsid w:val="7E237C07"/>
    <w:rsid w:val="7EDF47DA"/>
    <w:rsid w:val="7F001CE7"/>
    <w:rsid w:val="7F4B2F3F"/>
    <w:rsid w:val="7FCB7370"/>
    <w:rsid w:val="7FCC7507"/>
    <w:rsid w:val="7FE47E50"/>
    <w:rsid w:val="F2E6172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paragraph" w:styleId="5">
    <w:name w:val="heading 4"/>
    <w:basedOn w:val="1"/>
    <w:next w:val="1"/>
    <w:qFormat/>
    <w:locked/>
    <w:uiPriority w:val="1"/>
    <w:pPr>
      <w:ind w:left="977"/>
      <w:outlineLvl w:val="3"/>
    </w:pPr>
    <w:rPr>
      <w:rFonts w:ascii="宋体" w:hAnsi="宋体" w:eastAsia="宋体" w:cs="宋体"/>
      <w:b/>
      <w:bCs/>
      <w:sz w:val="24"/>
      <w:szCs w:val="24"/>
      <w:lang w:val="zh-CN" w:eastAsia="zh-CN" w:bidi="zh-CN"/>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w:basedOn w:val="1"/>
    <w:next w:val="1"/>
    <w:link w:val="31"/>
    <w:qFormat/>
    <w:uiPriority w:val="0"/>
    <w:pPr>
      <w:widowControl/>
      <w:snapToGrid w:val="0"/>
      <w:spacing w:before="60" w:after="160" w:line="259" w:lineRule="auto"/>
      <w:ind w:right="113"/>
    </w:pPr>
    <w:rPr>
      <w:kern w:val="0"/>
      <w:sz w:val="18"/>
      <w:szCs w:val="20"/>
    </w:rPr>
  </w:style>
  <w:style w:type="paragraph" w:styleId="6">
    <w:name w:val="Normal Indent"/>
    <w:basedOn w:val="1"/>
    <w:qFormat/>
    <w:locked/>
    <w:uiPriority w:val="0"/>
    <w:rPr>
      <w:rFonts w:ascii="仿宋_GB2312" w:eastAsia="仿宋_GB2312"/>
      <w:snapToGrid w:val="0"/>
      <w:kern w:val="0"/>
      <w:sz w:val="28"/>
    </w:rPr>
  </w:style>
  <w:style w:type="paragraph" w:styleId="7">
    <w:name w:val="caption"/>
    <w:basedOn w:val="1"/>
    <w:next w:val="1"/>
    <w:qFormat/>
    <w:locked/>
    <w:uiPriority w:val="0"/>
    <w:rPr>
      <w:rFonts w:ascii="Arial" w:hAnsi="Arial" w:eastAsia="黑体"/>
      <w:sz w:val="20"/>
    </w:rPr>
  </w:style>
  <w:style w:type="paragraph" w:styleId="8">
    <w:name w:val="toa heading"/>
    <w:basedOn w:val="1"/>
    <w:next w:val="1"/>
    <w:qFormat/>
    <w:locked/>
    <w:uiPriority w:val="0"/>
    <w:pPr>
      <w:spacing w:before="120"/>
    </w:pPr>
    <w:rPr>
      <w:rFonts w:ascii="Arial" w:hAnsi="Arial" w:cs="Arial"/>
      <w:szCs w:val="24"/>
    </w:rPr>
  </w:style>
  <w:style w:type="paragraph" w:styleId="9">
    <w:name w:val="annotation text"/>
    <w:basedOn w:val="1"/>
    <w:link w:val="30"/>
    <w:semiHidden/>
    <w:qFormat/>
    <w:uiPriority w:val="0"/>
    <w:pPr>
      <w:jc w:val="left"/>
    </w:pPr>
    <w:rPr>
      <w:kern w:val="0"/>
      <w:sz w:val="24"/>
      <w:szCs w:val="20"/>
    </w:rPr>
  </w:style>
  <w:style w:type="paragraph" w:styleId="10">
    <w:name w:val="index 6"/>
    <w:basedOn w:val="1"/>
    <w:next w:val="1"/>
    <w:qFormat/>
    <w:locked/>
    <w:uiPriority w:val="0"/>
    <w:pPr>
      <w:ind w:left="2100"/>
    </w:pPr>
    <w:rPr>
      <w:rFonts w:ascii="黑体" w:eastAsia="黑体"/>
      <w:szCs w:val="24"/>
    </w:rPr>
  </w:style>
  <w:style w:type="paragraph" w:styleId="11">
    <w:name w:val="Body Text Indent"/>
    <w:basedOn w:val="1"/>
    <w:link w:val="32"/>
    <w:qFormat/>
    <w:uiPriority w:val="0"/>
    <w:pPr>
      <w:spacing w:after="120"/>
      <w:ind w:left="420" w:leftChars="200"/>
    </w:pPr>
    <w:rPr>
      <w:kern w:val="0"/>
      <w:sz w:val="24"/>
      <w:szCs w:val="20"/>
    </w:rPr>
  </w:style>
  <w:style w:type="paragraph" w:styleId="12">
    <w:name w:val="Plain Text"/>
    <w:basedOn w:val="1"/>
    <w:qFormat/>
    <w:locked/>
    <w:uiPriority w:val="0"/>
    <w:rPr>
      <w:rFonts w:ascii="宋体" w:hAnsi="Courier New"/>
    </w:rPr>
  </w:style>
  <w:style w:type="paragraph" w:styleId="13">
    <w:name w:val="Date"/>
    <w:basedOn w:val="1"/>
    <w:next w:val="1"/>
    <w:link w:val="33"/>
    <w:qFormat/>
    <w:uiPriority w:val="0"/>
    <w:pPr>
      <w:ind w:left="100" w:leftChars="2500"/>
    </w:pPr>
    <w:rPr>
      <w:kern w:val="0"/>
      <w:sz w:val="24"/>
      <w:szCs w:val="20"/>
    </w:rPr>
  </w:style>
  <w:style w:type="paragraph" w:styleId="14">
    <w:name w:val="Body Text Indent 2"/>
    <w:basedOn w:val="1"/>
    <w:qFormat/>
    <w:locked/>
    <w:uiPriority w:val="0"/>
    <w:pPr>
      <w:spacing w:line="420" w:lineRule="auto"/>
    </w:pPr>
  </w:style>
  <w:style w:type="paragraph" w:styleId="15">
    <w:name w:val="Balloon Text"/>
    <w:basedOn w:val="1"/>
    <w:link w:val="34"/>
    <w:qFormat/>
    <w:uiPriority w:val="0"/>
    <w:rPr>
      <w:kern w:val="0"/>
      <w:sz w:val="18"/>
      <w:szCs w:val="20"/>
    </w:rPr>
  </w:style>
  <w:style w:type="paragraph" w:styleId="16">
    <w:name w:val="footer"/>
    <w:basedOn w:val="1"/>
    <w:link w:val="35"/>
    <w:qFormat/>
    <w:uiPriority w:val="99"/>
    <w:pPr>
      <w:tabs>
        <w:tab w:val="center" w:pos="4153"/>
        <w:tab w:val="right" w:pos="8306"/>
      </w:tabs>
      <w:snapToGrid w:val="0"/>
      <w:jc w:val="left"/>
    </w:pPr>
    <w:rPr>
      <w:kern w:val="0"/>
      <w:sz w:val="18"/>
      <w:szCs w:val="20"/>
    </w:rPr>
  </w:style>
  <w:style w:type="paragraph" w:styleId="17">
    <w:name w:val="header"/>
    <w:basedOn w:val="1"/>
    <w:link w:val="36"/>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index heading"/>
    <w:basedOn w:val="1"/>
    <w:next w:val="19"/>
    <w:semiHidden/>
    <w:qFormat/>
    <w:locked/>
    <w:uiPriority w:val="0"/>
    <w:rPr>
      <w:rFonts w:ascii="Arial" w:hAnsi="Arial" w:cs="Arial"/>
      <w:b/>
      <w:bCs/>
    </w:rPr>
  </w:style>
  <w:style w:type="paragraph" w:styleId="19">
    <w:name w:val="index 1"/>
    <w:basedOn w:val="1"/>
    <w:next w:val="1"/>
    <w:qFormat/>
    <w:locked/>
    <w:uiPriority w:val="0"/>
    <w:pPr>
      <w:tabs>
        <w:tab w:val="left" w:pos="5580"/>
      </w:tabs>
      <w:spacing w:line="280" w:lineRule="exact"/>
    </w:pPr>
    <w:rPr>
      <w:rFonts w:ascii="宋体" w:hAnsi="宋体"/>
      <w:spacing w:val="10"/>
    </w:rPr>
  </w:style>
  <w:style w:type="paragraph" w:styleId="20">
    <w:name w:val="table of figures"/>
    <w:basedOn w:val="1"/>
    <w:next w:val="1"/>
    <w:semiHidden/>
    <w:qFormat/>
    <w:locked/>
    <w:uiPriority w:val="0"/>
    <w:pPr>
      <w:ind w:left="200" w:leftChars="200" w:hanging="200" w:hangingChars="200"/>
    </w:pPr>
    <w:rPr>
      <w:rFonts w:ascii="仿宋_GB2312" w:hAnsi="仿宋_GB2312" w:cs="仿宋_GB2312"/>
    </w:rPr>
  </w:style>
  <w:style w:type="paragraph" w:styleId="21">
    <w:name w:val="Normal (Web)"/>
    <w:basedOn w:val="1"/>
    <w:link w:val="37"/>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38"/>
    <w:semiHidden/>
    <w:qFormat/>
    <w:uiPriority w:val="0"/>
    <w:rPr>
      <w:b/>
      <w:sz w:val="24"/>
      <w:szCs w:val="20"/>
    </w:rPr>
  </w:style>
  <w:style w:type="paragraph" w:styleId="23">
    <w:name w:val="Body Text First Indent 2"/>
    <w:basedOn w:val="11"/>
    <w:next w:val="1"/>
    <w:qFormat/>
    <w:locked/>
    <w:uiPriority w:val="0"/>
    <w:pPr>
      <w:ind w:firstLine="420"/>
    </w:p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locked/>
    <w:uiPriority w:val="0"/>
  </w:style>
  <w:style w:type="character" w:styleId="28">
    <w:name w:val="Hyperlink"/>
    <w:qFormat/>
    <w:locked/>
    <w:uiPriority w:val="0"/>
    <w:rPr>
      <w:color w:val="0000FF"/>
      <w:u w:val="single"/>
    </w:rPr>
  </w:style>
  <w:style w:type="character" w:styleId="29">
    <w:name w:val="annotation reference"/>
    <w:semiHidden/>
    <w:qFormat/>
    <w:uiPriority w:val="0"/>
    <w:rPr>
      <w:sz w:val="21"/>
    </w:rPr>
  </w:style>
  <w:style w:type="character" w:customStyle="1" w:styleId="30">
    <w:name w:val="批注文字 Char"/>
    <w:link w:val="9"/>
    <w:qFormat/>
    <w:locked/>
    <w:uiPriority w:val="0"/>
    <w:rPr>
      <w:rFonts w:ascii="Times New Roman" w:hAnsi="Times New Roman" w:eastAsia="宋体"/>
      <w:sz w:val="24"/>
    </w:rPr>
  </w:style>
  <w:style w:type="character" w:customStyle="1" w:styleId="31">
    <w:name w:val="正文文本 Char"/>
    <w:link w:val="2"/>
    <w:qFormat/>
    <w:locked/>
    <w:uiPriority w:val="0"/>
    <w:rPr>
      <w:sz w:val="18"/>
    </w:rPr>
  </w:style>
  <w:style w:type="character" w:customStyle="1" w:styleId="32">
    <w:name w:val="正文文本缩进 Char"/>
    <w:link w:val="11"/>
    <w:semiHidden/>
    <w:qFormat/>
    <w:locked/>
    <w:uiPriority w:val="0"/>
    <w:rPr>
      <w:rFonts w:ascii="Times New Roman" w:hAnsi="Times New Roman" w:eastAsia="宋体"/>
      <w:sz w:val="24"/>
    </w:rPr>
  </w:style>
  <w:style w:type="character" w:customStyle="1" w:styleId="33">
    <w:name w:val="日期 Char"/>
    <w:link w:val="13"/>
    <w:qFormat/>
    <w:locked/>
    <w:uiPriority w:val="0"/>
    <w:rPr>
      <w:rFonts w:ascii="Times New Roman" w:hAnsi="Times New Roman" w:eastAsia="宋体"/>
      <w:sz w:val="24"/>
    </w:rPr>
  </w:style>
  <w:style w:type="character" w:customStyle="1" w:styleId="34">
    <w:name w:val="批注框文本 Char"/>
    <w:link w:val="15"/>
    <w:semiHidden/>
    <w:qFormat/>
    <w:locked/>
    <w:uiPriority w:val="0"/>
    <w:rPr>
      <w:rFonts w:ascii="Times New Roman" w:hAnsi="Times New Roman" w:eastAsia="宋体"/>
      <w:sz w:val="18"/>
    </w:rPr>
  </w:style>
  <w:style w:type="character" w:customStyle="1" w:styleId="35">
    <w:name w:val="页脚 Char"/>
    <w:link w:val="16"/>
    <w:qFormat/>
    <w:locked/>
    <w:uiPriority w:val="99"/>
    <w:rPr>
      <w:sz w:val="18"/>
    </w:rPr>
  </w:style>
  <w:style w:type="character" w:customStyle="1" w:styleId="36">
    <w:name w:val="页眉 Char"/>
    <w:link w:val="17"/>
    <w:qFormat/>
    <w:locked/>
    <w:uiPriority w:val="0"/>
    <w:rPr>
      <w:sz w:val="18"/>
    </w:rPr>
  </w:style>
  <w:style w:type="character" w:customStyle="1" w:styleId="37">
    <w:name w:val="普通(网站) Char"/>
    <w:link w:val="21"/>
    <w:qFormat/>
    <w:locked/>
    <w:uiPriority w:val="0"/>
    <w:rPr>
      <w:rFonts w:ascii="宋体" w:hAnsi="宋体" w:eastAsia="宋体"/>
      <w:sz w:val="24"/>
    </w:rPr>
  </w:style>
  <w:style w:type="character" w:customStyle="1" w:styleId="38">
    <w:name w:val="批注主题 Char"/>
    <w:link w:val="22"/>
    <w:semiHidden/>
    <w:qFormat/>
    <w:locked/>
    <w:uiPriority w:val="0"/>
    <w:rPr>
      <w:rFonts w:ascii="Times New Roman" w:hAnsi="Times New Roman" w:eastAsia="宋体"/>
      <w:b/>
      <w:kern w:val="2"/>
      <w:sz w:val="24"/>
    </w:rPr>
  </w:style>
  <w:style w:type="paragraph" w:customStyle="1" w:styleId="39">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0">
    <w:name w:val="Default"/>
    <w:next w:val="41"/>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41">
    <w:name w:val="样式1"/>
    <w:basedOn w:val="18"/>
    <w:next w:val="1"/>
    <w:qFormat/>
    <w:uiPriority w:val="0"/>
    <w:pPr>
      <w:snapToGrid w:val="0"/>
      <w:jc w:val="center"/>
    </w:pPr>
    <w:rPr>
      <w:rFonts w:hint="eastAsia" w:ascii="宋体"/>
      <w:sz w:val="24"/>
    </w:rPr>
  </w:style>
  <w:style w:type="character" w:customStyle="1" w:styleId="42">
    <w:name w:val="bbbstyle"/>
    <w:qFormat/>
    <w:uiPriority w:val="0"/>
    <w:rPr>
      <w:rFonts w:eastAsia="宋体"/>
      <w:sz w:val="21"/>
    </w:rPr>
  </w:style>
  <w:style w:type="character" w:customStyle="1" w:styleId="43">
    <w:name w:val="font51"/>
    <w:qFormat/>
    <w:uiPriority w:val="0"/>
    <w:rPr>
      <w:rFonts w:hint="default" w:ascii="Times New Roman" w:hAnsi="Times New Roman" w:cs="Times New Roman"/>
      <w:color w:val="000000"/>
      <w:sz w:val="21"/>
      <w:szCs w:val="21"/>
      <w:u w:val="none"/>
    </w:rPr>
  </w:style>
  <w:style w:type="character" w:customStyle="1" w:styleId="44">
    <w:name w:val="表格 Char"/>
    <w:link w:val="45"/>
    <w:qFormat/>
    <w:locked/>
    <w:uiPriority w:val="0"/>
    <w:rPr>
      <w:rFonts w:ascii="宋体" w:hAnsi="宋体" w:eastAsia="宋体"/>
      <w:sz w:val="21"/>
    </w:rPr>
  </w:style>
  <w:style w:type="paragraph" w:customStyle="1" w:styleId="45">
    <w:name w:val="环评表格"/>
    <w:basedOn w:val="1"/>
    <w:next w:val="1"/>
    <w:link w:val="44"/>
    <w:qFormat/>
    <w:uiPriority w:val="0"/>
    <w:pPr>
      <w:adjustRightInd w:val="0"/>
      <w:snapToGrid w:val="0"/>
      <w:spacing w:line="360" w:lineRule="auto"/>
      <w:jc w:val="center"/>
    </w:pPr>
    <w:rPr>
      <w:rFonts w:ascii="宋体" w:hAnsi="宋体" w:eastAsia="宋体"/>
      <w:kern w:val="0"/>
      <w:szCs w:val="20"/>
    </w:rPr>
  </w:style>
  <w:style w:type="character" w:customStyle="1" w:styleId="46">
    <w:name w:val="font01"/>
    <w:qFormat/>
    <w:uiPriority w:val="0"/>
    <w:rPr>
      <w:rFonts w:hint="default" w:ascii="Times New Roman" w:hAnsi="Times New Roman" w:cs="Times New Roman"/>
      <w:color w:val="000000"/>
      <w:sz w:val="15"/>
      <w:szCs w:val="15"/>
      <w:u w:val="none"/>
    </w:rPr>
  </w:style>
  <w:style w:type="character" w:customStyle="1" w:styleId="47">
    <w:name w:val="font61"/>
    <w:qFormat/>
    <w:uiPriority w:val="0"/>
    <w:rPr>
      <w:rFonts w:hint="default" w:ascii="Times New Roman" w:hAnsi="Times New Roman" w:cs="Times New Roman"/>
      <w:color w:val="000000"/>
      <w:sz w:val="13"/>
      <w:szCs w:val="13"/>
      <w:u w:val="none"/>
    </w:rPr>
  </w:style>
  <w:style w:type="character" w:customStyle="1" w:styleId="48">
    <w:name w:val="font31"/>
    <w:qFormat/>
    <w:uiPriority w:val="0"/>
    <w:rPr>
      <w:rFonts w:hint="default" w:ascii="Times New Roman" w:hAnsi="Times New Roman" w:cs="Times New Roman"/>
      <w:b/>
      <w:bCs/>
      <w:color w:val="000000"/>
      <w:sz w:val="24"/>
      <w:szCs w:val="24"/>
      <w:u w:val="none"/>
    </w:rPr>
  </w:style>
  <w:style w:type="character" w:customStyle="1" w:styleId="49">
    <w:name w:val="font112"/>
    <w:qFormat/>
    <w:uiPriority w:val="0"/>
    <w:rPr>
      <w:rFonts w:hint="default" w:ascii="Times New Roman" w:hAnsi="Times New Roman" w:cs="Times New Roman"/>
      <w:b/>
      <w:bCs/>
      <w:color w:val="000000"/>
      <w:sz w:val="18"/>
      <w:szCs w:val="18"/>
      <w:u w:val="none"/>
      <w:vertAlign w:val="superscript"/>
    </w:rPr>
  </w:style>
  <w:style w:type="character" w:customStyle="1" w:styleId="50">
    <w:name w:val="font101"/>
    <w:qFormat/>
    <w:uiPriority w:val="0"/>
    <w:rPr>
      <w:rFonts w:hint="default" w:ascii="Times New Roman" w:hAnsi="Times New Roman" w:cs="Times New Roman"/>
      <w:b/>
      <w:bCs/>
      <w:color w:val="000000"/>
      <w:sz w:val="24"/>
      <w:szCs w:val="24"/>
      <w:u w:val="none"/>
      <w:vertAlign w:val="superscript"/>
    </w:rPr>
  </w:style>
  <w:style w:type="character" w:customStyle="1" w:styleId="51">
    <w:name w:val="font41"/>
    <w:qFormat/>
    <w:uiPriority w:val="0"/>
    <w:rPr>
      <w:rFonts w:hint="default" w:ascii="Times New Roman" w:hAnsi="Times New Roman" w:cs="Times New Roman"/>
      <w:color w:val="000000"/>
      <w:sz w:val="21"/>
      <w:szCs w:val="21"/>
      <w:u w:val="none"/>
    </w:rPr>
  </w:style>
  <w:style w:type="character" w:customStyle="1" w:styleId="52">
    <w:name w:val="页脚 字符"/>
    <w:qFormat/>
    <w:uiPriority w:val="99"/>
  </w:style>
  <w:style w:type="character" w:customStyle="1" w:styleId="53">
    <w:name w:val="fontstyle01"/>
    <w:qFormat/>
    <w:uiPriority w:val="0"/>
    <w:rPr>
      <w:rFonts w:ascii="宋体" w:hAnsi="宋体" w:eastAsia="宋体" w:cs="宋体"/>
      <w:color w:val="000000"/>
      <w:sz w:val="24"/>
      <w:szCs w:val="24"/>
    </w:rPr>
  </w:style>
  <w:style w:type="character" w:customStyle="1" w:styleId="54">
    <w:name w:val="font11"/>
    <w:qFormat/>
    <w:uiPriority w:val="0"/>
    <w:rPr>
      <w:rFonts w:hint="eastAsia" w:ascii="宋体" w:hAnsi="宋体" w:eastAsia="宋体" w:cs="宋体"/>
      <w:b/>
      <w:bCs/>
      <w:color w:val="000000"/>
      <w:sz w:val="24"/>
      <w:szCs w:val="24"/>
      <w:u w:val="none"/>
    </w:rPr>
  </w:style>
  <w:style w:type="character" w:customStyle="1" w:styleId="55">
    <w:name w:val="font21"/>
    <w:qFormat/>
    <w:uiPriority w:val="0"/>
    <w:rPr>
      <w:rFonts w:hint="eastAsia" w:ascii="宋体" w:hAnsi="宋体" w:eastAsia="宋体" w:cs="宋体"/>
      <w:b/>
      <w:bCs/>
      <w:color w:val="000000"/>
      <w:sz w:val="24"/>
      <w:szCs w:val="24"/>
      <w:u w:val="none"/>
    </w:rPr>
  </w:style>
  <w:style w:type="character" w:customStyle="1" w:styleId="56">
    <w:name w:val="NormalCharacter"/>
    <w:semiHidden/>
    <w:qFormat/>
    <w:uiPriority w:val="0"/>
    <w:rPr>
      <w:kern w:val="2"/>
      <w:sz w:val="21"/>
      <w:szCs w:val="24"/>
      <w:lang w:val="en-US" w:eastAsia="zh-CN" w:bidi="ar-SA"/>
    </w:rPr>
  </w:style>
  <w:style w:type="paragraph" w:customStyle="1" w:styleId="57">
    <w:name w:val="环评标题2"/>
    <w:basedOn w:val="4"/>
    <w:next w:val="1"/>
    <w:qFormat/>
    <w:uiPriority w:val="0"/>
    <w:pPr>
      <w:spacing w:beforeLines="50" w:after="0" w:line="500" w:lineRule="exact"/>
      <w:ind w:firstLine="0" w:firstLineChars="0"/>
    </w:pPr>
    <w:rPr>
      <w:rFonts w:ascii="Times New Roman" w:hAnsi="Times New Roman"/>
      <w:sz w:val="28"/>
    </w:rPr>
  </w:style>
  <w:style w:type="paragraph" w:customStyle="1" w:styleId="58">
    <w:name w:val="WPSOffice手动目录 2"/>
    <w:qFormat/>
    <w:uiPriority w:val="0"/>
    <w:pPr>
      <w:ind w:left="200" w:leftChars="200"/>
    </w:pPr>
    <w:rPr>
      <w:rFonts w:ascii="Calibri" w:hAnsi="Calibri" w:eastAsia="宋体" w:cs="Times New Roman"/>
      <w:lang w:val="en-US" w:eastAsia="zh-CN" w:bidi="ar-SA"/>
    </w:rPr>
  </w:style>
  <w:style w:type="paragraph" w:customStyle="1" w:styleId="59">
    <w:name w:val="标题4"/>
    <w:basedOn w:val="1"/>
    <w:qFormat/>
    <w:uiPriority w:val="0"/>
    <w:pPr>
      <w:ind w:firstLine="482"/>
    </w:pPr>
    <w:rPr>
      <w:b/>
      <w:bCs/>
      <w:szCs w:val="24"/>
    </w:rPr>
  </w:style>
  <w:style w:type="paragraph" w:customStyle="1" w:styleId="60">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61">
    <w:name w:val="表格"/>
    <w:basedOn w:val="1"/>
    <w:qFormat/>
    <w:uiPriority w:val="0"/>
    <w:pPr>
      <w:jc w:val="center"/>
    </w:pPr>
    <w:rPr>
      <w:rFonts w:ascii="Times New Roman"/>
      <w:sz w:val="24"/>
      <w:szCs w:val="24"/>
    </w:rPr>
  </w:style>
  <w:style w:type="paragraph" w:customStyle="1" w:styleId="62">
    <w:name w:val="表格-内容"/>
    <w:basedOn w:val="1"/>
    <w:qFormat/>
    <w:uiPriority w:val="0"/>
    <w:pPr>
      <w:spacing w:line="300" w:lineRule="exact"/>
      <w:ind w:firstLine="0" w:firstLineChars="0"/>
      <w:jc w:val="center"/>
    </w:pPr>
    <w:rPr>
      <w:sz w:val="21"/>
      <w:szCs w:val="21"/>
    </w:rPr>
  </w:style>
  <w:style w:type="paragraph" w:customStyle="1" w:styleId="63">
    <w:name w:val="Heading1"/>
    <w:basedOn w:val="1"/>
    <w:next w:val="1"/>
    <w:qFormat/>
    <w:uiPriority w:val="0"/>
    <w:pPr>
      <w:keepNext/>
      <w:keepLines/>
      <w:spacing w:before="50" w:after="20" w:line="576" w:lineRule="auto"/>
      <w:ind w:firstLineChars="0"/>
      <w:jc w:val="center"/>
      <w:textAlignment w:val="baseline"/>
    </w:pPr>
    <w:rPr>
      <w:rFonts w:ascii="Calibri" w:hAnsi="Calibri" w:eastAsia="宋体"/>
      <w:b/>
      <w:kern w:val="44"/>
      <w:sz w:val="32"/>
      <w:szCs w:val="24"/>
      <w:lang w:val="en-US" w:eastAsia="zh-CN" w:bidi="ar-SA"/>
    </w:rPr>
  </w:style>
  <w:style w:type="paragraph" w:customStyle="1" w:styleId="64">
    <w:name w:val="样式 样式 四号 左侧:  1.53 厘米 + 首行缩进:  2 字符"/>
    <w:basedOn w:val="65"/>
    <w:qFormat/>
    <w:uiPriority w:val="0"/>
    <w:pPr>
      <w:ind w:left="200" w:leftChars="200"/>
    </w:pPr>
    <w:rPr>
      <w:szCs w:val="20"/>
    </w:rPr>
  </w:style>
  <w:style w:type="paragraph" w:customStyle="1" w:styleId="65">
    <w:name w:val="样式 四号 左侧:  1.53 厘米"/>
    <w:basedOn w:val="1"/>
    <w:qFormat/>
    <w:uiPriority w:val="0"/>
    <w:pPr>
      <w:adjustRightInd w:val="0"/>
    </w:pPr>
    <w:rPr>
      <w:w w:val="90"/>
      <w:sz w:val="28"/>
      <w:szCs w:val="28"/>
    </w:rPr>
  </w:style>
  <w:style w:type="paragraph" w:customStyle="1" w:styleId="66">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67">
    <w:name w:val="报告表正文"/>
    <w:basedOn w:val="1"/>
    <w:qFormat/>
    <w:uiPriority w:val="0"/>
    <w:pPr>
      <w:adjustRightInd w:val="0"/>
      <w:spacing w:line="420" w:lineRule="auto"/>
      <w:ind w:left="113" w:right="113" w:firstLine="482"/>
      <w:jc w:val="left"/>
      <w:textAlignment w:val="baseline"/>
    </w:pPr>
    <w:rPr>
      <w:rFonts w:ascii="Times New Roman" w:hAnsi="Times New Roman" w:eastAsia="宋体"/>
      <w:kern w:val="0"/>
      <w:sz w:val="24"/>
    </w:rPr>
  </w:style>
  <w:style w:type="paragraph" w:customStyle="1" w:styleId="68">
    <w:name w:val="样式 样式 样式 四号 左侧:  1.53 厘米 + 首行缩进:  2 字符 + 居中 左侧:  2 字符 首行缩进:  2..."/>
    <w:basedOn w:val="64"/>
    <w:qFormat/>
    <w:uiPriority w:val="0"/>
    <w:pPr>
      <w:ind w:firstLine="0" w:firstLineChars="0"/>
      <w:jc w:val="center"/>
    </w:pPr>
  </w:style>
  <w:style w:type="paragraph" w:customStyle="1" w:styleId="69">
    <w:name w:val="正文-欣欣"/>
    <w:basedOn w:val="1"/>
    <w:qFormat/>
    <w:uiPriority w:val="0"/>
    <w:pPr>
      <w:ind w:firstLine="200"/>
    </w:pPr>
    <w:rPr>
      <w:szCs w:val="30"/>
    </w:rPr>
  </w:style>
  <w:style w:type="paragraph" w:customStyle="1" w:styleId="70">
    <w:name w:val="空一行"/>
    <w:basedOn w:val="1"/>
    <w:next w:val="69"/>
    <w:qFormat/>
    <w:uiPriority w:val="0"/>
    <w:pPr>
      <w:adjustRightInd w:val="0"/>
      <w:ind w:left="482"/>
      <w:jc w:val="left"/>
    </w:pPr>
  </w:style>
  <w:style w:type="paragraph" w:customStyle="1" w:styleId="71">
    <w:name w:val="Body text|1"/>
    <w:basedOn w:val="1"/>
    <w:qFormat/>
    <w:uiPriority w:val="0"/>
    <w:pPr>
      <w:spacing w:line="430" w:lineRule="auto"/>
      <w:ind w:firstLine="400"/>
    </w:pPr>
    <w:rPr>
      <w:rFonts w:ascii="宋体" w:hAnsi="宋体" w:cs="宋体"/>
      <w:color w:val="231F20"/>
      <w:lang w:val="zh-TW" w:eastAsia="zh-TW" w:bidi="zh-TW"/>
    </w:rPr>
  </w:style>
  <w:style w:type="paragraph" w:customStyle="1" w:styleId="72">
    <w:name w:val="表格标题"/>
    <w:basedOn w:val="1"/>
    <w:qFormat/>
    <w:uiPriority w:val="0"/>
    <w:pPr>
      <w:spacing w:line="240" w:lineRule="auto"/>
      <w:ind w:firstLine="0" w:firstLineChars="0"/>
      <w:jc w:val="center"/>
    </w:pPr>
    <w:rPr>
      <w:rFonts w:ascii="宋体" w:hAnsi="宋体" w:eastAsia="黑体" w:cs="宋体"/>
      <w:color w:val="000000"/>
    </w:rPr>
  </w:style>
  <w:style w:type="paragraph" w:customStyle="1" w:styleId="7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4">
    <w:name w:val="Table Grid_0"/>
    <w:basedOn w:val="24"/>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oleObject" Target="embeddings/oleObject2.bin"/><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hbj2/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"/>
    </extobj>
    <extobj name="ECB019B1-382A-4266-B25C-5B523AA43C14-2">
      <extobjdata type="ECB019B1-382A-4266-B25C-5B523AA43C14" data="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"/>
    </extobj>
    <extobj name="ECB019B1-382A-4266-B25C-5B523AA43C14-3">
      <extobjdata type="ECB019B1-382A-4266-B25C-5B523AA43C14" data="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88</Pages>
  <Words>42889</Words>
  <Characters>48897</Characters>
  <Lines>340</Lines>
  <Paragraphs>95</Paragraphs>
  <TotalTime>1</TotalTime>
  <ScaleCrop>false</ScaleCrop>
  <LinksUpToDate>false</LinksUpToDate>
  <CharactersWithSpaces>49290</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hbj2</cp:lastModifiedBy>
  <cp:lastPrinted>2021-03-26T10:36:00Z</cp:lastPrinted>
  <dcterms:modified xsi:type="dcterms:W3CDTF">2024-07-31T15:34:20Z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KSOSaveFontToCloudKey">
    <vt:lpwstr>340409171_cloud</vt:lpwstr>
  </property>
  <property fmtid="{D5CDD505-2E9C-101B-9397-08002B2CF9AE}" pid="4" name="ICV">
    <vt:lpwstr>5D98EF9AAF5C53D2FCE8A966F5055C3C</vt:lpwstr>
  </property>
</Properties>
</file>