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720" w:firstLineChars="200"/>
        <w:rPr>
          <w:rFonts w:ascii="Times New Roman" w:hAnsi="Times New Roman" w:eastAsia="仿宋_GB2312" w:cs="Times New Roman"/>
          <w:color w:val="FF0000"/>
          <w:sz w:val="36"/>
          <w:szCs w:val="36"/>
        </w:rPr>
      </w:pPr>
    </w:p>
    <w:p>
      <w:pPr>
        <w:spacing w:line="360" w:lineRule="auto"/>
        <w:ind w:firstLine="720" w:firstLineChars="200"/>
        <w:rPr>
          <w:rFonts w:ascii="Times New Roman" w:hAnsi="Times New Roman" w:eastAsia="仿宋_GB2312" w:cs="Times New Roman"/>
          <w:color w:val="FF0000"/>
          <w:sz w:val="36"/>
          <w:szCs w:val="36"/>
        </w:rPr>
      </w:pPr>
    </w:p>
    <w:p>
      <w:pPr>
        <w:spacing w:line="360" w:lineRule="auto"/>
        <w:ind w:firstLine="720" w:firstLineChars="200"/>
        <w:rPr>
          <w:rFonts w:ascii="Times New Roman" w:hAnsi="Times New Roman" w:eastAsia="仿宋_GB2312" w:cs="Times New Roman"/>
          <w:color w:val="FF0000"/>
          <w:sz w:val="36"/>
          <w:szCs w:val="36"/>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hint="default" w:ascii="Times New Roman" w:hAnsi="Times New Roman" w:eastAsia="方正小标宋_GBK" w:cs="Times New Roman"/>
          <w:bCs/>
          <w:color w:val="000000" w:themeColor="text1"/>
          <w:sz w:val="72"/>
          <w:szCs w:val="72"/>
          <w14:textFill>
            <w14:solidFill>
              <w14:schemeClr w14:val="tx1"/>
            </w14:solidFill>
          </w14:textFill>
        </w:rPr>
      </w:pPr>
      <w:r>
        <w:rPr>
          <w:rFonts w:hint="default" w:ascii="Times New Roman" w:hAnsi="Times New Roman" w:eastAsia="方正小标宋_GBK" w:cs="Times New Roman"/>
          <w:bCs/>
          <w:color w:val="000000" w:themeColor="text1"/>
          <w:sz w:val="72"/>
          <w:szCs w:val="72"/>
          <w14:textFill>
            <w14:solidFill>
              <w14:schemeClr w14:val="tx1"/>
            </w14:solidFill>
          </w14:textFill>
        </w:rPr>
        <w:t>建设项目环境影响报告表</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楷体_GB2312" w:cs="Times New Roman"/>
          <w:bCs/>
          <w:color w:val="000000" w:themeColor="text1"/>
          <w:sz w:val="48"/>
          <w:szCs w:val="48"/>
          <w:lang w:eastAsia="zh-CN"/>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（生态影响类</w:t>
      </w:r>
      <w:r>
        <w:rPr>
          <w:rFonts w:hint="eastAsia" w:eastAsia="楷体_GB2312" w:cs="Times New Roman"/>
          <w:bCs/>
          <w:color w:val="000000" w:themeColor="text1"/>
          <w:sz w:val="48"/>
          <w:szCs w:val="48"/>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eastAsia="楷体_GB2312" w:cs="Times New Roman"/>
          <w:bCs/>
          <w:color w:val="000000" w:themeColor="text1"/>
          <w:sz w:val="48"/>
          <w:szCs w:val="48"/>
          <w:lang w:eastAsia="zh-CN"/>
          <w14:textFill>
            <w14:solidFill>
              <w14:schemeClr w14:val="tx1"/>
            </w14:solidFill>
          </w14:textFill>
        </w:rPr>
      </w:pPr>
      <w:r>
        <w:rPr>
          <w:rFonts w:hint="eastAsia" w:eastAsia="楷体_GB2312" w:cs="Times New Roman"/>
          <w:bCs/>
          <w:color w:val="000000" w:themeColor="text1"/>
          <w:sz w:val="48"/>
          <w:szCs w:val="48"/>
          <w:lang w:eastAsia="zh-CN"/>
          <w14:textFill>
            <w14:solidFill>
              <w14:schemeClr w14:val="tx1"/>
            </w14:solidFill>
          </w14:textFill>
        </w:rPr>
        <w:t>（</w:t>
      </w:r>
      <w:r>
        <w:rPr>
          <w:rFonts w:hint="eastAsia" w:eastAsia="楷体_GB2312" w:cs="Times New Roman"/>
          <w:bCs/>
          <w:color w:val="000000" w:themeColor="text1"/>
          <w:sz w:val="48"/>
          <w:szCs w:val="48"/>
          <w:lang w:val="en-US" w:eastAsia="zh-CN"/>
          <w14:textFill>
            <w14:solidFill>
              <w14:schemeClr w14:val="tx1"/>
            </w14:solidFill>
          </w14:textFill>
        </w:rPr>
        <w:t>送审本</w:t>
      </w:r>
      <w:r>
        <w:rPr>
          <w:rFonts w:hint="eastAsia" w:eastAsia="楷体_GB2312" w:cs="Times New Roman"/>
          <w:bCs/>
          <w:color w:val="000000" w:themeColor="text1"/>
          <w:sz w:val="48"/>
          <w:szCs w:val="48"/>
          <w:lang w:eastAsia="zh-CN"/>
          <w14:textFill>
            <w14:solidFill>
              <w14:schemeClr w14:val="tx1"/>
            </w14:solidFill>
          </w14:textFill>
        </w:rPr>
        <w:t>）</w:t>
      </w:r>
    </w:p>
    <w:p>
      <w:pPr>
        <w:spacing w:line="360" w:lineRule="auto"/>
        <w:ind w:firstLine="880" w:firstLineChars="200"/>
        <w:rPr>
          <w:rFonts w:hint="default" w:ascii="Times New Roman" w:hAnsi="Times New Roman" w:eastAsia="仿宋" w:cs="Times New Roman"/>
          <w:color w:val="FF0000"/>
          <w:sz w:val="44"/>
          <w:szCs w:val="44"/>
        </w:rPr>
      </w:pPr>
      <w:bookmarkStart w:id="0" w:name="_Hlk57883728"/>
    </w:p>
    <w:p>
      <w:pPr>
        <w:spacing w:line="360" w:lineRule="auto"/>
        <w:ind w:firstLine="880" w:firstLineChars="200"/>
        <w:rPr>
          <w:rFonts w:hint="default" w:ascii="Times New Roman" w:hAnsi="Times New Roman" w:eastAsia="仿宋" w:cs="Times New Roman"/>
          <w:color w:val="FF0000"/>
          <w:sz w:val="44"/>
          <w:szCs w:val="44"/>
        </w:rPr>
      </w:pPr>
    </w:p>
    <w:p>
      <w:pPr>
        <w:spacing w:line="360" w:lineRule="auto"/>
        <w:ind w:firstLine="880" w:firstLineChars="200"/>
        <w:rPr>
          <w:rFonts w:hint="default" w:ascii="Times New Roman" w:hAnsi="Times New Roman" w:eastAsia="仿宋" w:cs="Times New Roman"/>
          <w:color w:val="FF0000"/>
          <w:sz w:val="44"/>
          <w:szCs w:val="44"/>
        </w:rPr>
      </w:pPr>
    </w:p>
    <w:p>
      <w:pPr>
        <w:spacing w:line="360" w:lineRule="auto"/>
        <w:ind w:firstLine="880" w:firstLineChars="200"/>
        <w:rPr>
          <w:rFonts w:hint="default" w:ascii="Times New Roman" w:hAnsi="Times New Roman" w:eastAsia="仿宋" w:cs="Times New Roman"/>
          <w:color w:val="FF0000"/>
          <w:sz w:val="44"/>
          <w:szCs w:val="44"/>
        </w:rPr>
      </w:pPr>
    </w:p>
    <w:bookmarkEnd w:id="0"/>
    <w:tbl>
      <w:tblPr>
        <w:tblStyle w:val="37"/>
        <w:tblW w:w="8923" w:type="dxa"/>
        <w:jc w:val="center"/>
        <w:tblLayout w:type="autofit"/>
        <w:tblCellMar>
          <w:top w:w="0" w:type="dxa"/>
          <w:left w:w="108" w:type="dxa"/>
          <w:bottom w:w="0" w:type="dxa"/>
          <w:right w:w="108" w:type="dxa"/>
        </w:tblCellMar>
      </w:tblPr>
      <w:tblGrid>
        <w:gridCol w:w="8923"/>
      </w:tblGrid>
      <w:tr>
        <w:tblPrEx>
          <w:tblCellMar>
            <w:top w:w="0" w:type="dxa"/>
            <w:left w:w="108" w:type="dxa"/>
            <w:bottom w:w="0" w:type="dxa"/>
            <w:right w:w="108" w:type="dxa"/>
          </w:tblCellMar>
        </w:tblPrEx>
        <w:trPr>
          <w:trHeight w:val="90" w:hRule="atLeast"/>
          <w:jc w:val="center"/>
        </w:trPr>
        <w:tc>
          <w:tcPr>
            <w:tcW w:w="8923" w:type="dxa"/>
          </w:tcPr>
          <w:p>
            <w:pPr>
              <w:adjustRightInd w:val="0"/>
              <w:snapToGrid w:val="0"/>
              <w:spacing w:line="288" w:lineRule="auto"/>
              <w:ind w:firstLine="0" w:firstLineChars="0"/>
              <w:jc w:val="left"/>
              <w:rPr>
                <w:rFonts w:eastAsia="仿宋_GB2312"/>
                <w:color w:val="FF0000"/>
                <w:sz w:val="36"/>
                <w:szCs w:val="36"/>
                <w:u w:val="single"/>
              </w:rPr>
            </w:pPr>
            <w:r>
              <w:rPr>
                <w:rFonts w:eastAsia="仿宋_GB2312"/>
                <w:color w:val="auto"/>
                <w:sz w:val="36"/>
                <w:szCs w:val="36"/>
              </w:rPr>
              <w:t>项目名称：</w:t>
            </w:r>
            <w:r>
              <w:rPr>
                <w:rFonts w:hint="eastAsia" w:eastAsia="仿宋_GB2312"/>
                <w:color w:val="auto"/>
                <w:sz w:val="36"/>
                <w:szCs w:val="36"/>
                <w:u w:val="single"/>
              </w:rPr>
              <w:t xml:space="preserve"> </w:t>
            </w:r>
            <w:r>
              <w:rPr>
                <w:rFonts w:hint="eastAsia" w:eastAsia="仿宋_GB2312"/>
                <w:color w:val="auto"/>
                <w:sz w:val="36"/>
                <w:szCs w:val="36"/>
                <w:u w:val="single"/>
                <w:lang w:eastAsia="zh-CN"/>
              </w:rPr>
              <w:t>蓬溪县芝溪河明月镇延长段防洪治理工程</w:t>
            </w:r>
            <w:r>
              <w:rPr>
                <w:rFonts w:hint="eastAsia" w:eastAsia="仿宋_GB2312"/>
                <w:color w:val="auto"/>
                <w:sz w:val="36"/>
                <w:szCs w:val="36"/>
                <w:u w:val="single"/>
              </w:rPr>
              <w:t xml:space="preserve">   </w:t>
            </w:r>
            <w:r>
              <w:rPr>
                <w:rFonts w:hint="eastAsia" w:eastAsia="仿宋_GB2312"/>
                <w:color w:val="auto"/>
                <w:sz w:val="36"/>
                <w:szCs w:val="36"/>
                <w:u w:val="single"/>
                <w:lang w:val="en-US" w:eastAsia="zh-CN"/>
              </w:rPr>
              <w:t xml:space="preserve">  </w:t>
            </w:r>
            <w:r>
              <w:rPr>
                <w:rFonts w:hint="eastAsia" w:eastAsia="仿宋_GB2312"/>
                <w:color w:val="auto"/>
                <w:sz w:val="36"/>
                <w:szCs w:val="36"/>
                <w:u w:val="single"/>
              </w:rPr>
              <w:t xml:space="preserve">  </w:t>
            </w:r>
            <w:r>
              <w:rPr>
                <w:rFonts w:hint="eastAsia" w:eastAsia="仿宋_GB2312"/>
                <w:color w:val="FF0000"/>
                <w:sz w:val="36"/>
                <w:szCs w:val="36"/>
                <w:u w:val="single"/>
              </w:rPr>
              <w:t xml:space="preserve"> </w:t>
            </w:r>
            <w:r>
              <w:rPr>
                <w:rFonts w:hint="eastAsia" w:eastAsia="仿宋_GB2312"/>
                <w:color w:val="FF0000"/>
                <w:sz w:val="36"/>
                <w:szCs w:val="36"/>
              </w:rPr>
              <w:t xml:space="preserve">             </w:t>
            </w:r>
            <w:r>
              <w:rPr>
                <w:rFonts w:hint="eastAsia" w:eastAsia="仿宋_GB2312"/>
                <w:color w:val="FF0000"/>
                <w:sz w:val="36"/>
                <w:szCs w:val="36"/>
                <w:u w:val="single"/>
              </w:rPr>
              <w:t xml:space="preserve">     </w:t>
            </w:r>
          </w:p>
        </w:tc>
      </w:tr>
      <w:tr>
        <w:tblPrEx>
          <w:tblCellMar>
            <w:top w:w="0" w:type="dxa"/>
            <w:left w:w="108" w:type="dxa"/>
            <w:bottom w:w="0" w:type="dxa"/>
            <w:right w:w="108" w:type="dxa"/>
          </w:tblCellMar>
        </w:tblPrEx>
        <w:trPr>
          <w:jc w:val="center"/>
        </w:trPr>
        <w:tc>
          <w:tcPr>
            <w:tcW w:w="8923" w:type="dxa"/>
          </w:tcPr>
          <w:p>
            <w:pPr>
              <w:adjustRightInd w:val="0"/>
              <w:snapToGrid w:val="0"/>
              <w:spacing w:line="288" w:lineRule="auto"/>
              <w:ind w:firstLine="0" w:firstLineChars="0"/>
              <w:rPr>
                <w:rFonts w:eastAsia="仿宋_GB2312"/>
                <w:color w:val="auto"/>
                <w:sz w:val="36"/>
                <w:szCs w:val="36"/>
                <w:u w:val="single"/>
              </w:rPr>
            </w:pPr>
            <w:r>
              <w:rPr>
                <w:rFonts w:eastAsia="仿宋_GB2312"/>
                <w:color w:val="auto"/>
                <w:sz w:val="36"/>
                <w:szCs w:val="36"/>
              </w:rPr>
              <w:t>建设单位（盖章）：</w:t>
            </w:r>
            <w:r>
              <w:rPr>
                <w:rFonts w:hint="eastAsia" w:eastAsia="仿宋_GB2312"/>
                <w:color w:val="auto"/>
                <w:sz w:val="36"/>
                <w:szCs w:val="36"/>
                <w:u w:val="single"/>
                <w:lang w:eastAsia="zh-CN"/>
              </w:rPr>
              <w:t xml:space="preserve"> </w:t>
            </w:r>
            <w:r>
              <w:rPr>
                <w:rFonts w:hint="eastAsia" w:eastAsia="仿宋_GB2312"/>
                <w:color w:val="auto"/>
                <w:sz w:val="36"/>
                <w:szCs w:val="36"/>
                <w:u w:val="single"/>
                <w:lang w:val="en-US" w:eastAsia="zh-CN"/>
              </w:rPr>
              <w:t xml:space="preserve">     </w:t>
            </w:r>
            <w:r>
              <w:rPr>
                <w:rFonts w:hint="eastAsia" w:eastAsia="仿宋_GB2312"/>
                <w:color w:val="auto"/>
                <w:sz w:val="36"/>
                <w:szCs w:val="36"/>
                <w:u w:val="single"/>
                <w:lang w:eastAsia="zh-CN"/>
              </w:rPr>
              <w:t>蓬溪县水利工程管理所</w:t>
            </w:r>
            <w:r>
              <w:rPr>
                <w:rFonts w:hint="eastAsia" w:eastAsia="仿宋_GB2312"/>
                <w:color w:val="auto"/>
                <w:sz w:val="36"/>
                <w:szCs w:val="36"/>
                <w:u w:val="single"/>
              </w:rPr>
              <w:t xml:space="preserve">           </w:t>
            </w:r>
          </w:p>
        </w:tc>
      </w:tr>
      <w:tr>
        <w:tblPrEx>
          <w:tblCellMar>
            <w:top w:w="0" w:type="dxa"/>
            <w:left w:w="108" w:type="dxa"/>
            <w:bottom w:w="0" w:type="dxa"/>
            <w:right w:w="108" w:type="dxa"/>
          </w:tblCellMar>
        </w:tblPrEx>
        <w:trPr>
          <w:jc w:val="center"/>
        </w:trPr>
        <w:tc>
          <w:tcPr>
            <w:tcW w:w="8923" w:type="dxa"/>
          </w:tcPr>
          <w:p>
            <w:pPr>
              <w:spacing w:line="240" w:lineRule="auto"/>
              <w:ind w:firstLine="0" w:firstLineChars="0"/>
              <w:rPr>
                <w:color w:val="auto"/>
              </w:rPr>
            </w:pPr>
            <w:r>
              <w:rPr>
                <w:rFonts w:eastAsia="仿宋_GB2312"/>
                <w:color w:val="auto"/>
                <w:sz w:val="36"/>
                <w:szCs w:val="36"/>
              </w:rPr>
              <w:t>编制日期：</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hint="eastAsia" w:eastAsia="仿宋_GB2312"/>
                <w:color w:val="auto"/>
                <w:sz w:val="36"/>
                <w:szCs w:val="36"/>
                <w:u w:val="single"/>
                <w:lang w:val="en-US" w:eastAsia="zh-CN"/>
              </w:rPr>
              <w:t xml:space="preserve">         </w:t>
            </w:r>
            <w:r>
              <w:rPr>
                <w:rFonts w:eastAsia="仿宋_GB2312"/>
                <w:color w:val="auto"/>
                <w:sz w:val="36"/>
                <w:szCs w:val="36"/>
                <w:u w:val="single"/>
              </w:rPr>
              <w:t>202</w:t>
            </w:r>
            <w:r>
              <w:rPr>
                <w:rFonts w:hint="eastAsia" w:eastAsia="仿宋_GB2312"/>
                <w:color w:val="auto"/>
                <w:sz w:val="36"/>
                <w:szCs w:val="36"/>
                <w:u w:val="single"/>
                <w:lang w:val="en-US" w:eastAsia="zh-CN"/>
              </w:rPr>
              <w:t>4</w:t>
            </w:r>
            <w:r>
              <w:rPr>
                <w:rFonts w:eastAsia="仿宋_GB2312"/>
                <w:color w:val="auto"/>
                <w:sz w:val="36"/>
                <w:szCs w:val="36"/>
                <w:u w:val="single"/>
              </w:rPr>
              <w:t>年</w:t>
            </w:r>
            <w:r>
              <w:rPr>
                <w:rFonts w:hint="eastAsia" w:eastAsia="仿宋_GB2312"/>
                <w:color w:val="auto"/>
                <w:sz w:val="36"/>
                <w:szCs w:val="36"/>
                <w:u w:val="single"/>
                <w:lang w:val="en-US" w:eastAsia="zh-CN"/>
              </w:rPr>
              <w:t>6</w:t>
            </w:r>
            <w:r>
              <w:rPr>
                <w:rFonts w:eastAsia="仿宋_GB2312"/>
                <w:color w:val="auto"/>
                <w:sz w:val="36"/>
                <w:szCs w:val="36"/>
                <w:u w:val="single"/>
              </w:rPr>
              <w:t xml:space="preserve">月        </w:t>
            </w:r>
            <w:r>
              <w:rPr>
                <w:rFonts w:hint="eastAsia" w:eastAsia="仿宋_GB2312"/>
                <w:color w:val="auto"/>
                <w:sz w:val="36"/>
                <w:szCs w:val="36"/>
                <w:u w:val="single"/>
              </w:rPr>
              <w:t xml:space="preserve">    </w:t>
            </w:r>
            <w:r>
              <w:rPr>
                <w:rFonts w:eastAsia="仿宋_GB2312"/>
                <w:color w:val="auto"/>
                <w:sz w:val="36"/>
                <w:szCs w:val="36"/>
                <w:u w:val="single"/>
              </w:rPr>
              <w:t xml:space="preserve">  </w:t>
            </w:r>
            <w:r>
              <w:rPr>
                <w:rFonts w:hint="eastAsia" w:eastAsia="仿宋_GB2312"/>
                <w:color w:val="auto"/>
                <w:sz w:val="36"/>
                <w:szCs w:val="36"/>
                <w:u w:val="single"/>
              </w:rPr>
              <w:t xml:space="preserve">    </w:t>
            </w:r>
            <w:r>
              <w:rPr>
                <w:rFonts w:eastAsia="仿宋_GB2312"/>
                <w:color w:val="auto"/>
                <w:sz w:val="36"/>
                <w:szCs w:val="36"/>
                <w:u w:val="single"/>
              </w:rPr>
              <w:t xml:space="preserve"> </w:t>
            </w:r>
          </w:p>
        </w:tc>
      </w:tr>
    </w:tbl>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jc w:val="left"/>
        <w:textAlignment w:val="auto"/>
        <w:rPr>
          <w:rFonts w:hint="default" w:ascii="Times New Roman" w:hAnsi="Times New Roman" w:eastAsia="宋体" w:cs="Times New Roman"/>
          <w:color w:val="FF0000"/>
          <w:sz w:val="36"/>
          <w:szCs w:val="36"/>
          <w:u w:val="single"/>
          <w:lang w:val="en-US" w:eastAsia="zh-CN"/>
        </w:rPr>
      </w:pPr>
    </w:p>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textAlignment w:val="auto"/>
        <w:rPr>
          <w:rFonts w:hint="default" w:ascii="Times New Roman" w:hAnsi="Times New Roman" w:eastAsia="仿宋_GB2312" w:cs="Times New Roman"/>
          <w:color w:val="FF0000"/>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textAlignment w:val="auto"/>
        <w:rPr>
          <w:rFonts w:hint="default" w:ascii="Times New Roman" w:hAnsi="Times New Roman" w:eastAsia="仿宋_GB2312" w:cs="Times New Roman"/>
          <w:color w:val="FF0000"/>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textAlignment w:val="auto"/>
        <w:rPr>
          <w:rFonts w:hint="default" w:ascii="Times New Roman" w:hAnsi="Times New Roman" w:eastAsia="仿宋_GB2312" w:cs="Times New Roman"/>
          <w:color w:val="FF0000"/>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textAlignment w:val="auto"/>
        <w:rPr>
          <w:rFonts w:hint="default" w:ascii="Times New Roman" w:hAnsi="Times New Roman" w:eastAsia="仿宋_GB2312" w:cs="Times New Roman"/>
          <w:color w:val="FF0000"/>
          <w:sz w:val="36"/>
          <w:szCs w:val="36"/>
        </w:rPr>
      </w:pPr>
    </w:p>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 w:val="36"/>
          <w:szCs w:val="36"/>
        </w:rPr>
        <w:sectPr>
          <w:headerReference r:id="rId3" w:type="default"/>
          <w:footerReference r:id="rId5" w:type="default"/>
          <w:headerReference r:id="rId4" w:type="even"/>
          <w:footerReference r:id="rId6" w:type="even"/>
          <w:pgSz w:w="11906" w:h="16838"/>
          <w:pgMar w:top="1440" w:right="1080" w:bottom="1440" w:left="1080" w:header="851" w:footer="1077" w:gutter="0"/>
          <w:pgNumType w:start="21"/>
          <w:cols w:space="720" w:num="1"/>
          <w:docGrid w:linePitch="312" w:charSpace="0"/>
        </w:sectPr>
      </w:pPr>
    </w:p>
    <w:p>
      <w:pPr>
        <w:pStyle w:val="32"/>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37"/>
        <w:tblW w:w="9714" w:type="dxa"/>
        <w:tblInd w:w="-26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9"/>
        <w:gridCol w:w="850"/>
        <w:gridCol w:w="2005"/>
        <w:gridCol w:w="2541"/>
        <w:gridCol w:w="15"/>
        <w:gridCol w:w="31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59" w:type="dxa"/>
            <w:gridSpan w:val="2"/>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755" w:type="dxa"/>
            <w:gridSpan w:val="4"/>
            <w:shd w:val="clear" w:color="auto" w:fill="auto"/>
            <w:vAlign w:val="center"/>
          </w:tcPr>
          <w:p>
            <w:pPr>
              <w:adjustRightInd w:val="0"/>
              <w:snapToGrid w:val="0"/>
              <w:jc w:val="center"/>
              <w:rPr>
                <w:rFonts w:hint="default" w:ascii="Times New Roman" w:hAnsi="Times New Roman" w:eastAsia="宋体" w:cs="Times New Roman"/>
                <w:color w:val="auto"/>
                <w:sz w:val="24"/>
                <w:lang w:eastAsia="zh-CN"/>
              </w:rPr>
            </w:pPr>
            <w:r>
              <w:rPr>
                <w:rFonts w:hint="eastAsia" w:cs="Times New Roman"/>
                <w:color w:val="auto"/>
                <w:sz w:val="24"/>
                <w:lang w:eastAsia="zh-CN"/>
              </w:rPr>
              <w:t>蓬溪县芝溪河明月镇延长段防洪治理工程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59" w:type="dxa"/>
            <w:gridSpan w:val="2"/>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7755" w:type="dxa"/>
            <w:gridSpan w:val="4"/>
            <w:shd w:val="clear" w:color="auto" w:fill="auto"/>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59" w:type="dxa"/>
            <w:gridSpan w:val="2"/>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2005" w:type="dxa"/>
            <w:shd w:val="clear" w:color="auto" w:fill="auto"/>
            <w:vAlign w:val="center"/>
          </w:tcPr>
          <w:p>
            <w:pPr>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陈波</w:t>
            </w:r>
          </w:p>
        </w:tc>
        <w:tc>
          <w:tcPr>
            <w:tcW w:w="2556" w:type="dxa"/>
            <w:gridSpan w:val="2"/>
            <w:shd w:val="clear" w:color="auto" w:fill="auto"/>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3194" w:type="dxa"/>
            <w:shd w:val="clear" w:color="auto" w:fill="auto"/>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59" w:type="dxa"/>
            <w:gridSpan w:val="2"/>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755" w:type="dxa"/>
            <w:gridSpan w:val="4"/>
            <w:shd w:val="clear" w:color="auto" w:fill="auto"/>
            <w:vAlign w:val="center"/>
          </w:tcPr>
          <w:p>
            <w:pPr>
              <w:adjustRightInd w:val="0"/>
              <w:snapToGrid w:val="0"/>
              <w:jc w:val="center"/>
              <w:rPr>
                <w:rFonts w:hint="default" w:ascii="Times New Roman" w:hAnsi="Times New Roman" w:eastAsia="宋体" w:cs="Times New Roman"/>
                <w:color w:val="FF0000"/>
                <w:sz w:val="24"/>
                <w:lang w:val="en-US" w:eastAsia="zh-CN"/>
              </w:rPr>
            </w:pPr>
            <w:bookmarkStart w:id="14" w:name="_GoBack"/>
            <w:r>
              <w:rPr>
                <w:rFonts w:hint="eastAsia" w:cs="Times New Roman"/>
                <w:color w:val="auto"/>
                <w:sz w:val="24"/>
                <w:u w:val="none"/>
                <w:lang w:val="en-US" w:eastAsia="zh-CN"/>
              </w:rPr>
              <w:t>遂宁市</w:t>
            </w:r>
            <w:r>
              <w:rPr>
                <w:rFonts w:hint="default" w:ascii="Times New Roman" w:hAnsi="Times New Roman" w:cs="Times New Roman"/>
                <w:color w:val="auto"/>
                <w:sz w:val="24"/>
                <w:u w:val="none"/>
                <w:lang w:val="en-US" w:eastAsia="zh-CN"/>
              </w:rPr>
              <w:t>蓬溪县明月镇</w:t>
            </w:r>
            <w:bookmarkEnd w:id="1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59" w:type="dxa"/>
            <w:gridSpan w:val="2"/>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755" w:type="dxa"/>
            <w:gridSpan w:val="4"/>
            <w:shd w:val="clear" w:color="auto" w:fill="auto"/>
            <w:vAlign w:val="center"/>
          </w:tcPr>
          <w:p>
            <w:pPr>
              <w:adjustRightInd w:val="0"/>
              <w:snapToGrid w:val="0"/>
              <w:jc w:val="center"/>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起点坐标：</w:t>
            </w:r>
            <w:r>
              <w:rPr>
                <w:rFonts w:hint="default" w:ascii="Times New Roman" w:hAnsi="Times New Roman" w:cs="Times New Roman"/>
                <w:color w:val="auto"/>
                <w:sz w:val="24"/>
                <w:u w:val="single"/>
                <w:lang w:val="en-US" w:eastAsia="zh-CN"/>
              </w:rPr>
              <w:t>10</w:t>
            </w:r>
            <w:r>
              <w:rPr>
                <w:rFonts w:hint="eastAsia" w:cs="Times New Roman"/>
                <w:color w:val="auto"/>
                <w:sz w:val="24"/>
                <w:u w:val="single"/>
                <w:lang w:val="en-US" w:eastAsia="zh-CN"/>
              </w:rPr>
              <w:t>5</w:t>
            </w:r>
            <w:r>
              <w:rPr>
                <w:rFonts w:hint="default" w:ascii="Times New Roman" w:hAnsi="Times New Roman" w:cs="Times New Roman"/>
                <w:color w:val="auto"/>
                <w:sz w:val="24"/>
                <w:u w:val="single"/>
              </w:rPr>
              <w:t>度</w:t>
            </w:r>
            <w:r>
              <w:rPr>
                <w:rFonts w:hint="eastAsia" w:cs="Times New Roman"/>
                <w:color w:val="auto"/>
                <w:sz w:val="24"/>
                <w:u w:val="single"/>
                <w:lang w:val="en-US" w:eastAsia="zh-CN"/>
              </w:rPr>
              <w:t>37</w:t>
            </w:r>
            <w:r>
              <w:rPr>
                <w:rFonts w:hint="default" w:ascii="Times New Roman" w:hAnsi="Times New Roman" w:cs="Times New Roman"/>
                <w:color w:val="auto"/>
                <w:sz w:val="24"/>
                <w:u w:val="single"/>
              </w:rPr>
              <w:t>分</w:t>
            </w:r>
            <w:r>
              <w:rPr>
                <w:rFonts w:hint="eastAsia" w:cs="Times New Roman"/>
                <w:color w:val="auto"/>
                <w:sz w:val="24"/>
                <w:u w:val="single"/>
                <w:lang w:val="en-US" w:eastAsia="zh-CN"/>
              </w:rPr>
              <w:t>12.880</w:t>
            </w:r>
            <w:r>
              <w:rPr>
                <w:rFonts w:hint="default" w:ascii="Times New Roman" w:hAnsi="Times New Roman" w:cs="Times New Roman"/>
                <w:color w:val="auto"/>
                <w:sz w:val="24"/>
                <w:u w:val="single"/>
              </w:rPr>
              <w:t>秒，</w:t>
            </w:r>
            <w:r>
              <w:rPr>
                <w:rFonts w:hint="default" w:ascii="Times New Roman" w:hAnsi="Times New Roman" w:cs="Times New Roman"/>
                <w:color w:val="auto"/>
                <w:sz w:val="24"/>
                <w:u w:val="single"/>
                <w:lang w:val="en-US" w:eastAsia="zh-CN"/>
              </w:rPr>
              <w:t>3</w:t>
            </w:r>
            <w:r>
              <w:rPr>
                <w:rFonts w:hint="eastAsia" w:cs="Times New Roman"/>
                <w:color w:val="auto"/>
                <w:sz w:val="24"/>
                <w:u w:val="single"/>
                <w:lang w:val="en-US" w:eastAsia="zh-CN"/>
              </w:rPr>
              <w:t>0</w:t>
            </w:r>
            <w:r>
              <w:rPr>
                <w:rFonts w:hint="default" w:ascii="Times New Roman" w:hAnsi="Times New Roman" w:cs="Times New Roman"/>
                <w:color w:val="auto"/>
                <w:sz w:val="24"/>
                <w:u w:val="single"/>
              </w:rPr>
              <w:t>度</w:t>
            </w:r>
            <w:r>
              <w:rPr>
                <w:rFonts w:hint="default" w:ascii="Times New Roman" w:hAnsi="Times New Roman" w:cs="Times New Roman"/>
                <w:color w:val="auto"/>
                <w:sz w:val="24"/>
                <w:u w:val="single"/>
                <w:lang w:val="en-US" w:eastAsia="zh-CN"/>
              </w:rPr>
              <w:t>4</w:t>
            </w:r>
            <w:r>
              <w:rPr>
                <w:rFonts w:hint="eastAsia" w:cs="Times New Roman"/>
                <w:color w:val="auto"/>
                <w:sz w:val="24"/>
                <w:u w:val="single"/>
                <w:lang w:val="en-US" w:eastAsia="zh-CN"/>
              </w:rPr>
              <w:t>4</w:t>
            </w:r>
            <w:r>
              <w:rPr>
                <w:rFonts w:hint="default" w:ascii="Times New Roman" w:hAnsi="Times New Roman" w:cs="Times New Roman"/>
                <w:color w:val="auto"/>
                <w:sz w:val="24"/>
                <w:u w:val="single"/>
              </w:rPr>
              <w:t>分</w:t>
            </w:r>
            <w:r>
              <w:rPr>
                <w:rFonts w:hint="eastAsia" w:cs="Times New Roman"/>
                <w:color w:val="auto"/>
                <w:sz w:val="24"/>
                <w:u w:val="single"/>
                <w:lang w:val="en-US" w:eastAsia="zh-CN"/>
              </w:rPr>
              <w:t>35.01</w:t>
            </w:r>
            <w:r>
              <w:rPr>
                <w:rFonts w:hint="default" w:ascii="Times New Roman" w:hAnsi="Times New Roman" w:cs="Times New Roman"/>
                <w:color w:val="auto"/>
                <w:sz w:val="24"/>
                <w:u w:val="single"/>
                <w:lang w:val="en-US" w:eastAsia="zh-CN"/>
              </w:rPr>
              <w:t>0</w:t>
            </w:r>
            <w:r>
              <w:rPr>
                <w:rFonts w:hint="default" w:ascii="Times New Roman" w:hAnsi="Times New Roman" w:cs="Times New Roman"/>
                <w:color w:val="auto"/>
                <w:sz w:val="24"/>
                <w:u w:val="single"/>
              </w:rPr>
              <w:t>秒</w:t>
            </w:r>
            <w:r>
              <w:rPr>
                <w:rFonts w:hint="default" w:ascii="Times New Roman" w:hAnsi="Times New Roman" w:cs="Times New Roman"/>
                <w:color w:val="auto"/>
                <w:sz w:val="24"/>
                <w:lang w:eastAsia="zh-CN"/>
              </w:rPr>
              <w:t>，</w:t>
            </w:r>
          </w:p>
          <w:p>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终点坐标：</w:t>
            </w:r>
            <w:r>
              <w:rPr>
                <w:rFonts w:hint="default" w:ascii="Times New Roman" w:hAnsi="Times New Roman" w:cs="Times New Roman"/>
                <w:color w:val="auto"/>
                <w:sz w:val="24"/>
                <w:u w:val="single"/>
                <w:lang w:val="en-US" w:eastAsia="zh-CN"/>
              </w:rPr>
              <w:t>10</w:t>
            </w:r>
            <w:r>
              <w:rPr>
                <w:rFonts w:hint="eastAsia" w:cs="Times New Roman"/>
                <w:color w:val="auto"/>
                <w:sz w:val="24"/>
                <w:u w:val="single"/>
                <w:lang w:val="en-US" w:eastAsia="zh-CN"/>
              </w:rPr>
              <w:t>5</w:t>
            </w:r>
            <w:r>
              <w:rPr>
                <w:rFonts w:hint="default" w:ascii="Times New Roman" w:hAnsi="Times New Roman" w:cs="Times New Roman"/>
                <w:color w:val="auto"/>
                <w:sz w:val="24"/>
                <w:u w:val="single"/>
              </w:rPr>
              <w:t>度</w:t>
            </w:r>
            <w:r>
              <w:rPr>
                <w:rFonts w:hint="eastAsia" w:cs="Times New Roman"/>
                <w:color w:val="auto"/>
                <w:sz w:val="24"/>
                <w:u w:val="single"/>
                <w:lang w:val="en-US" w:eastAsia="zh-CN"/>
              </w:rPr>
              <w:t>37</w:t>
            </w:r>
            <w:r>
              <w:rPr>
                <w:rFonts w:hint="default" w:ascii="Times New Roman" w:hAnsi="Times New Roman" w:cs="Times New Roman"/>
                <w:color w:val="auto"/>
                <w:sz w:val="24"/>
                <w:u w:val="single"/>
              </w:rPr>
              <w:t>分</w:t>
            </w:r>
            <w:r>
              <w:rPr>
                <w:rFonts w:hint="eastAsia" w:cs="Times New Roman"/>
                <w:color w:val="auto"/>
                <w:sz w:val="24"/>
                <w:u w:val="single"/>
                <w:lang w:val="en-US" w:eastAsia="zh-CN"/>
              </w:rPr>
              <w:t>9.380</w:t>
            </w:r>
            <w:r>
              <w:rPr>
                <w:rFonts w:hint="default" w:ascii="Times New Roman" w:hAnsi="Times New Roman" w:cs="Times New Roman"/>
                <w:color w:val="auto"/>
                <w:sz w:val="24"/>
                <w:u w:val="single"/>
              </w:rPr>
              <w:t>秒，</w:t>
            </w:r>
            <w:r>
              <w:rPr>
                <w:rFonts w:hint="default" w:ascii="Times New Roman" w:hAnsi="Times New Roman" w:cs="Times New Roman"/>
                <w:color w:val="auto"/>
                <w:sz w:val="24"/>
                <w:u w:val="single"/>
                <w:lang w:val="en-US" w:eastAsia="zh-CN"/>
              </w:rPr>
              <w:t>3</w:t>
            </w:r>
            <w:r>
              <w:rPr>
                <w:rFonts w:hint="eastAsia" w:cs="Times New Roman"/>
                <w:color w:val="auto"/>
                <w:sz w:val="24"/>
                <w:u w:val="single"/>
                <w:lang w:val="en-US" w:eastAsia="zh-CN"/>
              </w:rPr>
              <w:t>0</w:t>
            </w:r>
            <w:r>
              <w:rPr>
                <w:rFonts w:hint="default" w:ascii="Times New Roman" w:hAnsi="Times New Roman" w:cs="Times New Roman"/>
                <w:color w:val="auto"/>
                <w:sz w:val="24"/>
                <w:u w:val="single"/>
              </w:rPr>
              <w:t>度</w:t>
            </w:r>
            <w:r>
              <w:rPr>
                <w:rFonts w:hint="default" w:ascii="Times New Roman" w:hAnsi="Times New Roman" w:cs="Times New Roman"/>
                <w:color w:val="auto"/>
                <w:sz w:val="24"/>
                <w:u w:val="single"/>
                <w:lang w:val="en-US" w:eastAsia="zh-CN"/>
              </w:rPr>
              <w:t>4</w:t>
            </w:r>
            <w:r>
              <w:rPr>
                <w:rFonts w:hint="eastAsia" w:cs="Times New Roman"/>
                <w:color w:val="auto"/>
                <w:sz w:val="24"/>
                <w:u w:val="single"/>
                <w:lang w:val="en-US" w:eastAsia="zh-CN"/>
              </w:rPr>
              <w:t>4</w:t>
            </w:r>
            <w:r>
              <w:rPr>
                <w:rFonts w:hint="default" w:ascii="Times New Roman" w:hAnsi="Times New Roman" w:cs="Times New Roman"/>
                <w:color w:val="auto"/>
                <w:sz w:val="24"/>
                <w:u w:val="single"/>
              </w:rPr>
              <w:t>分</w:t>
            </w:r>
            <w:r>
              <w:rPr>
                <w:rFonts w:hint="eastAsia" w:cs="Times New Roman"/>
                <w:color w:val="auto"/>
                <w:sz w:val="24"/>
                <w:u w:val="single"/>
                <w:lang w:val="en-US" w:eastAsia="zh-CN"/>
              </w:rPr>
              <w:t>27.57</w:t>
            </w:r>
            <w:r>
              <w:rPr>
                <w:rFonts w:hint="default" w:ascii="Times New Roman" w:hAnsi="Times New Roman" w:cs="Times New Roman"/>
                <w:color w:val="auto"/>
                <w:sz w:val="24"/>
                <w:u w:val="single"/>
                <w:lang w:val="en-US" w:eastAsia="zh-CN"/>
              </w:rPr>
              <w:t>0</w:t>
            </w:r>
            <w:r>
              <w:rPr>
                <w:rFonts w:hint="default" w:ascii="Times New Roman" w:hAnsi="Times New Roman" w:cs="Times New Roman"/>
                <w:color w:val="auto"/>
                <w:sz w:val="24"/>
                <w:u w:val="single"/>
              </w:rPr>
              <w:t>秒</w:t>
            </w:r>
            <w:r>
              <w:rPr>
                <w:rFonts w:hint="default" w:ascii="Times New Roman" w:hAnsi="Times New Roman" w:cs="Times New Roman"/>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959" w:type="dxa"/>
            <w:gridSpan w:val="2"/>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2005" w:type="dxa"/>
            <w:shd w:val="clear" w:color="auto" w:fill="auto"/>
            <w:vAlign w:val="center"/>
          </w:tcPr>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五十</w:t>
            </w:r>
            <w:r>
              <w:rPr>
                <w:rFonts w:hint="default" w:ascii="Times New Roman" w:hAnsi="Times New Roman" w:cs="Times New Roman"/>
                <w:color w:val="auto"/>
                <w:sz w:val="24"/>
                <w:lang w:val="en-US" w:eastAsia="zh-CN"/>
              </w:rPr>
              <w:t>一</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水利-127防洪除涝工程-其他（小型沟渠的护坡除外；城镇排涝河流水闸、排涝泵站除外）</w:t>
            </w:r>
          </w:p>
        </w:tc>
        <w:tc>
          <w:tcPr>
            <w:tcW w:w="2541" w:type="dxa"/>
            <w:shd w:val="clear" w:color="auto" w:fill="auto"/>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用地（用海）面积（m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）/长度（km）</w:t>
            </w:r>
          </w:p>
        </w:tc>
        <w:tc>
          <w:tcPr>
            <w:tcW w:w="3209" w:type="dxa"/>
            <w:gridSpan w:val="2"/>
            <w:shd w:val="clear" w:color="auto" w:fill="auto"/>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30433.33m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vertAlign w:val="baseline"/>
                <w:lang w:val="en-US" w:eastAsia="zh-CN"/>
              </w:rPr>
              <w:t>（其中永久占地17706.6</w:t>
            </w:r>
            <w:r>
              <w:rPr>
                <w:rFonts w:hint="eastAsia" w:cs="Times New Roman"/>
                <w:color w:val="auto"/>
                <w:sz w:val="24"/>
                <w:vertAlign w:val="baseline"/>
                <w:lang w:val="en-US" w:eastAsia="zh-CN"/>
              </w:rPr>
              <w:t>7</w:t>
            </w:r>
            <w:r>
              <w:rPr>
                <w:rFonts w:hint="default" w:ascii="Times New Roman" w:hAnsi="Times New Roman" w:cs="Times New Roman"/>
                <w:color w:val="auto"/>
                <w:sz w:val="24"/>
                <w:vertAlign w:val="baseline"/>
                <w:lang w:val="en-US" w:eastAsia="zh-CN"/>
              </w:rPr>
              <w:t>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vertAlign w:val="baseline"/>
                <w:lang w:val="en-US" w:eastAsia="zh-CN"/>
              </w:rPr>
              <w:t>，临时占地12726.6</w:t>
            </w:r>
            <w:r>
              <w:rPr>
                <w:rFonts w:hint="eastAsia" w:cs="Times New Roman"/>
                <w:color w:val="auto"/>
                <w:sz w:val="24"/>
                <w:vertAlign w:val="baseline"/>
                <w:lang w:val="en-US" w:eastAsia="zh-CN"/>
              </w:rPr>
              <w:t>6</w:t>
            </w:r>
            <w:r>
              <w:rPr>
                <w:rFonts w:hint="default" w:ascii="Times New Roman" w:hAnsi="Times New Roman" w:cs="Times New Roman"/>
                <w:color w:val="auto"/>
                <w:sz w:val="24"/>
                <w:vertAlign w:val="baseline"/>
                <w:lang w:val="en-US" w:eastAsia="zh-CN"/>
              </w:rPr>
              <w:t>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vertAlign w:val="baseli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959" w:type="dxa"/>
            <w:gridSpan w:val="2"/>
            <w:shd w:val="clear" w:color="auto" w:fill="auto"/>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2005" w:type="dxa"/>
            <w:shd w:val="clear" w:color="auto" w:fill="auto"/>
            <w:vAlign w:val="center"/>
          </w:tcPr>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sym w:font="Wingdings 2" w:char="F052"/>
            </w:r>
            <w:r>
              <w:rPr>
                <w:rFonts w:hint="default" w:ascii="Times New Roman" w:hAnsi="Times New Roman" w:cs="Times New Roman"/>
                <w:color w:val="auto"/>
                <w:sz w:val="24"/>
              </w:rPr>
              <w:t>新建（迁建）</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□改建</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□扩建</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□技术改造</w:t>
            </w:r>
          </w:p>
        </w:tc>
        <w:tc>
          <w:tcPr>
            <w:tcW w:w="2541" w:type="dxa"/>
            <w:shd w:val="clear" w:color="auto" w:fill="auto"/>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3209" w:type="dxa"/>
            <w:gridSpan w:val="2"/>
            <w:shd w:val="clear" w:color="auto" w:fill="auto"/>
            <w:vAlign w:val="center"/>
          </w:tcPr>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sym w:font="Wingdings 2" w:char="F052"/>
            </w:r>
            <w:r>
              <w:rPr>
                <w:rFonts w:hint="default" w:ascii="Times New Roman" w:hAnsi="Times New Roman" w:cs="Times New Roman"/>
                <w:color w:val="auto"/>
                <w:sz w:val="24"/>
              </w:rPr>
              <w:t>首次申报项目</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□不予批准后再次申报项目</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□超五年重新审核项目</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959"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备案）部门（选填）</w:t>
            </w:r>
          </w:p>
        </w:tc>
        <w:tc>
          <w:tcPr>
            <w:tcW w:w="2005"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蓬溪县水利局</w:t>
            </w:r>
          </w:p>
        </w:tc>
        <w:tc>
          <w:tcPr>
            <w:tcW w:w="2541"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3209" w:type="dxa"/>
            <w:gridSpan w:val="2"/>
            <w:vAlign w:val="center"/>
          </w:tcPr>
          <w:p>
            <w:pPr>
              <w:adjustRightInd w:val="0"/>
              <w:snapToGrid w:val="0"/>
              <w:jc w:val="center"/>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蓬水发〔2023〕260号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59"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2005"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1637.22</w:t>
            </w:r>
          </w:p>
        </w:tc>
        <w:tc>
          <w:tcPr>
            <w:tcW w:w="2541"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3209" w:type="dxa"/>
            <w:gridSpan w:val="2"/>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54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959"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highlight w:val="yellow"/>
              </w:rPr>
            </w:pPr>
            <w:r>
              <w:rPr>
                <w:rFonts w:hint="default" w:ascii="Times New Roman" w:hAnsi="Times New Roman" w:cs="Times New Roman"/>
                <w:color w:val="auto"/>
                <w:sz w:val="24"/>
              </w:rPr>
              <w:t>环保投资占比（%）</w:t>
            </w:r>
          </w:p>
        </w:tc>
        <w:tc>
          <w:tcPr>
            <w:tcW w:w="2005"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3.30</w:t>
            </w:r>
          </w:p>
        </w:tc>
        <w:tc>
          <w:tcPr>
            <w:tcW w:w="2541" w:type="dxa"/>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3209" w:type="dxa"/>
            <w:gridSpan w:val="2"/>
            <w:vAlign w:val="center"/>
          </w:tcPr>
          <w:p>
            <w:pPr>
              <w:adjustRightInd w:val="0"/>
              <w:snapToGrid w:val="0"/>
              <w:jc w:val="center"/>
              <w:rPr>
                <w:rFonts w:hint="default" w:ascii="Times New Roman" w:hAnsi="Times New Roman" w:cs="Times New Roman"/>
                <w:color w:val="auto"/>
                <w:sz w:val="24"/>
              </w:rPr>
            </w:pPr>
            <w:r>
              <w:rPr>
                <w:rFonts w:hint="eastAsia" w:cs="Times New Roman"/>
                <w:color w:val="auto"/>
                <w:sz w:val="24"/>
                <w:lang w:val="en-US" w:eastAsia="zh-CN"/>
              </w:rPr>
              <w:t>10</w:t>
            </w:r>
            <w:r>
              <w:rPr>
                <w:rFonts w:hint="default" w:ascii="Times New Roman" w:hAnsi="Times New Roman" w:cs="Times New Roman"/>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959" w:type="dxa"/>
            <w:gridSpan w:val="2"/>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7755" w:type="dxa"/>
            <w:gridSpan w:val="4"/>
            <w:vAlign w:val="center"/>
          </w:tcPr>
          <w:p>
            <w:pPr>
              <w:adjustRightInd w:val="0"/>
              <w:snapToGrid w:val="0"/>
              <w:ind w:firstLine="105"/>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否</w:t>
            </w:r>
          </w:p>
          <w:p>
            <w:pPr>
              <w:adjustRightInd w:val="0"/>
              <w:snapToGrid w:val="0"/>
              <w:ind w:firstLine="92"/>
              <w:rPr>
                <w:rFonts w:hint="default" w:ascii="Times New Roman" w:hAnsi="Times New Roman" w:eastAsia="宋体" w:cs="Times New Roman"/>
                <w:color w:val="auto"/>
                <w:sz w:val="24"/>
                <w:lang w:val="en-US" w:eastAsia="zh-CN"/>
              </w:rPr>
            </w:pPr>
            <w:r>
              <w:rPr>
                <w:rFonts w:hint="eastAsia" w:cs="Times New Roman"/>
                <w:color w:val="auto"/>
                <w:sz w:val="24"/>
                <w:lang w:eastAsia="zh-CN"/>
              </w:rPr>
              <w:t>□</w:t>
            </w:r>
            <w:r>
              <w:rPr>
                <w:rFonts w:hint="default" w:ascii="Times New Roman" w:hAnsi="Times New Roman" w:cs="Times New Roman"/>
                <w:color w:val="auto"/>
                <w:sz w:val="24"/>
              </w:rPr>
              <w:t>是：</w:t>
            </w:r>
            <w:r>
              <w:rPr>
                <w:rFonts w:hint="default" w:ascii="Times New Roman" w:hAnsi="Times New Roman" w:cs="Times New Roman"/>
                <w:color w:val="auto"/>
                <w:sz w:val="24"/>
                <w:u w:val="single"/>
              </w:rPr>
              <w:t xml:space="preserve">  </w:t>
            </w:r>
            <w:r>
              <w:rPr>
                <w:rFonts w:hint="eastAsia" w:cs="Times New Roman"/>
                <w:color w:val="auto"/>
                <w:sz w:val="24"/>
                <w:u w:val="single"/>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09"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FF0000"/>
                <w:kern w:val="0"/>
                <w:sz w:val="24"/>
              </w:rPr>
            </w:pPr>
            <w:r>
              <w:rPr>
                <w:rFonts w:hint="default" w:ascii="Times New Roman" w:hAnsi="Times New Roman" w:cs="Times New Roman"/>
                <w:color w:val="auto"/>
                <w:kern w:val="0"/>
                <w:sz w:val="24"/>
              </w:rPr>
              <w:t>专</w:t>
            </w:r>
            <w:r>
              <w:rPr>
                <w:rFonts w:hint="default" w:ascii="Times New Roman" w:hAnsi="Times New Roman" w:cs="Times New Roman"/>
                <w:color w:val="auto"/>
                <w:sz w:val="24"/>
              </w:rPr>
              <w:t>项评价设置情况</w:t>
            </w:r>
          </w:p>
        </w:tc>
        <w:tc>
          <w:tcPr>
            <w:tcW w:w="8605" w:type="dxa"/>
            <w:gridSpan w:val="5"/>
            <w:tcMar>
              <w:top w:w="16" w:type="dxa"/>
              <w:left w:w="16" w:type="dxa"/>
              <w:right w:w="16" w:type="dxa"/>
            </w:tcMar>
            <w:vAlign w:val="center"/>
          </w:tcPr>
          <w:p>
            <w:pPr>
              <w:pStyle w:val="65"/>
              <w:keepNext w:val="0"/>
              <w:keepLines w:val="0"/>
              <w:pageBreakBefore w:val="0"/>
              <w:widowControl/>
              <w:numPr>
                <w:ilvl w:val="0"/>
                <w:numId w:val="0"/>
              </w:numPr>
              <w:kinsoku/>
              <w:wordWrap/>
              <w:overflowPunct/>
              <w:topLinePunct w:val="0"/>
              <w:autoSpaceDE w:val="0"/>
              <w:autoSpaceDN w:val="0"/>
              <w:bidi w:val="0"/>
              <w:adjustRightInd w:val="0"/>
              <w:snapToGrid w:val="0"/>
              <w:spacing w:line="360" w:lineRule="auto"/>
              <w:ind w:leftChars="0" w:firstLine="480" w:firstLineChars="200"/>
              <w:jc w:val="left"/>
              <w:textAlignment w:val="auto"/>
              <w:rPr>
                <w:rFonts w:hint="default" w:ascii="Times New Roman" w:hAnsi="Times New Roman" w:cs="Times New Roman"/>
                <w:b/>
                <w:color w:val="auto"/>
                <w:szCs w:val="21"/>
              </w:rPr>
            </w:pPr>
            <w:r>
              <w:rPr>
                <w:rFonts w:hint="default" w:ascii="Times New Roman" w:hAnsi="Times New Roman" w:cs="Times New Roman"/>
                <w:bCs/>
                <w:color w:val="auto"/>
                <w:sz w:val="24"/>
              </w:rPr>
              <w:t>本项目专项评价设置情况判断见下表：</w:t>
            </w:r>
          </w:p>
          <w:p>
            <w:pPr>
              <w:pStyle w:val="65"/>
              <w:numPr>
                <w:ilvl w:val="0"/>
                <w:numId w:val="6"/>
              </w:numPr>
              <w:autoSpaceDE w:val="0"/>
              <w:autoSpaceDN w:val="0"/>
              <w:adjustRightInd w:val="0"/>
              <w:snapToGrid w:val="0"/>
              <w:ind w:left="0" w:firstLine="0"/>
              <w:rPr>
                <w:rFonts w:hint="default" w:ascii="Times New Roman" w:hAnsi="Times New Roman" w:cs="Times New Roman"/>
                <w:b/>
                <w:color w:val="auto"/>
                <w:szCs w:val="21"/>
              </w:rPr>
            </w:pPr>
            <w:r>
              <w:rPr>
                <w:rFonts w:hint="default" w:ascii="Times New Roman" w:hAnsi="Times New Roman" w:cs="Times New Roman"/>
                <w:b/>
                <w:color w:val="auto"/>
                <w:szCs w:val="21"/>
              </w:rPr>
              <w:t>项目</w:t>
            </w:r>
            <w:r>
              <w:rPr>
                <w:rFonts w:hint="eastAsia" w:ascii="Times New Roman" w:hAnsi="Times New Roman" w:cs="Times New Roman"/>
                <w:b/>
                <w:color w:val="auto"/>
                <w:szCs w:val="21"/>
                <w:lang w:val="en-US" w:eastAsia="zh-CN"/>
              </w:rPr>
              <w:t>专项设置情况一览表</w:t>
            </w:r>
          </w:p>
          <w:tbl>
            <w:tblPr>
              <w:tblStyle w:val="3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4869"/>
              <w:gridCol w:w="1718"/>
              <w:gridCol w:w="8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1" w:type="dxa"/>
                  <w:tcBorders>
                    <w:top w:val="single" w:color="auto" w:sz="12" w:space="0"/>
                  </w:tcBorders>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专项评价的类别</w:t>
                  </w:r>
                </w:p>
              </w:tc>
              <w:tc>
                <w:tcPr>
                  <w:tcW w:w="4869" w:type="dxa"/>
                  <w:tcBorders>
                    <w:top w:val="single" w:color="auto" w:sz="12" w:space="0"/>
                  </w:tcBorders>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涉及项目类别</w:t>
                  </w:r>
                </w:p>
              </w:tc>
              <w:tc>
                <w:tcPr>
                  <w:tcW w:w="1718" w:type="dxa"/>
                  <w:tcBorders>
                    <w:top w:val="single" w:color="auto" w:sz="12" w:space="0"/>
                  </w:tcBorders>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本项目情况</w:t>
                  </w:r>
                </w:p>
              </w:tc>
              <w:tc>
                <w:tcPr>
                  <w:tcW w:w="865" w:type="dxa"/>
                  <w:tcBorders>
                    <w:top w:val="single" w:color="auto" w:sz="12" w:space="0"/>
                  </w:tcBorders>
                  <w:vAlign w:val="center"/>
                </w:tcPr>
                <w:p>
                  <w:pPr>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是否设置专项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1"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地表水</w:t>
                  </w:r>
                </w:p>
              </w:tc>
              <w:tc>
                <w:tcPr>
                  <w:tcW w:w="4869" w:type="dxa"/>
                  <w:vAlign w:val="center"/>
                </w:tcPr>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水力发电：</w:t>
                  </w:r>
                  <w:r>
                    <w:rPr>
                      <w:rFonts w:hint="default" w:ascii="Times New Roman" w:hAnsi="Times New Roman" w:cs="Times New Roman"/>
                      <w:color w:val="auto"/>
                      <w:kern w:val="0"/>
                      <w:szCs w:val="21"/>
                    </w:rPr>
                    <w:t>引水式发电、涉及调峰发电的项目；</w:t>
                  </w:r>
                </w:p>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人工湖、人工湿地：</w:t>
                  </w:r>
                  <w:r>
                    <w:rPr>
                      <w:rFonts w:hint="default" w:ascii="Times New Roman" w:hAnsi="Times New Roman" w:cs="Times New Roman"/>
                      <w:color w:val="auto"/>
                      <w:kern w:val="0"/>
                      <w:szCs w:val="21"/>
                    </w:rPr>
                    <w:t>全部；</w:t>
                  </w:r>
                </w:p>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水库：</w:t>
                  </w:r>
                  <w:r>
                    <w:rPr>
                      <w:rFonts w:hint="default" w:ascii="Times New Roman" w:hAnsi="Times New Roman" w:cs="Times New Roman"/>
                      <w:color w:val="auto"/>
                      <w:kern w:val="0"/>
                      <w:szCs w:val="21"/>
                    </w:rPr>
                    <w:t>全部；</w:t>
                  </w:r>
                </w:p>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引水工程：</w:t>
                  </w:r>
                  <w:r>
                    <w:rPr>
                      <w:rFonts w:hint="default" w:ascii="Times New Roman" w:hAnsi="Times New Roman" w:cs="Times New Roman"/>
                      <w:color w:val="auto"/>
                      <w:kern w:val="0"/>
                      <w:szCs w:val="21"/>
                    </w:rPr>
                    <w:t>全部（配套的管线工程等除外）</w:t>
                  </w:r>
                </w:p>
                <w:p>
                  <w:pPr>
                    <w:keepNext w:val="0"/>
                    <w:keepLines w:val="0"/>
                    <w:pageBreakBefore w:val="0"/>
                    <w:kinsoku/>
                    <w:wordWrap/>
                    <w:overflowPunct/>
                    <w:topLinePunct w:val="0"/>
                    <w:autoSpaceDE w:val="0"/>
                    <w:autoSpaceDN w:val="0"/>
                    <w:bidi w:val="0"/>
                    <w:adjustRightInd w:val="0"/>
                    <w:snapToGrid/>
                    <w:spacing w:line="24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color w:val="auto"/>
                      <w:kern w:val="0"/>
                      <w:szCs w:val="21"/>
                      <w:lang w:eastAsia="zh-CN"/>
                    </w:rPr>
                    <w:t>防洪治理</w:t>
                  </w:r>
                  <w:r>
                    <w:rPr>
                      <w:rFonts w:hint="default" w:ascii="Times New Roman" w:hAnsi="Times New Roman" w:cs="Times New Roman"/>
                      <w:b/>
                      <w:color w:val="auto"/>
                      <w:kern w:val="0"/>
                      <w:szCs w:val="21"/>
                    </w:rPr>
                    <w:t>工程：</w:t>
                  </w:r>
                  <w:r>
                    <w:rPr>
                      <w:rFonts w:hint="default" w:ascii="Times New Roman" w:hAnsi="Times New Roman" w:cs="Times New Roman"/>
                      <w:color w:val="auto"/>
                      <w:kern w:val="0"/>
                      <w:szCs w:val="21"/>
                    </w:rPr>
                    <w:t>包含水库的项目；</w:t>
                  </w:r>
                </w:p>
                <w:p>
                  <w:pPr>
                    <w:keepNext w:val="0"/>
                    <w:keepLines w:val="0"/>
                    <w:pageBreakBefore w:val="0"/>
                    <w:widowControl/>
                    <w:kinsoku/>
                    <w:wordWrap/>
                    <w:overflowPunct/>
                    <w:topLinePunct w:val="0"/>
                    <w:bidi w:val="0"/>
                    <w:snapToGrid/>
                    <w:spacing w:line="240" w:lineRule="auto"/>
                    <w:jc w:val="left"/>
                    <w:textAlignment w:val="auto"/>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河湖整治：</w:t>
                  </w:r>
                  <w:r>
                    <w:rPr>
                      <w:rFonts w:hint="default" w:ascii="Times New Roman" w:hAnsi="Times New Roman" w:cs="Times New Roman"/>
                      <w:color w:val="auto"/>
                      <w:kern w:val="0"/>
                      <w:szCs w:val="21"/>
                    </w:rPr>
                    <w:t>涉及清淤且底泥存在重金属污染的项目</w:t>
                  </w:r>
                </w:p>
              </w:tc>
              <w:tc>
                <w:tcPr>
                  <w:tcW w:w="1718"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为防洪治理工程，不包含水库</w:t>
                  </w:r>
                  <w:r>
                    <w:rPr>
                      <w:rFonts w:hint="default" w:ascii="Times New Roman" w:hAnsi="Times New Roman" w:cs="Times New Roman"/>
                      <w:color w:val="auto"/>
                      <w:kern w:val="0"/>
                      <w:szCs w:val="21"/>
                    </w:rPr>
                    <w:t>。</w:t>
                  </w:r>
                </w:p>
              </w:tc>
              <w:tc>
                <w:tcPr>
                  <w:tcW w:w="865"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1"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地下水</w:t>
                  </w:r>
                </w:p>
              </w:tc>
              <w:tc>
                <w:tcPr>
                  <w:tcW w:w="4869" w:type="dxa"/>
                  <w:vAlign w:val="center"/>
                </w:tcPr>
                <w:p>
                  <w:pPr>
                    <w:autoSpaceDE w:val="0"/>
                    <w:autoSpaceDN w:val="0"/>
                    <w:adjustRightInd w:val="0"/>
                    <w:spacing w:before="24" w:beforeLines="10" w:after="24" w:afterLines="1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陆地石油和天然气开采：</w:t>
                  </w:r>
                  <w:r>
                    <w:rPr>
                      <w:rFonts w:hint="default" w:ascii="Times New Roman" w:hAnsi="Times New Roman" w:cs="Times New Roman"/>
                      <w:color w:val="auto"/>
                      <w:kern w:val="0"/>
                      <w:szCs w:val="21"/>
                    </w:rPr>
                    <w:t>全部；</w:t>
                  </w:r>
                </w:p>
                <w:p>
                  <w:pPr>
                    <w:autoSpaceDE w:val="0"/>
                    <w:autoSpaceDN w:val="0"/>
                    <w:adjustRightInd w:val="0"/>
                    <w:spacing w:before="24" w:beforeLines="10" w:after="24" w:afterLines="10"/>
                    <w:jc w:val="left"/>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地下水（含矿泉水）开采：</w:t>
                  </w:r>
                  <w:r>
                    <w:rPr>
                      <w:rFonts w:hint="default" w:ascii="Times New Roman" w:hAnsi="Times New Roman" w:cs="Times New Roman"/>
                      <w:color w:val="auto"/>
                      <w:kern w:val="0"/>
                      <w:szCs w:val="21"/>
                    </w:rPr>
                    <w:t>全部；</w:t>
                  </w:r>
                </w:p>
                <w:p>
                  <w:pPr>
                    <w:widowControl/>
                    <w:jc w:val="left"/>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水利、水电、交通等：</w:t>
                  </w:r>
                  <w:r>
                    <w:rPr>
                      <w:rFonts w:hint="default" w:ascii="Times New Roman" w:hAnsi="Times New Roman" w:cs="Times New Roman"/>
                      <w:color w:val="auto"/>
                      <w:kern w:val="0"/>
                      <w:szCs w:val="21"/>
                    </w:rPr>
                    <w:t>含穿越可溶岩地层隧道的项目</w:t>
                  </w:r>
                </w:p>
              </w:tc>
              <w:tc>
                <w:tcPr>
                  <w:tcW w:w="1718" w:type="dxa"/>
                  <w:vAlign w:val="center"/>
                </w:tcPr>
                <w:p>
                  <w:pPr>
                    <w:jc w:val="center"/>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本项目不涉及</w:t>
                  </w:r>
                  <w:r>
                    <w:rPr>
                      <w:rFonts w:hint="eastAsia" w:cs="Times New Roman"/>
                      <w:color w:val="auto"/>
                      <w:kern w:val="0"/>
                      <w:szCs w:val="21"/>
                      <w:lang w:eastAsia="zh-CN"/>
                    </w:rPr>
                    <w:t>。</w:t>
                  </w:r>
                </w:p>
              </w:tc>
              <w:tc>
                <w:tcPr>
                  <w:tcW w:w="865"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1" w:type="dxa"/>
                  <w:vAlign w:val="center"/>
                </w:tcPr>
                <w:p>
                  <w:pPr>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生态</w:t>
                  </w:r>
                </w:p>
              </w:tc>
              <w:tc>
                <w:tcPr>
                  <w:tcW w:w="4869" w:type="dxa"/>
                  <w:vAlign w:val="center"/>
                </w:tcPr>
                <w:p>
                  <w:pPr>
                    <w:widowControl/>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涉及环境敏感区的（不包括饮用水水源保护区，以居住、医疗卫生、文化教育、科研、行政办公为主要功能的区域，以及文物保护单位）的项目</w:t>
                  </w:r>
                </w:p>
              </w:tc>
              <w:tc>
                <w:tcPr>
                  <w:tcW w:w="1718" w:type="dxa"/>
                  <w:vAlign w:val="center"/>
                </w:tcPr>
                <w:p>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rPr>
                    <w:t>本项目</w:t>
                  </w:r>
                  <w:r>
                    <w:rPr>
                      <w:rFonts w:hint="default" w:ascii="Times New Roman" w:hAnsi="Times New Roman" w:cs="Times New Roman"/>
                      <w:color w:val="auto"/>
                      <w:kern w:val="0"/>
                      <w:szCs w:val="21"/>
                      <w:highlight w:val="none"/>
                      <w:u w:val="none"/>
                      <w:lang w:val="en-US" w:eastAsia="zh-CN"/>
                    </w:rPr>
                    <w:t>不涉及环境敏感区</w:t>
                  </w:r>
                  <w:r>
                    <w:rPr>
                      <w:rFonts w:hint="eastAsia" w:cs="Times New Roman"/>
                      <w:color w:val="auto"/>
                      <w:kern w:val="0"/>
                      <w:szCs w:val="21"/>
                      <w:highlight w:val="none"/>
                      <w:u w:val="none"/>
                      <w:lang w:val="en-US" w:eastAsia="zh-CN"/>
                    </w:rPr>
                    <w:t>。</w:t>
                  </w:r>
                </w:p>
              </w:tc>
              <w:tc>
                <w:tcPr>
                  <w:tcW w:w="865" w:type="dxa"/>
                  <w:vAlign w:val="center"/>
                </w:tcPr>
                <w:p>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val="en-US" w:eastAsia="zh-CN"/>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1"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大气</w:t>
                  </w:r>
                </w:p>
              </w:tc>
              <w:tc>
                <w:tcPr>
                  <w:tcW w:w="4869" w:type="dxa"/>
                  <w:vAlign w:val="center"/>
                </w:tcPr>
                <w:p>
                  <w:pPr>
                    <w:autoSpaceDE w:val="0"/>
                    <w:autoSpaceDN w:val="0"/>
                    <w:adjustRightInd w:val="0"/>
                    <w:spacing w:before="24" w:beforeLines="10" w:after="24" w:afterLines="1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油气、液体化工码头：</w:t>
                  </w:r>
                  <w:r>
                    <w:rPr>
                      <w:rFonts w:hint="default" w:ascii="Times New Roman" w:hAnsi="Times New Roman" w:cs="Times New Roman"/>
                      <w:color w:val="auto"/>
                      <w:kern w:val="0"/>
                      <w:szCs w:val="21"/>
                    </w:rPr>
                    <w:t>全部；</w:t>
                  </w:r>
                </w:p>
                <w:p>
                  <w:pPr>
                    <w:widowControl/>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干散货（含煤炭、矿石）、件杂、多用途、通用码头：</w:t>
                  </w:r>
                  <w:r>
                    <w:rPr>
                      <w:rFonts w:hint="default" w:ascii="Times New Roman" w:hAnsi="Times New Roman" w:cs="Times New Roman"/>
                      <w:color w:val="auto"/>
                      <w:kern w:val="0"/>
                      <w:szCs w:val="21"/>
                    </w:rPr>
                    <w:t>涉及粉尘、挥发性有机物排放的项目</w:t>
                  </w:r>
                </w:p>
              </w:tc>
              <w:tc>
                <w:tcPr>
                  <w:tcW w:w="1718"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w:t>
                  </w:r>
                </w:p>
              </w:tc>
              <w:tc>
                <w:tcPr>
                  <w:tcW w:w="865" w:type="dxa"/>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1" w:type="dxa"/>
                  <w:tcBorders>
                    <w:bottom w:val="single" w:color="auto" w:sz="4" w:space="0"/>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w:t>
                  </w:r>
                </w:p>
              </w:tc>
              <w:tc>
                <w:tcPr>
                  <w:tcW w:w="4869" w:type="dxa"/>
                  <w:tcBorders>
                    <w:bottom w:val="single" w:color="auto" w:sz="4" w:space="0"/>
                  </w:tcBorders>
                  <w:vAlign w:val="center"/>
                </w:tcPr>
                <w:p>
                  <w:pPr>
                    <w:autoSpaceDE w:val="0"/>
                    <w:autoSpaceDN w:val="0"/>
                    <w:adjustRightInd w:val="0"/>
                    <w:spacing w:before="24" w:beforeLines="10" w:after="24" w:afterLines="1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公路、铁路、机场等交通运输业涉及环境敏感区（以居住、医疗卫生、文化教育、科研、行政办公为主要功能的区域）；</w:t>
                  </w:r>
                </w:p>
                <w:p>
                  <w:pPr>
                    <w:widowControl/>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城市道路（不含维护，不含支路、人行天桥、人行地道）：</w:t>
                  </w:r>
                  <w:r>
                    <w:rPr>
                      <w:rFonts w:hint="default" w:ascii="Times New Roman" w:hAnsi="Times New Roman" w:cs="Times New Roman"/>
                      <w:color w:val="auto"/>
                      <w:kern w:val="0"/>
                      <w:szCs w:val="21"/>
                    </w:rPr>
                    <w:t>全部</w:t>
                  </w:r>
                </w:p>
              </w:tc>
              <w:tc>
                <w:tcPr>
                  <w:tcW w:w="1718" w:type="dxa"/>
                  <w:tcBorders>
                    <w:bottom w:val="single" w:color="auto" w:sz="4" w:space="0"/>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eastAsia" w:cs="Times New Roman"/>
                      <w:color w:val="auto"/>
                      <w:kern w:val="0"/>
                      <w:szCs w:val="21"/>
                      <w:lang w:val="en-US" w:eastAsia="zh-CN"/>
                    </w:rPr>
                    <w:t>不涉及</w:t>
                  </w:r>
                  <w:r>
                    <w:rPr>
                      <w:rFonts w:hint="default" w:ascii="Times New Roman" w:hAnsi="Times New Roman" w:cs="Times New Roman"/>
                      <w:color w:val="auto"/>
                      <w:kern w:val="0"/>
                      <w:szCs w:val="21"/>
                    </w:rPr>
                    <w:t>。</w:t>
                  </w:r>
                </w:p>
              </w:tc>
              <w:tc>
                <w:tcPr>
                  <w:tcW w:w="865" w:type="dxa"/>
                  <w:tcBorders>
                    <w:bottom w:val="single" w:color="auto" w:sz="4" w:space="0"/>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21" w:type="dxa"/>
                  <w:tcBorders>
                    <w:bottom w:val="single" w:color="auto" w:sz="12" w:space="0"/>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环境风险</w:t>
                  </w:r>
                </w:p>
              </w:tc>
              <w:tc>
                <w:tcPr>
                  <w:tcW w:w="4869" w:type="dxa"/>
                  <w:tcBorders>
                    <w:bottom w:val="single" w:color="auto" w:sz="12" w:space="0"/>
                  </w:tcBorders>
                  <w:vAlign w:val="center"/>
                </w:tcPr>
                <w:p>
                  <w:pPr>
                    <w:autoSpaceDE w:val="0"/>
                    <w:autoSpaceDN w:val="0"/>
                    <w:adjustRightInd w:val="0"/>
                    <w:spacing w:before="24" w:beforeLines="10" w:after="24" w:afterLines="1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石油和天然气开采：</w:t>
                  </w:r>
                  <w:r>
                    <w:rPr>
                      <w:rFonts w:hint="default" w:ascii="Times New Roman" w:hAnsi="Times New Roman" w:cs="Times New Roman"/>
                      <w:color w:val="auto"/>
                      <w:kern w:val="0"/>
                      <w:szCs w:val="21"/>
                    </w:rPr>
                    <w:t>全部；</w:t>
                  </w:r>
                </w:p>
                <w:p>
                  <w:pPr>
                    <w:autoSpaceDE w:val="0"/>
                    <w:autoSpaceDN w:val="0"/>
                    <w:adjustRightInd w:val="0"/>
                    <w:spacing w:before="24" w:beforeLines="10" w:after="24" w:afterLines="10"/>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油气、液体化工码头：</w:t>
                  </w:r>
                  <w:r>
                    <w:rPr>
                      <w:rFonts w:hint="default" w:ascii="Times New Roman" w:hAnsi="Times New Roman" w:cs="Times New Roman"/>
                      <w:color w:val="auto"/>
                      <w:kern w:val="0"/>
                      <w:szCs w:val="21"/>
                    </w:rPr>
                    <w:t>全部；</w:t>
                  </w:r>
                </w:p>
                <w:p>
                  <w:pPr>
                    <w:widowControl/>
                    <w:rPr>
                      <w:rFonts w:hint="default" w:ascii="Times New Roman" w:hAnsi="Times New Roman" w:cs="Times New Roman"/>
                      <w:color w:val="auto"/>
                      <w:kern w:val="0"/>
                      <w:szCs w:val="21"/>
                    </w:rPr>
                  </w:pPr>
                  <w:r>
                    <w:rPr>
                      <w:rFonts w:hint="default" w:ascii="Times New Roman" w:hAnsi="Times New Roman" w:cs="Times New Roman"/>
                      <w:b/>
                      <w:color w:val="auto"/>
                      <w:kern w:val="0"/>
                      <w:szCs w:val="21"/>
                    </w:rPr>
                    <w:t>原油、成品油、天然气管线（不含城镇天然气管线、企业厂区内管线），危险化学品输送管线（不含企业厂区内管线）：</w:t>
                  </w:r>
                  <w:r>
                    <w:rPr>
                      <w:rFonts w:hint="default" w:ascii="Times New Roman" w:hAnsi="Times New Roman" w:cs="Times New Roman"/>
                      <w:color w:val="auto"/>
                      <w:kern w:val="0"/>
                      <w:szCs w:val="21"/>
                    </w:rPr>
                    <w:t>全部</w:t>
                  </w:r>
                </w:p>
              </w:tc>
              <w:tc>
                <w:tcPr>
                  <w:tcW w:w="1718" w:type="dxa"/>
                  <w:tcBorders>
                    <w:bottom w:val="single" w:color="auto" w:sz="12" w:space="0"/>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w:t>
                  </w:r>
                </w:p>
              </w:tc>
              <w:tc>
                <w:tcPr>
                  <w:tcW w:w="865" w:type="dxa"/>
                  <w:tcBorders>
                    <w:bottom w:val="single" w:color="auto" w:sz="12" w:space="0"/>
                  </w:tcBorders>
                  <w:vAlign w:val="center"/>
                </w:tcPr>
                <w:p>
                  <w:pPr>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否</w:t>
                  </w:r>
                </w:p>
              </w:tc>
            </w:tr>
          </w:tbl>
          <w:p>
            <w:pPr>
              <w:adjustRightInd w:val="0"/>
              <w:snapToGrid w:val="0"/>
              <w:spacing w:line="360" w:lineRule="auto"/>
              <w:ind w:firstLine="480" w:firstLineChars="200"/>
              <w:rPr>
                <w:rFonts w:hint="default" w:ascii="Times New Roman" w:hAnsi="Times New Roman" w:eastAsia="宋体" w:cs="Times New Roman"/>
                <w:color w:val="FF0000"/>
                <w:kern w:val="0"/>
                <w:sz w:val="24"/>
                <w:lang w:eastAsia="zh-CN"/>
              </w:rPr>
            </w:pPr>
            <w:r>
              <w:rPr>
                <w:rFonts w:hint="default" w:ascii="Times New Roman" w:hAnsi="Times New Roman" w:cs="Times New Roman"/>
                <w:bCs/>
                <w:color w:val="auto"/>
                <w:sz w:val="24"/>
                <w:highlight w:val="none"/>
              </w:rPr>
              <w:t>综上分析，本项目</w:t>
            </w:r>
            <w:r>
              <w:rPr>
                <w:rFonts w:hint="default" w:ascii="Times New Roman" w:hAnsi="Times New Roman" w:cs="Times New Roman"/>
                <w:bCs/>
                <w:color w:val="auto"/>
                <w:sz w:val="24"/>
                <w:highlight w:val="none"/>
                <w:lang w:val="en-US" w:eastAsia="zh-CN"/>
              </w:rPr>
              <w:t>无需</w:t>
            </w:r>
            <w:r>
              <w:rPr>
                <w:rFonts w:hint="default" w:ascii="Times New Roman" w:hAnsi="Times New Roman" w:cs="Times New Roman"/>
                <w:bCs/>
                <w:color w:val="auto"/>
                <w:sz w:val="24"/>
                <w:highlight w:val="none"/>
              </w:rPr>
              <w:t>设置专项评价</w:t>
            </w:r>
            <w:r>
              <w:rPr>
                <w:rFonts w:hint="default" w:ascii="Times New Roman" w:hAnsi="Times New Roman" w:cs="Times New Roman"/>
                <w:bCs/>
                <w:color w:val="auto"/>
                <w:sz w:val="24"/>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65" w:hRule="atLeast"/>
        </w:trPr>
        <w:tc>
          <w:tcPr>
            <w:tcW w:w="1109"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规划情况</w:t>
            </w:r>
          </w:p>
        </w:tc>
        <w:tc>
          <w:tcPr>
            <w:tcW w:w="8605" w:type="dxa"/>
            <w:gridSpan w:val="5"/>
            <w:tcMar>
              <w:top w:w="16" w:type="dxa"/>
              <w:left w:w="16" w:type="dxa"/>
              <w:right w:w="16" w:type="dxa"/>
            </w:tcMar>
            <w:vAlign w:val="center"/>
          </w:tcPr>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《四川省涪江流域综合规划》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召集审查机关：四川省人民政府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sz w:val="24"/>
                <w:szCs w:val="24"/>
              </w:rPr>
              <w:t>审查文件名称及文号：《四川省人民政府关于四川省涪江流域综合规划的批复（川 府函[2013]204号）</w:t>
            </w:r>
          </w:p>
          <w:p>
            <w:pPr>
              <w:keepNext w:val="0"/>
              <w:keepLines w:val="0"/>
              <w:pageBreakBefore w:val="0"/>
              <w:widowControl w:val="0"/>
              <w:numPr>
                <w:ilvl w:val="0"/>
                <w:numId w:val="7"/>
              </w:numPr>
              <w:kinsoku/>
              <w:wordWrap/>
              <w:overflowPunct/>
              <w:topLinePunct w:val="0"/>
              <w:autoSpaceDE/>
              <w:autoSpaceDN/>
              <w:bidi w:val="0"/>
              <w:adjustRightInd w:val="0"/>
              <w:snapToGrid w:val="0"/>
              <w:spacing w:line="360" w:lineRule="auto"/>
              <w:ind w:left="0" w:leftChars="0" w:firstLine="0" w:firstLineChars="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eastAsia" w:ascii="宋体" w:hAnsi="宋体" w:eastAsia="宋体" w:cs="宋体"/>
                <w:color w:val="auto"/>
                <w:sz w:val="24"/>
                <w:szCs w:val="24"/>
                <w:lang w:val="en-US" w:eastAsia="zh-CN"/>
              </w:rPr>
              <w:t>遂宁市</w:t>
            </w:r>
            <w:r>
              <w:rPr>
                <w:rFonts w:hint="eastAsia" w:ascii="宋体" w:hAnsi="宋体" w:eastAsia="宋体" w:cs="宋体"/>
                <w:color w:val="auto"/>
                <w:sz w:val="24"/>
                <w:szCs w:val="24"/>
              </w:rPr>
              <w:t>“十四五”水</w:t>
            </w:r>
            <w:r>
              <w:rPr>
                <w:rFonts w:hint="default" w:ascii="Times New Roman" w:hAnsi="Times New Roman" w:eastAsia="宋体" w:cs="Times New Roman"/>
                <w:color w:val="auto"/>
                <w:sz w:val="24"/>
                <w:szCs w:val="24"/>
              </w:rPr>
              <w:t>安全保障规划》</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召集审查机关：</w:t>
            </w:r>
            <w:r>
              <w:rPr>
                <w:rFonts w:hint="eastAsia" w:cs="Times New Roman"/>
                <w:sz w:val="24"/>
                <w:szCs w:val="24"/>
                <w:lang w:val="en-US" w:eastAsia="zh-CN"/>
              </w:rPr>
              <w:t>遂宁市</w:t>
            </w:r>
            <w:r>
              <w:rPr>
                <w:rFonts w:hint="default" w:ascii="Times New Roman" w:hAnsi="Times New Roman" w:eastAsia="宋体" w:cs="Times New Roman"/>
                <w:sz w:val="24"/>
                <w:szCs w:val="24"/>
              </w:rPr>
              <w:t>人民政府</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int="eastAsia" w:ascii="Times New Roman" w:hAnsi="Times New Roman" w:eastAsia="宋体" w:cs="Times New Roman"/>
                <w:b/>
                <w:color w:val="auto"/>
                <w:sz w:val="24"/>
                <w:lang w:val="en-US" w:eastAsia="zh-CN"/>
              </w:rPr>
            </w:pPr>
            <w:r>
              <w:rPr>
                <w:rFonts w:hint="default" w:ascii="Times New Roman" w:hAnsi="Times New Roman" w:eastAsia="宋体" w:cs="Times New Roman"/>
                <w:sz w:val="24"/>
                <w:szCs w:val="24"/>
              </w:rPr>
              <w:t>审查文件名称及文号：遂宁市人民政府办公室关于印发《遂宁</w:t>
            </w:r>
            <w:r>
              <w:rPr>
                <w:rFonts w:hint="eastAsia" w:ascii="宋体" w:hAnsi="宋体" w:eastAsia="宋体" w:cs="宋体"/>
                <w:sz w:val="24"/>
                <w:szCs w:val="24"/>
              </w:rPr>
              <w:t>市“十四五”</w:t>
            </w:r>
            <w:r>
              <w:rPr>
                <w:rFonts w:hint="default" w:ascii="Times New Roman" w:hAnsi="Times New Roman" w:eastAsia="宋体" w:cs="Times New Roman"/>
                <w:sz w:val="24"/>
                <w:szCs w:val="24"/>
              </w:rPr>
              <w:t>水安全保障规划》的通知</w:t>
            </w:r>
            <w:r>
              <w:rPr>
                <w:rFonts w:hint="default" w:ascii="Times New Roman" w:hAnsi="Times New Roman" w:eastAsia="宋体" w:cs="Times New Roman"/>
                <w:color w:val="auto"/>
                <w:sz w:val="24"/>
                <w:szCs w:val="24"/>
              </w:rPr>
              <w:t>（遂府办函〔2021〕45号）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109"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auto"/>
                <w:sz w:val="24"/>
              </w:rPr>
            </w:pPr>
            <w:r>
              <w:rPr>
                <w:color w:val="auto"/>
                <w:sz w:val="24"/>
              </w:rPr>
              <w:t>规划环境影响评价情况</w:t>
            </w:r>
          </w:p>
        </w:tc>
        <w:tc>
          <w:tcPr>
            <w:tcW w:w="8605" w:type="dxa"/>
            <w:gridSpan w:val="5"/>
            <w:tcMar>
              <w:top w:w="16" w:type="dxa"/>
              <w:left w:w="16" w:type="dxa"/>
              <w:right w:w="16" w:type="dxa"/>
            </w:tcMar>
            <w:vAlign w:val="center"/>
          </w:tcPr>
          <w:p>
            <w:pPr>
              <w:adjustRightInd w:val="0"/>
              <w:snapToGrid w:val="0"/>
              <w:spacing w:line="360" w:lineRule="auto"/>
              <w:jc w:val="both"/>
              <w:rPr>
                <w:rFonts w:ascii="宋体" w:hAnsi="宋体" w:eastAsia="宋体" w:cs="宋体"/>
                <w:color w:val="auto"/>
                <w:sz w:val="24"/>
                <w:szCs w:val="24"/>
              </w:rPr>
            </w:pPr>
            <w:r>
              <w:rPr>
                <w:rFonts w:ascii="宋体" w:hAnsi="宋体" w:eastAsia="宋体" w:cs="宋体"/>
                <w:color w:val="auto"/>
                <w:sz w:val="24"/>
                <w:szCs w:val="24"/>
              </w:rPr>
              <w:t>规划环评名称：《四川省涪江流域综合规划环境影响报告书》</w:t>
            </w:r>
          </w:p>
          <w:p>
            <w:pPr>
              <w:adjustRightInd w:val="0"/>
              <w:snapToGrid w:val="0"/>
              <w:spacing w:line="360" w:lineRule="auto"/>
              <w:jc w:val="both"/>
              <w:rPr>
                <w:rFonts w:ascii="宋体" w:hAnsi="宋体" w:eastAsia="宋体" w:cs="宋体"/>
                <w:color w:val="auto"/>
                <w:sz w:val="24"/>
                <w:szCs w:val="24"/>
              </w:rPr>
            </w:pPr>
            <w:r>
              <w:rPr>
                <w:rFonts w:ascii="宋体" w:hAnsi="宋体" w:eastAsia="宋体" w:cs="宋体"/>
                <w:color w:val="auto"/>
                <w:sz w:val="24"/>
                <w:szCs w:val="24"/>
              </w:rPr>
              <w:t>召集审查机关：四川省生态环境厅</w:t>
            </w:r>
          </w:p>
          <w:p>
            <w:pPr>
              <w:adjustRightInd w:val="0"/>
              <w:snapToGrid w:val="0"/>
              <w:spacing w:line="360" w:lineRule="auto"/>
              <w:jc w:val="both"/>
              <w:rPr>
                <w:rFonts w:hint="default" w:ascii="Times New Roman" w:hAnsi="Times New Roman" w:cs="Times New Roman"/>
                <w:color w:val="auto"/>
                <w:kern w:val="0"/>
                <w:szCs w:val="21"/>
              </w:rPr>
            </w:pPr>
            <w:r>
              <w:rPr>
                <w:rFonts w:ascii="宋体" w:hAnsi="宋体" w:eastAsia="宋体" w:cs="宋体"/>
                <w:color w:val="auto"/>
                <w:sz w:val="24"/>
                <w:szCs w:val="24"/>
              </w:rPr>
              <w:t>审查文件名称及文号：《四川省生态环境厅关于&lt;四川省涪江流域综合规划环境影 响报告书&gt;审查意见的函（川</w:t>
            </w:r>
            <w:r>
              <w:rPr>
                <w:rFonts w:hint="default" w:ascii="Times New Roman" w:hAnsi="Times New Roman" w:eastAsia="宋体" w:cs="Times New Roman"/>
                <w:color w:val="auto"/>
                <w:sz w:val="24"/>
                <w:szCs w:val="24"/>
              </w:rPr>
              <w:t>环建函[2020]56号）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109"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FF0000"/>
                <w:sz w:val="24"/>
              </w:rPr>
            </w:pPr>
            <w:r>
              <w:rPr>
                <w:rFonts w:hint="default" w:ascii="Times New Roman" w:hAnsi="Times New Roman" w:cs="Times New Roman"/>
                <w:color w:val="000000" w:themeColor="text1"/>
                <w:sz w:val="24"/>
                <w14:textFill>
                  <w14:solidFill>
                    <w14:schemeClr w14:val="tx1"/>
                  </w14:solidFill>
                </w14:textFill>
              </w:rPr>
              <w:t>规划及规划环境影响评价符合性分析</w:t>
            </w:r>
          </w:p>
        </w:tc>
        <w:tc>
          <w:tcPr>
            <w:tcW w:w="8605" w:type="dxa"/>
            <w:gridSpan w:val="5"/>
            <w:tcMar>
              <w:top w:w="16" w:type="dxa"/>
              <w:left w:w="16" w:type="dxa"/>
              <w:right w:w="16" w:type="dxa"/>
            </w:tcMar>
            <w:vAlign w:val="center"/>
          </w:tcPr>
          <w:p>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一</w:t>
            </w:r>
            <w:r>
              <w:rPr>
                <w:rFonts w:hint="default" w:ascii="Times New Roman" w:hAnsi="Times New Roman" w:cs="Times New Roman"/>
                <w:b/>
                <w:color w:val="auto"/>
                <w:sz w:val="24"/>
              </w:rPr>
              <w:t>、与《四川省涪江流域综合规划》符合性分析</w:t>
            </w:r>
          </w:p>
          <w:p>
            <w:pPr>
              <w:adjustRightInd w:val="0"/>
              <w:snapToGrid w:val="0"/>
              <w:spacing w:line="360" w:lineRule="auto"/>
              <w:ind w:firstLine="480" w:firstLineChars="200"/>
              <w:rPr>
                <w:rFonts w:hint="default" w:ascii="Times New Roman" w:hAnsi="Times New Roman" w:cs="Times New Roman"/>
                <w:bCs/>
                <w:color w:val="auto"/>
                <w:sz w:val="24"/>
              </w:rPr>
            </w:pPr>
            <w:r>
              <w:rPr>
                <w:rFonts w:hint="eastAsia" w:ascii="宋体" w:hAnsi="宋体" w:eastAsia="宋体" w:cs="宋体"/>
                <w:bCs/>
                <w:color w:val="auto"/>
                <w:sz w:val="24"/>
              </w:rPr>
              <w:t>“涪江属</w:t>
            </w:r>
            <w:r>
              <w:rPr>
                <w:rFonts w:hint="default" w:ascii="Times New Roman" w:hAnsi="Times New Roman" w:cs="Times New Roman"/>
                <w:bCs/>
                <w:color w:val="auto"/>
                <w:sz w:val="24"/>
              </w:rPr>
              <w:t>雨洪河流，洪水来源于暴雨，涪江上游龙门山暴雨区是涪江干流洪水的主要来源。涪江暴雨多发生在7～9月，个别大暴雨在六月份出现。涪江流域地形狭长，源头至河口由北向南长675km，暴雨中心在涪江流域的分布</w:t>
            </w:r>
            <w:r>
              <w:rPr>
                <w:rFonts w:hint="eastAsia" w:ascii="宋体" w:hAnsi="宋体" w:eastAsia="宋体" w:cs="宋体"/>
                <w:bCs/>
                <w:color w:val="auto"/>
                <w:sz w:val="24"/>
              </w:rPr>
              <w:t>呈“多元化”</w:t>
            </w:r>
            <w:r>
              <w:rPr>
                <w:rFonts w:hint="default" w:ascii="Times New Roman" w:hAnsi="Times New Roman" w:cs="Times New Roman"/>
                <w:bCs/>
                <w:color w:val="auto"/>
                <w:sz w:val="24"/>
              </w:rPr>
              <w:t>，且各具特点。干流绵阳至遂宁河段主要受鹿头山暴雨区及千佛山暴雨区的交互影响，暴雨频繁、强度不一。具有历时长，笼罩范围广的特点。暴雨分析表明：干流中、下游的仓山、天仙寺、三台一带，是涪江中段的暴雨中心。</w:t>
            </w:r>
            <w:r>
              <w:rPr>
                <w:rFonts w:hint="eastAsia" w:ascii="宋体" w:hAnsi="宋体" w:eastAsia="宋体" w:cs="宋体"/>
                <w:bCs/>
                <w:color w:val="auto"/>
                <w:sz w:val="24"/>
              </w:rPr>
              <w:t>”</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根据《四川省涪江流域综合规划》（2013年7月），涪江防洪任务为</w:t>
            </w:r>
            <w:r>
              <w:rPr>
                <w:rFonts w:hint="eastAsia" w:ascii="宋体" w:hAnsi="宋体" w:eastAsia="宋体" w:cs="宋体"/>
                <w:bCs/>
                <w:color w:val="auto"/>
                <w:sz w:val="24"/>
              </w:rPr>
              <w:t>“制定和完善以堤防为基础、控制性水库为骨干、水土保持措施和非工程措施相结合的综合防洪减灾体系。”涪江防洪对象主要为“上游的绵阳市所辖平武县、江油市、绵阳市城区、三台县，中下游遂宁市所辖射洪县、遂宁市城区等沿江市县（市、区）”。防洪标准为“绵</w:t>
            </w:r>
            <w:r>
              <w:rPr>
                <w:rFonts w:hint="default" w:ascii="Times New Roman" w:hAnsi="Times New Roman" w:cs="Times New Roman"/>
                <w:bCs/>
                <w:color w:val="auto"/>
                <w:sz w:val="24"/>
              </w:rPr>
              <w:t>阳市、遂宁市城区达到50年一遇防洪标准，国家大型企业、沿江其他县级城镇达到20～50年一遇防洪标准，沿江乡镇和相对集中居民区及农田保护区达到10～20年一遇防洪标准。</w:t>
            </w:r>
            <w:r>
              <w:rPr>
                <w:rFonts w:hint="eastAsia" w:ascii="宋体" w:hAnsi="宋体" w:eastAsia="宋体" w:cs="宋体"/>
                <w:bCs/>
                <w:color w:val="auto"/>
                <w:sz w:val="24"/>
              </w:rPr>
              <w:t>”</w:t>
            </w:r>
            <w:r>
              <w:rPr>
                <w:rFonts w:hint="default" w:ascii="Times New Roman" w:hAnsi="Times New Roman" w:cs="Times New Roman"/>
                <w:bCs/>
                <w:color w:val="auto"/>
                <w:sz w:val="24"/>
              </w:rPr>
              <w:t>。</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本项目属于</w:t>
            </w:r>
            <w:r>
              <w:rPr>
                <w:rFonts w:hint="eastAsia" w:cs="Times New Roman"/>
                <w:bCs/>
                <w:color w:val="auto"/>
                <w:sz w:val="24"/>
                <w:lang w:val="en-US" w:eastAsia="zh-CN"/>
              </w:rPr>
              <w:t>蓬溪县芝溪河明月镇延长段防洪治理工程</w:t>
            </w:r>
            <w:r>
              <w:rPr>
                <w:rFonts w:hint="default" w:ascii="Times New Roman" w:hAnsi="Times New Roman" w:cs="Times New Roman"/>
                <w:bCs/>
                <w:color w:val="auto"/>
                <w:sz w:val="24"/>
              </w:rPr>
              <w:t>，</w:t>
            </w:r>
            <w:r>
              <w:rPr>
                <w:rFonts w:hint="eastAsia" w:cs="Times New Roman"/>
                <w:bCs/>
                <w:color w:val="auto"/>
                <w:sz w:val="24"/>
                <w:lang w:val="en-US" w:eastAsia="zh-CN"/>
              </w:rPr>
              <w:t>芝溪河为涪江左岸一级支流，</w:t>
            </w:r>
            <w:r>
              <w:rPr>
                <w:rFonts w:hint="default" w:ascii="Times New Roman" w:hAnsi="Times New Roman" w:cs="Times New Roman"/>
                <w:bCs/>
                <w:color w:val="auto"/>
                <w:sz w:val="24"/>
              </w:rPr>
              <w:t>主要目的是提高</w:t>
            </w:r>
            <w:r>
              <w:rPr>
                <w:rFonts w:hint="eastAsia" w:cs="Times New Roman"/>
                <w:bCs/>
                <w:color w:val="auto"/>
                <w:sz w:val="24"/>
                <w:lang w:val="en-US" w:eastAsia="zh-CN"/>
              </w:rPr>
              <w:t>明月</w:t>
            </w:r>
            <w:r>
              <w:rPr>
                <w:rFonts w:hint="default" w:ascii="Times New Roman" w:hAnsi="Times New Roman" w:cs="Times New Roman"/>
                <w:bCs/>
                <w:color w:val="auto"/>
                <w:sz w:val="24"/>
                <w:lang w:val="en-US" w:eastAsia="zh-CN"/>
              </w:rPr>
              <w:t>镇</w:t>
            </w:r>
            <w:r>
              <w:rPr>
                <w:rFonts w:hint="default" w:ascii="Times New Roman" w:hAnsi="Times New Roman" w:cs="Times New Roman"/>
                <w:bCs/>
                <w:color w:val="auto"/>
                <w:sz w:val="24"/>
              </w:rPr>
              <w:t>河道行洪能力，完善河段防洪体系，改善沿河人居环境，保护两岸人民群众的生命财产安全，</w:t>
            </w:r>
            <w:r>
              <w:rPr>
                <w:rFonts w:ascii="宋体" w:hAnsi="宋体" w:eastAsia="宋体" w:cs="宋体"/>
                <w:sz w:val="24"/>
                <w:szCs w:val="24"/>
              </w:rPr>
              <w:t>堤防洪</w:t>
            </w:r>
            <w:r>
              <w:rPr>
                <w:rFonts w:hint="default" w:ascii="Times New Roman" w:hAnsi="Times New Roman" w:eastAsia="宋体" w:cs="Times New Roman"/>
                <w:sz w:val="24"/>
                <w:szCs w:val="24"/>
              </w:rPr>
              <w:t>标准采用10年一遇</w:t>
            </w:r>
            <w:r>
              <w:rPr>
                <w:rFonts w:ascii="宋体" w:hAnsi="宋体" w:eastAsia="宋体" w:cs="宋体"/>
                <w:sz w:val="24"/>
                <w:szCs w:val="24"/>
              </w:rPr>
              <w:t>。</w:t>
            </w:r>
            <w:r>
              <w:rPr>
                <w:rFonts w:hint="default" w:ascii="Times New Roman" w:hAnsi="Times New Roman" w:cs="Times New Roman"/>
                <w:bCs/>
                <w:color w:val="auto"/>
                <w:sz w:val="24"/>
              </w:rPr>
              <w:t>故项目建设符合《四川省涪江流域综合规划》。</w:t>
            </w:r>
          </w:p>
          <w:p>
            <w:pPr>
              <w:adjustRightInd w:val="0"/>
              <w:snapToGrid w:val="0"/>
              <w:spacing w:line="360" w:lineRule="auto"/>
              <w:rPr>
                <w:rFonts w:hint="default" w:ascii="Times New Roman" w:hAnsi="Times New Roman" w:eastAsia="宋体" w:cs="Times New Roman"/>
                <w:b/>
                <w:bCs w:val="0"/>
                <w:color w:val="auto"/>
                <w:sz w:val="24"/>
                <w:lang w:val="en-US" w:eastAsia="zh-CN" w:bidi="zh-TW"/>
              </w:rPr>
            </w:pPr>
            <w:r>
              <w:rPr>
                <w:rFonts w:hint="default" w:ascii="Times New Roman" w:hAnsi="Times New Roman" w:cs="Times New Roman"/>
                <w:b/>
                <w:bCs w:val="0"/>
                <w:color w:val="auto"/>
                <w:sz w:val="24"/>
                <w:lang w:val="en-US" w:eastAsia="zh-CN"/>
              </w:rPr>
              <w:t>二</w:t>
            </w:r>
            <w:r>
              <w:rPr>
                <w:rFonts w:hint="default" w:ascii="Times New Roman" w:hAnsi="Times New Roman" w:cs="Times New Roman"/>
                <w:b/>
                <w:bCs w:val="0"/>
                <w:color w:val="auto"/>
                <w:sz w:val="24"/>
              </w:rPr>
              <w:t>、</w:t>
            </w:r>
            <w:r>
              <w:rPr>
                <w:rFonts w:hint="default" w:ascii="Times New Roman" w:hAnsi="Times New Roman" w:eastAsia="宋体" w:cs="Times New Roman"/>
                <w:b/>
                <w:bCs w:val="0"/>
                <w:color w:val="auto"/>
                <w:sz w:val="24"/>
                <w:lang w:val="en-US" w:eastAsia="zh-CN" w:bidi="zh-TW"/>
              </w:rPr>
              <w:t>与</w:t>
            </w:r>
            <w:r>
              <w:rPr>
                <w:rFonts w:hint="eastAsia"/>
                <w:b/>
                <w:bCs w:val="0"/>
                <w:color w:val="auto"/>
                <w:sz w:val="24"/>
                <w:szCs w:val="24"/>
              </w:rPr>
              <w:t>《</w:t>
            </w:r>
            <w:r>
              <w:rPr>
                <w:rFonts w:hint="eastAsia"/>
                <w:b/>
                <w:bCs w:val="0"/>
                <w:color w:val="auto"/>
                <w:sz w:val="24"/>
                <w:szCs w:val="24"/>
                <w:lang w:val="en-US" w:eastAsia="zh-CN"/>
              </w:rPr>
              <w:t>遂宁市</w:t>
            </w:r>
            <w:r>
              <w:rPr>
                <w:rFonts w:hint="eastAsia"/>
                <w:b/>
                <w:bCs w:val="0"/>
                <w:color w:val="auto"/>
                <w:sz w:val="24"/>
                <w:szCs w:val="24"/>
              </w:rPr>
              <w:t>“十四五”水安全保障规划》</w:t>
            </w:r>
            <w:r>
              <w:rPr>
                <w:rFonts w:hint="default" w:ascii="Times New Roman" w:hAnsi="Times New Roman" w:eastAsia="宋体" w:cs="Times New Roman"/>
                <w:b/>
                <w:bCs w:val="0"/>
                <w:color w:val="auto"/>
                <w:sz w:val="24"/>
                <w:lang w:val="en-US" w:eastAsia="zh-CN" w:bidi="zh-TW"/>
              </w:rPr>
              <w:t>符合性分析</w:t>
            </w:r>
          </w:p>
          <w:p>
            <w:pPr>
              <w:pStyle w:val="15"/>
              <w:numPr>
                <w:ilvl w:val="0"/>
                <w:numId w:val="0"/>
              </w:numPr>
              <w:spacing w:line="360" w:lineRule="auto"/>
              <w:ind w:firstLine="472" w:firstLineChars="200"/>
              <w:rPr>
                <w:b/>
                <w:bCs/>
                <w:color w:val="auto"/>
              </w:rPr>
            </w:pPr>
            <w:r>
              <w:rPr>
                <w:rFonts w:hint="eastAsia"/>
                <w:color w:val="auto"/>
              </w:rPr>
              <w:t>本项目与《</w:t>
            </w:r>
            <w:r>
              <w:rPr>
                <w:rFonts w:hint="eastAsia"/>
                <w:color w:val="auto"/>
                <w:lang w:val="en-US" w:eastAsia="zh-CN"/>
              </w:rPr>
              <w:t>遂宁市</w:t>
            </w:r>
            <w:r>
              <w:rPr>
                <w:rFonts w:hint="eastAsia"/>
                <w:color w:val="auto"/>
              </w:rPr>
              <w:t>“十四五”水安全保障规划》（遂府办函〔2021〕45号）符合性分析如下：</w:t>
            </w:r>
          </w:p>
          <w:p>
            <w:pPr>
              <w:pStyle w:val="65"/>
              <w:numPr>
                <w:ilvl w:val="0"/>
                <w:numId w:val="6"/>
              </w:numPr>
              <w:autoSpaceDE w:val="0"/>
              <w:autoSpaceDN w:val="0"/>
              <w:adjustRightInd w:val="0"/>
              <w:snapToGrid w:val="0"/>
              <w:ind w:left="0" w:firstLine="0"/>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与《遂宁市“十四五”水安全保障规划》的符合性分析</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4080"/>
              <w:gridCol w:w="2405"/>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9" w:type="pct"/>
                  <w:tcBorders>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文件名称</w:t>
                  </w:r>
                </w:p>
              </w:tc>
              <w:tc>
                <w:tcPr>
                  <w:tcW w:w="2380" w:type="pct"/>
                  <w:tcBorders>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相关要求</w:t>
                  </w:r>
                </w:p>
              </w:tc>
              <w:tc>
                <w:tcPr>
                  <w:tcW w:w="1403" w:type="pct"/>
                  <w:tcBorders>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本项目情况</w:t>
                  </w:r>
                </w:p>
              </w:tc>
              <w:tc>
                <w:tcPr>
                  <w:tcW w:w="516" w:type="pct"/>
                  <w:tcBorders>
                    <w:tl2br w:val="nil"/>
                    <w:tr2bl w:val="nil"/>
                  </w:tcBorders>
                  <w:vAlign w:val="center"/>
                </w:tcPr>
                <w:p>
                  <w:pPr>
                    <w:snapToGrid w:val="0"/>
                    <w:spacing w:line="240" w:lineRule="auto"/>
                    <w:ind w:firstLine="0" w:firstLineChars="0"/>
                    <w:jc w:val="center"/>
                    <w:rPr>
                      <w:b/>
                      <w:color w:val="auto"/>
                      <w:szCs w:val="21"/>
                    </w:rPr>
                  </w:pPr>
                  <w:r>
                    <w:rPr>
                      <w:rFonts w:hint="eastAsia"/>
                      <w:b/>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9" w:type="pct"/>
                  <w:tcBorders>
                    <w:bottom w:val="single" w:color="000000" w:sz="12" w:space="0"/>
                    <w:tl2br w:val="nil"/>
                    <w:tr2bl w:val="nil"/>
                  </w:tcBorders>
                  <w:vAlign w:val="center"/>
                </w:tcPr>
                <w:p>
                  <w:pPr>
                    <w:snapToGrid w:val="0"/>
                    <w:spacing w:line="240" w:lineRule="auto"/>
                    <w:ind w:firstLine="0" w:firstLineChars="0"/>
                    <w:jc w:val="center"/>
                    <w:rPr>
                      <w:color w:val="auto"/>
                      <w:spacing w:val="-2"/>
                      <w:szCs w:val="21"/>
                    </w:rPr>
                  </w:pPr>
                  <w:r>
                    <w:rPr>
                      <w:rFonts w:hint="eastAsia"/>
                      <w:color w:val="auto"/>
                      <w:spacing w:val="-2"/>
                      <w:szCs w:val="21"/>
                    </w:rPr>
                    <w:t>《遂宁市“十四五”水安全保障规划》</w:t>
                  </w:r>
                </w:p>
              </w:tc>
              <w:tc>
                <w:tcPr>
                  <w:tcW w:w="2380" w:type="pct"/>
                  <w:tcBorders>
                    <w:bottom w:val="single" w:color="000000" w:sz="12" w:space="0"/>
                    <w:tl2br w:val="nil"/>
                    <w:tr2bl w:val="nil"/>
                  </w:tcBorders>
                  <w:vAlign w:val="center"/>
                </w:tcPr>
                <w:p>
                  <w:pPr>
                    <w:snapToGrid w:val="0"/>
                    <w:spacing w:line="240" w:lineRule="auto"/>
                    <w:ind w:firstLine="0" w:firstLineChars="0"/>
                    <w:jc w:val="center"/>
                    <w:rPr>
                      <w:color w:val="auto"/>
                      <w:spacing w:val="-2"/>
                      <w:szCs w:val="21"/>
                    </w:rPr>
                  </w:pPr>
                  <w:r>
                    <w:rPr>
                      <w:rFonts w:hint="eastAsia"/>
                      <w:color w:val="auto"/>
                      <w:spacing w:val="-2"/>
                      <w:szCs w:val="21"/>
                    </w:rPr>
                    <w:t xml:space="preserve">第三章 “十四五”总体发展思路 </w:t>
                  </w:r>
                  <w:r>
                    <w:rPr>
                      <w:rFonts w:hint="eastAsia"/>
                      <w:color w:val="auto"/>
                      <w:spacing w:val="-2"/>
                      <w:szCs w:val="21"/>
                      <w:lang w:val="en-US" w:eastAsia="zh-CN"/>
                    </w:rPr>
                    <w:t xml:space="preserve">第三节 主要目标 </w:t>
                  </w:r>
                  <w:r>
                    <w:rPr>
                      <w:rFonts w:hint="eastAsia"/>
                      <w:color w:val="auto"/>
                      <w:spacing w:val="-2"/>
                      <w:szCs w:val="21"/>
                    </w:rPr>
                    <w:t>3．水旱灾害防御能力全面提高。实施防洪提升工程，解决防汛薄弱环节，加快中小河流治理、病险水库除险加固、山洪灾害防治。重点城镇、重要河段基本达到国家规定的防洪标准，完善山洪灾害综合防御体系，完善水文监测预警和防洪调度，5级及以上堤防达标率提高到85%，非工程措施体系进一步优化，防汛抗旱能力全面提高，水旱灾害风险防范化解能力进一步增强。</w:t>
                  </w:r>
                </w:p>
              </w:tc>
              <w:tc>
                <w:tcPr>
                  <w:tcW w:w="1403" w:type="pct"/>
                  <w:tcBorders>
                    <w:bottom w:val="single" w:color="000000" w:sz="12" w:space="0"/>
                    <w:tl2br w:val="nil"/>
                    <w:tr2bl w:val="nil"/>
                  </w:tcBorders>
                  <w:vAlign w:val="center"/>
                </w:tcPr>
                <w:p>
                  <w:pPr>
                    <w:snapToGrid w:val="0"/>
                    <w:spacing w:line="240" w:lineRule="auto"/>
                    <w:ind w:firstLine="0" w:firstLineChars="0"/>
                    <w:jc w:val="center"/>
                    <w:rPr>
                      <w:color w:val="auto"/>
                      <w:szCs w:val="21"/>
                    </w:rPr>
                  </w:pPr>
                  <w:r>
                    <w:rPr>
                      <w:rFonts w:hint="default"/>
                      <w:color w:val="auto"/>
                      <w:spacing w:val="-2"/>
                      <w:szCs w:val="21"/>
                    </w:rPr>
                    <w:t>本项目</w:t>
                  </w:r>
                  <w:r>
                    <w:rPr>
                      <w:rFonts w:hint="eastAsia"/>
                      <w:color w:val="auto"/>
                      <w:spacing w:val="-2"/>
                      <w:szCs w:val="21"/>
                      <w:lang w:val="en-US" w:eastAsia="zh-CN"/>
                    </w:rPr>
                    <w:t>为蓬溪县芝溪河明月镇延长段防洪治理工程</w:t>
                  </w:r>
                  <w:r>
                    <w:rPr>
                      <w:rFonts w:hint="default"/>
                      <w:color w:val="auto"/>
                      <w:spacing w:val="-2"/>
                      <w:szCs w:val="21"/>
                    </w:rPr>
                    <w:t>，主要目的是提高</w:t>
                  </w:r>
                  <w:r>
                    <w:rPr>
                      <w:rFonts w:hint="eastAsia"/>
                      <w:color w:val="auto"/>
                      <w:spacing w:val="-2"/>
                      <w:szCs w:val="21"/>
                      <w:lang w:val="en-US" w:eastAsia="zh-CN"/>
                    </w:rPr>
                    <w:t>明月</w:t>
                  </w:r>
                  <w:r>
                    <w:rPr>
                      <w:rFonts w:hint="default"/>
                      <w:color w:val="auto"/>
                      <w:spacing w:val="-2"/>
                      <w:szCs w:val="21"/>
                      <w:lang w:val="en-US" w:eastAsia="zh-CN"/>
                    </w:rPr>
                    <w:t>镇</w:t>
                  </w:r>
                  <w:r>
                    <w:rPr>
                      <w:rFonts w:hint="default"/>
                      <w:color w:val="auto"/>
                      <w:spacing w:val="-2"/>
                      <w:szCs w:val="21"/>
                    </w:rPr>
                    <w:t>河道行洪能力，完善河段防洪体系，改善沿河人居环境，保护两岸人民群众的生命财产安全</w:t>
                  </w:r>
                  <w:r>
                    <w:rPr>
                      <w:rFonts w:hint="eastAsia"/>
                      <w:color w:val="auto"/>
                      <w:spacing w:val="-2"/>
                      <w:szCs w:val="21"/>
                    </w:rPr>
                    <w:t>。</w:t>
                  </w:r>
                </w:p>
              </w:tc>
              <w:tc>
                <w:tcPr>
                  <w:tcW w:w="516" w:type="pct"/>
                  <w:tcBorders>
                    <w:bottom w:val="single" w:color="000000" w:sz="12" w:space="0"/>
                    <w:tl2br w:val="nil"/>
                    <w:tr2bl w:val="nil"/>
                  </w:tcBorders>
                  <w:vAlign w:val="center"/>
                </w:tcPr>
                <w:p>
                  <w:pPr>
                    <w:snapToGrid w:val="0"/>
                    <w:spacing w:line="240" w:lineRule="auto"/>
                    <w:ind w:firstLine="0" w:firstLineChars="0"/>
                    <w:jc w:val="center"/>
                    <w:rPr>
                      <w:color w:val="auto"/>
                      <w:szCs w:val="21"/>
                    </w:rPr>
                  </w:pPr>
                  <w:r>
                    <w:rPr>
                      <w:rFonts w:hint="eastAsia"/>
                      <w:color w:val="auto"/>
                      <w:szCs w:val="21"/>
                    </w:rPr>
                    <w:t>符合</w:t>
                  </w:r>
                </w:p>
              </w:tc>
            </w:tr>
          </w:tbl>
          <w:p>
            <w:pPr>
              <w:pStyle w:val="15"/>
              <w:spacing w:line="360" w:lineRule="auto"/>
              <w:ind w:firstLine="472"/>
              <w:rPr>
                <w:color w:val="auto"/>
                <w:kern w:val="0"/>
                <w:lang w:bidi="ar"/>
              </w:rPr>
            </w:pPr>
            <w:r>
              <w:rPr>
                <w:rFonts w:hint="eastAsia"/>
                <w:color w:val="auto"/>
              </w:rPr>
              <w:t>综上，本项目符合与《</w:t>
            </w:r>
            <w:r>
              <w:rPr>
                <w:rFonts w:hint="eastAsia"/>
                <w:color w:val="auto"/>
                <w:lang w:val="en-US" w:eastAsia="zh-CN"/>
              </w:rPr>
              <w:t>遂宁市</w:t>
            </w:r>
            <w:r>
              <w:rPr>
                <w:rFonts w:hint="eastAsia"/>
                <w:color w:val="auto"/>
              </w:rPr>
              <w:t>“十四五”水安全保障规划》</w:t>
            </w:r>
            <w:r>
              <w:rPr>
                <w:rFonts w:hint="eastAsia"/>
                <w:color w:val="auto"/>
                <w:kern w:val="0"/>
                <w:lang w:bidi="ar"/>
              </w:rPr>
              <w:t>的相关要求相符。</w:t>
            </w:r>
          </w:p>
          <w:p>
            <w:pPr>
              <w:adjustRightInd w:val="0"/>
              <w:snapToGrid w:val="0"/>
              <w:spacing w:line="360" w:lineRule="auto"/>
              <w:rPr>
                <w:rFonts w:hint="default" w:ascii="Times New Roman" w:hAnsi="Times New Roman" w:cs="Times New Roman"/>
                <w:b/>
                <w:bCs w:val="0"/>
                <w:color w:val="auto"/>
                <w:sz w:val="24"/>
                <w:lang w:val="en-US" w:eastAsia="zh-CN"/>
              </w:rPr>
            </w:pPr>
            <w:r>
              <w:rPr>
                <w:rFonts w:hint="eastAsia" w:ascii="Times New Roman" w:hAnsi="Times New Roman" w:cs="Times New Roman"/>
                <w:b/>
                <w:bCs w:val="0"/>
                <w:color w:val="auto"/>
                <w:sz w:val="24"/>
                <w:lang w:val="en-US" w:eastAsia="zh-CN"/>
              </w:rPr>
              <w:t>三、</w:t>
            </w:r>
            <w:r>
              <w:rPr>
                <w:rFonts w:hint="default" w:ascii="Times New Roman" w:hAnsi="Times New Roman" w:cs="Times New Roman"/>
                <w:b/>
                <w:bCs w:val="0"/>
                <w:color w:val="auto"/>
                <w:sz w:val="24"/>
                <w:lang w:val="en-US" w:eastAsia="zh-CN"/>
              </w:rPr>
              <w:t>与《四川省涪江流域综合规划环境影响报告书》的符合性</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根据《四川省涪江流域综合规划环境影响报告书》：</w:t>
            </w:r>
            <w:r>
              <w:rPr>
                <w:rFonts w:hint="eastAsia" w:ascii="宋体" w:hAnsi="宋体" w:eastAsia="宋体" w:cs="宋体"/>
                <w:color w:val="auto"/>
                <w:kern w:val="0"/>
                <w:sz w:val="24"/>
              </w:rPr>
              <w:t>“涪江治理开发与保护的主要任务为：灌溉与供水、防洪、发电、航运、水土保持、水生态保护等。涪江流域防洪减灾体系由堤防、水库、河道整治和防洪非工程措施组成。应遵循‘蓄泄兼筹、以泄为主’的治理方针，按照‘人水协调’和‘左右岸兼顾、上中下游协调’的原则，安排好防洪工程措施和非工程措施，既要解决干支流防洪安全问题，同时重视解决山洪灾害的防治问题。一是加强提防工程达标建设。中下游在近期完成城市提防建设达标后，主要完成重点城镇和集中成片耕地的地方的达标建设；上游主要对需保护的城镇和面积相对较大的重点地区筑堤护岸。”本</w:t>
            </w:r>
            <w:r>
              <w:rPr>
                <w:rFonts w:hint="default" w:ascii="Times New Roman" w:hAnsi="Times New Roman" w:eastAsia="宋体" w:cs="Times New Roman"/>
                <w:color w:val="auto"/>
                <w:kern w:val="0"/>
                <w:sz w:val="24"/>
              </w:rPr>
              <w:t>项目的建设类别为河湖治理及防洪设施工程建筑，工程任务为防洪，属于涪江流域防洪减灾体系。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根据规划环评，</w:t>
            </w:r>
            <w:r>
              <w:rPr>
                <w:rFonts w:hint="eastAsia" w:ascii="宋体" w:hAnsi="宋体" w:eastAsia="宋体" w:cs="宋体"/>
                <w:color w:val="auto"/>
                <w:kern w:val="0"/>
                <w:sz w:val="24"/>
              </w:rPr>
              <w:t>“</w:t>
            </w:r>
            <w:r>
              <w:rPr>
                <w:rFonts w:hint="default" w:ascii="Times New Roman" w:hAnsi="Times New Roman" w:eastAsia="宋体" w:cs="Times New Roman"/>
                <w:color w:val="auto"/>
                <w:kern w:val="0"/>
                <w:sz w:val="24"/>
              </w:rPr>
              <w:t>对于工程区的陆生植物，施工建设可能会使得部分地表植物消失。但是，由于这些植物在评价区域内均有生长，因此规划建设工程的实施不会对评价区域内的植物种类产生大的影响，相反随着防洪工程体系建设完成，对评价区域的植物会有一定的促进作用。涪江流域综合规划对涪江流域水生生态的主要影响途径为：堤防建设和河道整治施工期扰动影响及河道沿岸带基质变化产生的影响······其中提防建设和河道整治施工期扰动影响属短期影响······</w:t>
            </w:r>
            <w:r>
              <w:rPr>
                <w:rFonts w:hint="eastAsia" w:ascii="宋体" w:hAnsi="宋体" w:eastAsia="宋体" w:cs="宋体"/>
                <w:color w:val="auto"/>
                <w:kern w:val="0"/>
                <w:sz w:val="24"/>
              </w:rPr>
              <w:t>”</w:t>
            </w:r>
          </w:p>
          <w:p>
            <w:pPr>
              <w:autoSpaceDE w:val="0"/>
              <w:autoSpaceDN w:val="0"/>
              <w:adjustRightInd w:val="0"/>
              <w:snapToGrid w:val="0"/>
              <w:spacing w:line="360" w:lineRule="auto"/>
              <w:ind w:firstLine="480" w:firstLineChars="200"/>
              <w:rPr>
                <w:rFonts w:hint="default" w:ascii="Times New Roman" w:hAnsi="Times New Roman" w:cs="Times New Roman"/>
                <w:b/>
                <w:color w:val="FF0000"/>
                <w:szCs w:val="21"/>
              </w:rPr>
            </w:pPr>
            <w:r>
              <w:rPr>
                <w:rFonts w:hint="default" w:ascii="Times New Roman" w:hAnsi="Times New Roman" w:cs="Times New Roman"/>
                <w:color w:val="auto"/>
                <w:kern w:val="0"/>
                <w:sz w:val="24"/>
              </w:rPr>
              <w:t>本项目主要建设内容为护岸堤，评价要求项目施工期合理布置施工工区，减小对地表植被的破坏，施工结束后对施工临时占地区进行生态修复和复垦，降低施工期产生的环境影响。因此，本项目的建设符合《四川省涪江流域综合规划环境影响报告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1109" w:type="dxa"/>
            <w:tcMar>
              <w:top w:w="16" w:type="dxa"/>
              <w:left w:w="16" w:type="dxa"/>
              <w:right w:w="16" w:type="dxa"/>
            </w:tcMar>
            <w:vAlign w:val="center"/>
          </w:tcPr>
          <w:p>
            <w:pPr>
              <w:autoSpaceDE w:val="0"/>
              <w:autoSpaceDN w:val="0"/>
              <w:adjustRightInd w:val="0"/>
              <w:snapToGrid w:val="0"/>
              <w:jc w:val="center"/>
              <w:rPr>
                <w:rFonts w:hint="default" w:ascii="Times New Roman" w:hAnsi="Times New Roman" w:cs="Times New Roman"/>
                <w:color w:val="FF0000"/>
                <w:kern w:val="0"/>
                <w:sz w:val="24"/>
              </w:rPr>
            </w:pPr>
            <w:bookmarkStart w:id="1" w:name="_Hlk56690880"/>
            <w:r>
              <w:rPr>
                <w:rFonts w:hint="default" w:ascii="Times New Roman" w:hAnsi="Times New Roman" w:cs="Times New Roman"/>
                <w:color w:val="auto"/>
                <w:kern w:val="0"/>
                <w:sz w:val="24"/>
              </w:rPr>
              <w:t>其他符合性分析</w:t>
            </w:r>
            <w:bookmarkEnd w:id="1"/>
          </w:p>
        </w:tc>
        <w:tc>
          <w:tcPr>
            <w:tcW w:w="8605" w:type="dxa"/>
            <w:gridSpan w:val="5"/>
            <w:tcMar>
              <w:top w:w="16" w:type="dxa"/>
              <w:left w:w="16" w:type="dxa"/>
              <w:right w:w="16" w:type="dxa"/>
            </w:tcMar>
            <w:vAlign w:val="center"/>
          </w:tcPr>
          <w:p>
            <w:pPr>
              <w:pStyle w:val="65"/>
              <w:numPr>
                <w:ilvl w:val="0"/>
                <w:numId w:val="0"/>
              </w:numPr>
              <w:adjustRightInd w:val="0"/>
              <w:snapToGrid w:val="0"/>
              <w:spacing w:line="360" w:lineRule="auto"/>
              <w:jc w:val="left"/>
              <w:rPr>
                <w:rFonts w:hint="default" w:ascii="Times New Roman" w:hAnsi="Times New Roman" w:cs="Times New Roman"/>
                <w:b/>
                <w:color w:val="auto"/>
                <w:sz w:val="24"/>
                <w:lang w:bidi="zh-TW"/>
              </w:rPr>
            </w:pPr>
            <w:r>
              <w:rPr>
                <w:rFonts w:hint="default" w:ascii="Times New Roman" w:hAnsi="Times New Roman" w:cs="Times New Roman"/>
                <w:b/>
                <w:color w:val="auto"/>
                <w:sz w:val="24"/>
                <w:lang w:val="en-US" w:eastAsia="zh-CN" w:bidi="zh-TW"/>
              </w:rPr>
              <w:t>一、</w:t>
            </w:r>
            <w:r>
              <w:rPr>
                <w:rFonts w:hint="default" w:ascii="Times New Roman" w:hAnsi="Times New Roman" w:cs="Times New Roman"/>
                <w:b/>
                <w:color w:val="auto"/>
                <w:sz w:val="24"/>
                <w:lang w:bidi="zh-TW"/>
              </w:rPr>
              <w:t>与</w:t>
            </w:r>
            <w:r>
              <w:rPr>
                <w:rFonts w:hint="eastAsia" w:ascii="宋体" w:hAnsi="宋体" w:eastAsia="宋体" w:cs="宋体"/>
                <w:b/>
                <w:color w:val="auto"/>
                <w:sz w:val="24"/>
                <w:lang w:bidi="zh-TW"/>
              </w:rPr>
              <w:t>“三线一单”</w:t>
            </w:r>
            <w:r>
              <w:rPr>
                <w:rFonts w:hint="default" w:ascii="Times New Roman" w:hAnsi="Times New Roman" w:cs="Times New Roman"/>
                <w:b/>
                <w:color w:val="auto"/>
                <w:sz w:val="24"/>
                <w:lang w:bidi="zh-TW"/>
              </w:rPr>
              <w:t>的符合性分析</w:t>
            </w:r>
          </w:p>
          <w:p>
            <w:pPr>
              <w:adjustRightInd w:val="0"/>
              <w:snapToGrid w:val="0"/>
              <w:spacing w:line="360" w:lineRule="auto"/>
              <w:ind w:firstLine="482" w:firstLineChars="200"/>
              <w:rPr>
                <w:rFonts w:hint="default" w:ascii="Times New Roman" w:hAnsi="Times New Roman" w:cs="Times New Roman"/>
                <w:b/>
                <w:bCs/>
                <w:color w:val="auto"/>
                <w:sz w:val="24"/>
                <w:lang w:bidi="zh-TW"/>
              </w:rPr>
            </w:pPr>
            <w:r>
              <w:rPr>
                <w:rFonts w:hint="default" w:ascii="Times New Roman" w:hAnsi="Times New Roman" w:cs="Times New Roman"/>
                <w:b/>
                <w:bCs/>
                <w:color w:val="auto"/>
                <w:sz w:val="24"/>
                <w:lang w:val="en-US" w:eastAsia="zh-CN" w:bidi="zh-TW"/>
              </w:rPr>
              <w:t>1、</w:t>
            </w:r>
            <w:r>
              <w:rPr>
                <w:rFonts w:hint="default" w:ascii="Times New Roman" w:hAnsi="Times New Roman" w:cs="Times New Roman"/>
                <w:b/>
                <w:bCs/>
                <w:color w:val="auto"/>
                <w:sz w:val="24"/>
                <w:lang w:bidi="zh-TW"/>
              </w:rPr>
              <w:t>与《四川省人民政府关于落实生态保护红线、环境质量底线、资源利用上线制定生态环境准入清单实施生态环境分区管控的通知》（川府发〔2020〕9号）符合性分析</w:t>
            </w:r>
          </w:p>
          <w:p>
            <w:pPr>
              <w:adjustRightInd w:val="0"/>
              <w:snapToGrid w:val="0"/>
              <w:spacing w:line="360" w:lineRule="auto"/>
              <w:ind w:firstLine="480" w:firstLineChars="200"/>
              <w:rPr>
                <w:rFonts w:hint="default" w:ascii="Times New Roman" w:hAnsi="Times New Roman" w:cs="Times New Roman"/>
                <w:bCs/>
                <w:color w:val="auto"/>
                <w:sz w:val="24"/>
                <w:lang w:bidi="zh-TW"/>
              </w:rPr>
            </w:pPr>
            <w:r>
              <w:rPr>
                <w:rFonts w:hint="default" w:ascii="Times New Roman" w:hAnsi="Times New Roman" w:cs="Times New Roman"/>
                <w:bCs/>
                <w:color w:val="auto"/>
                <w:sz w:val="24"/>
                <w:lang w:bidi="zh-TW"/>
              </w:rPr>
              <w:t>2020年6月28日，四川省人民政府办公厅印发《四川省人民政府关于落实生态保护红线、环境质量底线、资源利用上线制定生态环境准入清单实施生态环境分区管控的通知》（川府发〔2020〕9号），就落实生态保护红线、环境质量底线、资源利用上线，制定生态环境准入清单（简称“三线一单”），建立生态环境分区管控体系并监督实施提出要求。</w:t>
            </w:r>
          </w:p>
          <w:p>
            <w:pPr>
              <w:adjustRightInd w:val="0"/>
              <w:snapToGrid w:val="0"/>
              <w:spacing w:line="360" w:lineRule="auto"/>
              <w:ind w:firstLine="480" w:firstLineChars="200"/>
              <w:rPr>
                <w:rFonts w:hint="default" w:ascii="Times New Roman" w:hAnsi="Times New Roman" w:cs="Times New Roman"/>
                <w:bCs/>
                <w:color w:val="auto"/>
                <w:sz w:val="24"/>
                <w:lang w:bidi="zh-TW"/>
              </w:rPr>
            </w:pPr>
            <w:r>
              <w:rPr>
                <w:rFonts w:hint="default" w:ascii="Times New Roman" w:hAnsi="Times New Roman" w:cs="Times New Roman"/>
                <w:bCs/>
                <w:color w:val="auto"/>
                <w:sz w:val="24"/>
                <w:lang w:bidi="zh-TW"/>
              </w:rPr>
              <w:t>根据本项目“三线一单”符合性分析结果（截图见图1-1</w:t>
            </w:r>
            <w:r>
              <w:rPr>
                <w:rFonts w:hint="default" w:ascii="Times New Roman" w:hAnsi="Times New Roman" w:cs="Times New Roman"/>
                <w:bCs/>
                <w:color w:val="auto"/>
                <w:sz w:val="24"/>
                <w:lang w:val="en-US" w:eastAsia="zh-CN" w:bidi="zh-TW"/>
              </w:rPr>
              <w:t>~图1-3</w:t>
            </w:r>
            <w:r>
              <w:rPr>
                <w:rFonts w:hint="default" w:ascii="Times New Roman" w:hAnsi="Times New Roman" w:cs="Times New Roman"/>
                <w:bCs/>
                <w:color w:val="auto"/>
                <w:sz w:val="24"/>
                <w:lang w:bidi="zh-TW"/>
              </w:rPr>
              <w:t>），本项目涉及到环境管控单元见下表。</w:t>
            </w:r>
          </w:p>
          <w:p>
            <w:pPr>
              <w:adjustRightInd w:val="0"/>
              <w:snapToGrid w:val="0"/>
              <w:spacing w:line="360" w:lineRule="auto"/>
              <w:ind w:firstLine="480" w:firstLineChars="200"/>
              <w:rPr>
                <w:rFonts w:hint="default" w:ascii="Times New Roman" w:hAnsi="Times New Roman" w:cs="Times New Roman"/>
                <w:bCs/>
                <w:color w:val="auto"/>
                <w:sz w:val="24"/>
                <w:lang w:bidi="zh-TW"/>
              </w:rPr>
            </w:pPr>
          </w:p>
          <w:p>
            <w:pPr>
              <w:adjustRightInd w:val="0"/>
              <w:snapToGrid w:val="0"/>
              <w:spacing w:line="360" w:lineRule="auto"/>
              <w:rPr>
                <w:rFonts w:hint="default" w:ascii="Times New Roman" w:hAnsi="Times New Roman" w:cs="Times New Roman"/>
                <w:bCs/>
                <w:color w:val="auto"/>
                <w:sz w:val="24"/>
                <w:lang w:bidi="zh-TW"/>
              </w:rPr>
            </w:pPr>
          </w:p>
          <w:p>
            <w:pPr>
              <w:keepNext/>
              <w:adjustRightInd w:val="0"/>
              <w:snapToGrid w:val="0"/>
              <w:spacing w:line="240" w:lineRule="auto"/>
              <w:jc w:val="center"/>
              <w:rPr>
                <w:rFonts w:hint="default" w:ascii="Times New Roman" w:hAnsi="Times New Roman" w:cs="Times New Roman"/>
                <w:color w:val="FF0000"/>
              </w:rPr>
            </w:pPr>
            <w:r>
              <w:drawing>
                <wp:inline distT="0" distB="0" distL="114300" distR="114300">
                  <wp:extent cx="5440680" cy="4060825"/>
                  <wp:effectExtent l="0" t="0" r="0" b="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1"/>
                          <a:srcRect t="513"/>
                          <a:stretch>
                            <a:fillRect/>
                          </a:stretch>
                        </pic:blipFill>
                        <pic:spPr>
                          <a:xfrm>
                            <a:off x="0" y="0"/>
                            <a:ext cx="5440680" cy="4060825"/>
                          </a:xfrm>
                          <a:prstGeom prst="rect">
                            <a:avLst/>
                          </a:prstGeom>
                          <a:noFill/>
                          <a:ln>
                            <a:noFill/>
                          </a:ln>
                        </pic:spPr>
                      </pic:pic>
                    </a:graphicData>
                  </a:graphic>
                </wp:inline>
              </w:drawing>
            </w:r>
          </w:p>
          <w:p>
            <w:pPr>
              <w:pStyle w:val="65"/>
              <w:numPr>
                <w:ilvl w:val="0"/>
                <w:numId w:val="8"/>
              </w:numPr>
              <w:spacing w:line="240" w:lineRule="auto"/>
              <w:ind w:left="0" w:firstLine="0"/>
              <w:rPr>
                <w:rFonts w:hint="default" w:ascii="Times New Roman" w:hAnsi="Times New Roman" w:cs="Times New Roman"/>
                <w:b/>
                <w:color w:val="auto"/>
                <w:szCs w:val="21"/>
                <w:lang w:bidi="zh-TW"/>
              </w:rPr>
            </w:pPr>
            <w:r>
              <w:rPr>
                <w:rFonts w:hint="default" w:ascii="Times New Roman" w:hAnsi="Times New Roman" w:cs="Times New Roman"/>
                <w:b/>
                <w:color w:val="auto"/>
                <w:szCs w:val="21"/>
                <w:lang w:val="en-US" w:eastAsia="zh-CN"/>
              </w:rPr>
              <w:t>项目起点</w:t>
            </w:r>
            <w:r>
              <w:rPr>
                <w:rFonts w:hint="eastAsia" w:ascii="宋体" w:hAnsi="宋体" w:eastAsia="宋体" w:cs="宋体"/>
                <w:b/>
                <w:color w:val="auto"/>
                <w:szCs w:val="21"/>
                <w:lang w:eastAsia="zh-CN"/>
              </w:rPr>
              <w:t>“</w:t>
            </w:r>
            <w:r>
              <w:rPr>
                <w:rFonts w:hint="eastAsia" w:ascii="宋体" w:hAnsi="宋体" w:eastAsia="宋体" w:cs="宋体"/>
                <w:b/>
                <w:color w:val="auto"/>
                <w:szCs w:val="21"/>
                <w:lang w:val="en-US" w:eastAsia="zh-CN"/>
              </w:rPr>
              <w:t>三线一单</w:t>
            </w:r>
            <w:r>
              <w:rPr>
                <w:rFonts w:hint="eastAsia" w:ascii="宋体" w:hAnsi="宋体" w:eastAsia="宋体" w:cs="宋体"/>
                <w:b/>
                <w:color w:val="auto"/>
                <w:szCs w:val="21"/>
                <w:lang w:eastAsia="zh-CN"/>
              </w:rPr>
              <w:t>”</w:t>
            </w:r>
            <w:r>
              <w:rPr>
                <w:rFonts w:hint="default" w:ascii="Times New Roman" w:hAnsi="Times New Roman" w:cs="Times New Roman"/>
                <w:b/>
                <w:color w:val="auto"/>
                <w:szCs w:val="21"/>
                <w:lang w:val="en-US" w:eastAsia="zh-CN"/>
              </w:rPr>
              <w:t>符合性分析结果截</w:t>
            </w:r>
            <w:r>
              <w:rPr>
                <w:rFonts w:hint="default" w:ascii="Times New Roman" w:hAnsi="Times New Roman" w:cs="Times New Roman"/>
                <w:b/>
                <w:color w:val="auto"/>
                <w:szCs w:val="21"/>
              </w:rPr>
              <w:t>图</w:t>
            </w:r>
          </w:p>
          <w:p>
            <w:pPr>
              <w:pStyle w:val="65"/>
              <w:numPr>
                <w:ilvl w:val="0"/>
                <w:numId w:val="0"/>
              </w:numPr>
              <w:spacing w:line="240" w:lineRule="auto"/>
              <w:ind w:leftChars="0"/>
              <w:jc w:val="center"/>
              <w:rPr>
                <w:rFonts w:hint="default" w:ascii="Times New Roman" w:hAnsi="Times New Roman" w:cs="Times New Roman"/>
                <w:b/>
                <w:color w:val="FF0000"/>
                <w:szCs w:val="21"/>
                <w:lang w:bidi="zh-TW"/>
              </w:rPr>
            </w:pPr>
            <w:r>
              <w:drawing>
                <wp:inline distT="0" distB="0" distL="114300" distR="114300">
                  <wp:extent cx="5373370" cy="3986530"/>
                  <wp:effectExtent l="0" t="0" r="0"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2"/>
                          <a:srcRect l="1168" t="16"/>
                          <a:stretch>
                            <a:fillRect/>
                          </a:stretch>
                        </pic:blipFill>
                        <pic:spPr>
                          <a:xfrm>
                            <a:off x="0" y="0"/>
                            <a:ext cx="5373370" cy="3986530"/>
                          </a:xfrm>
                          <a:prstGeom prst="rect">
                            <a:avLst/>
                          </a:prstGeom>
                          <a:noFill/>
                          <a:ln>
                            <a:noFill/>
                          </a:ln>
                        </pic:spPr>
                      </pic:pic>
                    </a:graphicData>
                  </a:graphic>
                </wp:inline>
              </w:drawing>
            </w:r>
          </w:p>
          <w:p>
            <w:pPr>
              <w:pStyle w:val="65"/>
              <w:numPr>
                <w:ilvl w:val="0"/>
                <w:numId w:val="8"/>
              </w:numPr>
              <w:spacing w:line="240" w:lineRule="auto"/>
              <w:ind w:left="0" w:firstLine="0"/>
              <w:rPr>
                <w:rFonts w:hint="default" w:ascii="Times New Roman" w:hAnsi="Times New Roman" w:cs="Times New Roman"/>
                <w:b/>
                <w:color w:val="auto"/>
                <w:szCs w:val="21"/>
                <w:lang w:bidi="zh-TW"/>
              </w:rPr>
            </w:pPr>
            <w:r>
              <w:rPr>
                <w:rFonts w:hint="default" w:ascii="Times New Roman" w:hAnsi="Times New Roman" w:cs="Times New Roman"/>
                <w:b/>
                <w:color w:val="auto"/>
                <w:szCs w:val="21"/>
                <w:lang w:val="en-US" w:eastAsia="zh-CN" w:bidi="zh-TW"/>
              </w:rPr>
              <w:t>项目牛家河左岸段护岸</w:t>
            </w:r>
            <w:r>
              <w:rPr>
                <w:rFonts w:hint="eastAsia" w:cs="Times New Roman"/>
                <w:b/>
                <w:color w:val="auto"/>
                <w:szCs w:val="21"/>
                <w:lang w:val="en-US" w:eastAsia="zh-CN" w:bidi="zh-TW"/>
              </w:rPr>
              <w:t>起点</w:t>
            </w:r>
            <w:r>
              <w:rPr>
                <w:rFonts w:hint="default" w:ascii="Times New Roman" w:hAnsi="Times New Roman" w:cs="Times New Roman"/>
                <w:b/>
                <w:color w:val="auto"/>
                <w:szCs w:val="21"/>
                <w:lang w:val="en-US" w:eastAsia="zh-CN" w:bidi="zh-TW"/>
              </w:rPr>
              <w:t>“三线一单”符合性分析结果截图</w:t>
            </w:r>
          </w:p>
          <w:p>
            <w:pPr>
              <w:pStyle w:val="65"/>
              <w:widowControl/>
              <w:numPr>
                <w:ilvl w:val="0"/>
                <w:numId w:val="0"/>
              </w:numPr>
              <w:spacing w:line="240" w:lineRule="auto"/>
              <w:jc w:val="center"/>
              <w:rPr>
                <w:rFonts w:hint="default" w:ascii="Times New Roman" w:hAnsi="Times New Roman" w:cs="Times New Roman"/>
                <w:color w:val="FF0000"/>
              </w:rPr>
            </w:pPr>
            <w:r>
              <w:drawing>
                <wp:inline distT="0" distB="0" distL="114300" distR="114300">
                  <wp:extent cx="5436870" cy="3883660"/>
                  <wp:effectExtent l="0" t="0" r="11430" b="254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3"/>
                          <a:stretch>
                            <a:fillRect/>
                          </a:stretch>
                        </pic:blipFill>
                        <pic:spPr>
                          <a:xfrm>
                            <a:off x="0" y="0"/>
                            <a:ext cx="5436870" cy="3883660"/>
                          </a:xfrm>
                          <a:prstGeom prst="rect">
                            <a:avLst/>
                          </a:prstGeom>
                          <a:noFill/>
                          <a:ln>
                            <a:noFill/>
                          </a:ln>
                        </pic:spPr>
                      </pic:pic>
                    </a:graphicData>
                  </a:graphic>
                </wp:inline>
              </w:drawing>
            </w:r>
          </w:p>
          <w:p>
            <w:pPr>
              <w:pStyle w:val="65"/>
              <w:numPr>
                <w:ilvl w:val="0"/>
                <w:numId w:val="8"/>
              </w:numPr>
              <w:spacing w:line="240" w:lineRule="auto"/>
              <w:ind w:left="0" w:firstLine="0"/>
              <w:rPr>
                <w:rFonts w:hint="default" w:ascii="Times New Roman" w:hAnsi="Times New Roman" w:cs="Times New Roman"/>
                <w:b/>
                <w:color w:val="auto"/>
                <w:szCs w:val="21"/>
                <w:lang w:bidi="zh-TW"/>
              </w:rPr>
            </w:pPr>
            <w:r>
              <w:rPr>
                <w:rFonts w:hint="default" w:ascii="Times New Roman" w:hAnsi="Times New Roman" w:cs="Times New Roman"/>
                <w:b/>
                <w:color w:val="auto"/>
                <w:szCs w:val="21"/>
                <w:lang w:val="en-US" w:eastAsia="zh-CN" w:bidi="zh-TW"/>
              </w:rPr>
              <w:t>项目终点</w:t>
            </w:r>
            <w:r>
              <w:rPr>
                <w:rFonts w:hint="eastAsia" w:ascii="宋体" w:hAnsi="宋体" w:eastAsia="宋体" w:cs="宋体"/>
                <w:b/>
                <w:color w:val="auto"/>
                <w:szCs w:val="21"/>
                <w:lang w:val="en-US" w:eastAsia="zh-CN" w:bidi="zh-TW"/>
              </w:rPr>
              <w:t>“三线一单”</w:t>
            </w:r>
            <w:r>
              <w:rPr>
                <w:rFonts w:hint="default" w:ascii="Times New Roman" w:hAnsi="Times New Roman" w:cs="Times New Roman"/>
                <w:b/>
                <w:color w:val="auto"/>
                <w:szCs w:val="21"/>
                <w:lang w:val="en-US" w:eastAsia="zh-CN" w:bidi="zh-TW"/>
              </w:rPr>
              <w:t>符合性分析结果截图</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sz w:val="24"/>
                <w:szCs w:val="24"/>
              </w:rPr>
              <w:t>本项目涉及管控单元汇总如下</w:t>
            </w:r>
            <w:r>
              <w:rPr>
                <w:rFonts w:hint="default" w:ascii="Times New Roman" w:hAnsi="Times New Roman" w:cs="Times New Roman"/>
                <w:color w:val="auto"/>
                <w:sz w:val="24"/>
                <w:szCs w:val="24"/>
                <w:lang w:eastAsia="zh-CN"/>
              </w:rPr>
              <w:t>。</w:t>
            </w:r>
          </w:p>
          <w:p>
            <w:pPr>
              <w:pStyle w:val="65"/>
              <w:numPr>
                <w:ilvl w:val="0"/>
                <w:numId w:val="6"/>
              </w:numPr>
              <w:autoSpaceDE w:val="0"/>
              <w:autoSpaceDN w:val="0"/>
              <w:adjustRightInd w:val="0"/>
              <w:snapToGrid w:val="0"/>
              <w:spacing w:line="240" w:lineRule="auto"/>
              <w:ind w:left="0" w:firstLine="0"/>
              <w:rPr>
                <w:rFonts w:hint="default" w:ascii="Times New Roman" w:hAnsi="Times New Roman" w:cs="Times New Roman"/>
                <w:b/>
                <w:color w:val="auto"/>
                <w:szCs w:val="21"/>
              </w:rPr>
            </w:pPr>
            <w:r>
              <w:rPr>
                <w:rFonts w:hint="default" w:ascii="Times New Roman" w:hAnsi="Times New Roman" w:cs="Times New Roman"/>
                <w:b/>
                <w:color w:val="auto"/>
                <w:szCs w:val="21"/>
              </w:rPr>
              <w:t>项目所涉及的环境管控单元清单</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144"/>
              <w:gridCol w:w="1704"/>
              <w:gridCol w:w="1114"/>
              <w:gridCol w:w="1130"/>
              <w:gridCol w:w="1104"/>
              <w:gridCol w:w="16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6" w:type="pct"/>
                  <w:vAlign w:val="center"/>
                </w:tcPr>
                <w:p>
                  <w:pPr>
                    <w:widowControl/>
                    <w:jc w:val="center"/>
                    <w:rPr>
                      <w:rFonts w:hint="default" w:ascii="Times New Roman" w:hAnsi="Times New Roman" w:cs="Times New Roman"/>
                      <w:color w:val="auto"/>
                      <w:szCs w:val="21"/>
                    </w:rPr>
                  </w:pPr>
                  <w:r>
                    <w:rPr>
                      <w:rFonts w:hint="default" w:ascii="Times New Roman" w:hAnsi="Times New Roman" w:cs="Times New Roman"/>
                      <w:b/>
                      <w:bCs/>
                      <w:color w:val="auto"/>
                      <w:kern w:val="0"/>
                      <w:szCs w:val="21"/>
                    </w:rPr>
                    <w:t>序号</w:t>
                  </w:r>
                </w:p>
              </w:tc>
              <w:tc>
                <w:tcPr>
                  <w:tcW w:w="667" w:type="pct"/>
                  <w:vAlign w:val="center"/>
                </w:tcPr>
                <w:p>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管控单元编码</w:t>
                  </w:r>
                </w:p>
              </w:tc>
              <w:tc>
                <w:tcPr>
                  <w:tcW w:w="993" w:type="pct"/>
                  <w:vAlign w:val="center"/>
                </w:tcPr>
                <w:p>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管控单元名称</w:t>
                  </w:r>
                </w:p>
              </w:tc>
              <w:tc>
                <w:tcPr>
                  <w:tcW w:w="649" w:type="pct"/>
                  <w:vAlign w:val="center"/>
                </w:tcPr>
                <w:p>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所属城市</w:t>
                  </w:r>
                </w:p>
              </w:tc>
              <w:tc>
                <w:tcPr>
                  <w:tcW w:w="659" w:type="pct"/>
                  <w:vAlign w:val="center"/>
                </w:tcPr>
                <w:p>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所属区县</w:t>
                  </w:r>
                </w:p>
              </w:tc>
              <w:tc>
                <w:tcPr>
                  <w:tcW w:w="643" w:type="pct"/>
                  <w:vAlign w:val="center"/>
                </w:tcPr>
                <w:p>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准入清单类型</w:t>
                  </w:r>
                </w:p>
              </w:tc>
              <w:tc>
                <w:tcPr>
                  <w:tcW w:w="940" w:type="pct"/>
                  <w:vAlign w:val="center"/>
                </w:tcPr>
                <w:p>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6"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1</w:t>
                  </w:r>
                </w:p>
              </w:tc>
              <w:tc>
                <w:tcPr>
                  <w:tcW w:w="667"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YS5109212230001</w:t>
                  </w:r>
                </w:p>
              </w:tc>
              <w:tc>
                <w:tcPr>
                  <w:tcW w:w="993"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芝溪河-蓬溪县-涪山坝-控制单元</w:t>
                  </w:r>
                </w:p>
              </w:tc>
              <w:tc>
                <w:tcPr>
                  <w:tcW w:w="649"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遂宁市</w:t>
                  </w:r>
                </w:p>
              </w:tc>
              <w:tc>
                <w:tcPr>
                  <w:tcW w:w="659"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蓬溪县</w:t>
                  </w:r>
                </w:p>
              </w:tc>
              <w:tc>
                <w:tcPr>
                  <w:tcW w:w="643"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水环境管控分区</w:t>
                  </w:r>
                </w:p>
              </w:tc>
              <w:tc>
                <w:tcPr>
                  <w:tcW w:w="940"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水环境农业污染重点管控区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6" w:type="pct"/>
                  <w:vAlign w:val="center"/>
                </w:tcPr>
                <w:p>
                  <w:pPr>
                    <w:pStyle w:val="85"/>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rPr>
                    <w:t>2</w:t>
                  </w:r>
                </w:p>
              </w:tc>
              <w:tc>
                <w:tcPr>
                  <w:tcW w:w="667"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YS5109212320001</w:t>
                  </w:r>
                </w:p>
              </w:tc>
              <w:tc>
                <w:tcPr>
                  <w:tcW w:w="993"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蓬溪县大气环境布局敏感重点管控区</w:t>
                  </w:r>
                </w:p>
              </w:tc>
              <w:tc>
                <w:tcPr>
                  <w:tcW w:w="649"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遂宁市</w:t>
                  </w:r>
                </w:p>
              </w:tc>
              <w:tc>
                <w:tcPr>
                  <w:tcW w:w="659"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蓬溪县</w:t>
                  </w:r>
                </w:p>
              </w:tc>
              <w:tc>
                <w:tcPr>
                  <w:tcW w:w="643"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大气环境管控分区</w:t>
                  </w:r>
                </w:p>
              </w:tc>
              <w:tc>
                <w:tcPr>
                  <w:tcW w:w="940"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大气环境布局敏感重点管控区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6"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w:t>
                  </w:r>
                </w:p>
              </w:tc>
              <w:tc>
                <w:tcPr>
                  <w:tcW w:w="667"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ZH51092130001</w:t>
                  </w:r>
                </w:p>
              </w:tc>
              <w:tc>
                <w:tcPr>
                  <w:tcW w:w="993"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蓬溪县一般管控单元</w:t>
                  </w:r>
                </w:p>
              </w:tc>
              <w:tc>
                <w:tcPr>
                  <w:tcW w:w="649"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遂宁市</w:t>
                  </w:r>
                </w:p>
              </w:tc>
              <w:tc>
                <w:tcPr>
                  <w:tcW w:w="659"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蓬溪县</w:t>
                  </w:r>
                </w:p>
              </w:tc>
              <w:tc>
                <w:tcPr>
                  <w:tcW w:w="643"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环境综合管控单元</w:t>
                  </w:r>
                </w:p>
              </w:tc>
              <w:tc>
                <w:tcPr>
                  <w:tcW w:w="940" w:type="pct"/>
                  <w:vAlign w:val="center"/>
                </w:tcPr>
                <w:p>
                  <w:pPr>
                    <w:pStyle w:val="85"/>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eastAsia" w:ascii="Times New Roman" w:hAnsi="Times New Roman" w:eastAsia="宋体" w:cs="Times New Roman"/>
                      <w:color w:val="auto"/>
                      <w:sz w:val="21"/>
                      <w:lang w:val="en-US" w:eastAsia="zh-CN"/>
                    </w:rPr>
                    <w:t>环境综合管控单元一般管控单元</w:t>
                  </w:r>
                </w:p>
              </w:tc>
            </w:tr>
          </w:tbl>
          <w:p>
            <w:pPr>
              <w:pStyle w:val="15"/>
              <w:spacing w:line="360" w:lineRule="auto"/>
              <w:ind w:firstLine="480"/>
              <w:rPr>
                <w:color w:val="auto"/>
              </w:rPr>
            </w:pPr>
            <w:r>
              <w:rPr>
                <w:rFonts w:hint="eastAsia"/>
                <w:color w:val="auto"/>
                <w:spacing w:val="0"/>
              </w:rPr>
              <w:t>项目与管控单元相对位置如下图所示：（图</w:t>
            </w:r>
            <w:r>
              <w:rPr>
                <w:color w:val="auto"/>
              </w:rPr>
              <w:t>中▼表示项目位置）</w:t>
            </w:r>
          </w:p>
          <w:p>
            <w:pPr>
              <w:pStyle w:val="15"/>
              <w:spacing w:line="360" w:lineRule="auto"/>
              <w:ind w:firstLine="480"/>
              <w:rPr>
                <w:color w:val="auto"/>
              </w:rPr>
            </w:pPr>
          </w:p>
          <w:p>
            <w:pPr>
              <w:pStyle w:val="15"/>
              <w:spacing w:line="360" w:lineRule="auto"/>
              <w:ind w:firstLine="480"/>
              <w:rPr>
                <w:color w:val="auto"/>
              </w:rPr>
            </w:pPr>
          </w:p>
          <w:p>
            <w:pPr>
              <w:pStyle w:val="15"/>
              <w:spacing w:line="360" w:lineRule="auto"/>
              <w:ind w:firstLine="480"/>
              <w:rPr>
                <w:color w:val="auto"/>
              </w:rPr>
            </w:pPr>
          </w:p>
          <w:p>
            <w:pPr>
              <w:pStyle w:val="15"/>
              <w:spacing w:line="360" w:lineRule="auto"/>
              <w:ind w:firstLine="480"/>
              <w:rPr>
                <w:color w:val="auto"/>
              </w:rPr>
            </w:pPr>
          </w:p>
          <w:p>
            <w:pPr>
              <w:pStyle w:val="15"/>
              <w:spacing w:line="360" w:lineRule="auto"/>
              <w:ind w:firstLine="480"/>
              <w:rPr>
                <w:color w:val="auto"/>
              </w:rPr>
            </w:pPr>
          </w:p>
          <w:p>
            <w:pPr>
              <w:pStyle w:val="15"/>
              <w:spacing w:line="360" w:lineRule="auto"/>
              <w:ind w:firstLine="480"/>
              <w:rPr>
                <w:color w:val="auto"/>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sz w:val="24"/>
                <w:szCs w:val="24"/>
                <w:lang w:eastAsia="zh-CN"/>
              </w:rPr>
            </w:pPr>
            <w:r>
              <w:rPr>
                <w:rFonts w:hint="default" w:ascii="Helvetica" w:hAnsi="Helvetica" w:eastAsia="Helvetica"/>
                <w:sz w:val="28"/>
                <w:szCs w:val="24"/>
              </w:rPr>
              <w:drawing>
                <wp:inline distT="0" distB="0" distL="114300" distR="114300">
                  <wp:extent cx="5400040" cy="3239770"/>
                  <wp:effectExtent l="0" t="0" r="10160" b="1778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14"/>
                          <a:stretch>
                            <a:fillRect/>
                          </a:stretch>
                        </pic:blipFill>
                        <pic:spPr>
                          <a:xfrm>
                            <a:off x="0" y="0"/>
                            <a:ext cx="5400040" cy="3239770"/>
                          </a:xfrm>
                          <a:prstGeom prst="rect">
                            <a:avLst/>
                          </a:prstGeom>
                          <a:noFill/>
                          <a:ln>
                            <a:noFill/>
                          </a:ln>
                        </pic:spPr>
                      </pic:pic>
                    </a:graphicData>
                  </a:graphic>
                </wp:inline>
              </w:drawing>
            </w:r>
          </w:p>
          <w:p>
            <w:pPr>
              <w:pStyle w:val="65"/>
              <w:numPr>
                <w:ilvl w:val="0"/>
                <w:numId w:val="8"/>
              </w:numPr>
              <w:spacing w:line="360" w:lineRule="auto"/>
              <w:ind w:left="0" w:firstLine="0"/>
              <w:rPr>
                <w:rFonts w:hint="default" w:ascii="Times New Roman" w:hAnsi="Times New Roman" w:cs="Times New Roman"/>
                <w:b/>
                <w:color w:val="auto"/>
                <w:szCs w:val="21"/>
                <w:lang w:val="en-US" w:eastAsia="zh-CN" w:bidi="zh-TW"/>
              </w:rPr>
            </w:pPr>
            <w:r>
              <w:rPr>
                <w:rFonts w:hint="default" w:ascii="Times New Roman" w:hAnsi="Times New Roman" w:cs="Times New Roman"/>
                <w:b/>
                <w:color w:val="auto"/>
                <w:szCs w:val="21"/>
                <w:lang w:val="en-US" w:eastAsia="zh-CN" w:bidi="zh-TW"/>
              </w:rPr>
              <w:t>项目与管控单元相对位置关系图</w:t>
            </w:r>
          </w:p>
          <w:p>
            <w:pPr>
              <w:adjustRightInd w:val="0"/>
              <w:snapToGrid w:val="0"/>
              <w:spacing w:line="360" w:lineRule="auto"/>
              <w:ind w:firstLine="480"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本项目与</w:t>
            </w:r>
            <w:r>
              <w:rPr>
                <w:rFonts w:hint="eastAsia" w:ascii="宋体" w:hAnsi="宋体" w:eastAsia="宋体" w:cs="宋体"/>
                <w:color w:val="auto"/>
                <w:sz w:val="24"/>
                <w:szCs w:val="24"/>
                <w:lang w:eastAsia="zh-CN"/>
              </w:rPr>
              <w:t>“三线一单”</w:t>
            </w:r>
            <w:r>
              <w:rPr>
                <w:rFonts w:hint="default" w:ascii="Times New Roman" w:hAnsi="Times New Roman" w:cs="Times New Roman"/>
                <w:color w:val="auto"/>
                <w:sz w:val="24"/>
                <w:szCs w:val="24"/>
                <w:lang w:eastAsia="zh-CN"/>
              </w:rPr>
              <w:t>相关要求的符合性分析见下表。</w:t>
            </w: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p>
            <w:pPr>
              <w:pStyle w:val="18"/>
              <w:numPr>
                <w:ilvl w:val="0"/>
                <w:numId w:val="0"/>
              </w:numPr>
              <w:ind w:left="2040" w:hanging="360"/>
              <w:rPr>
                <w:rFonts w:hint="default" w:ascii="Times New Roman" w:hAnsi="Times New Roman" w:cs="Times New Roman"/>
                <w:color w:val="FF0000"/>
              </w:rPr>
            </w:pPr>
          </w:p>
        </w:tc>
      </w:tr>
    </w:tbl>
    <w:p>
      <w:pPr>
        <w:rPr>
          <w:rFonts w:hint="default" w:ascii="Times New Roman" w:hAnsi="Times New Roman" w:cs="Times New Roman"/>
          <w:snapToGrid w:val="0"/>
          <w:color w:val="FF0000"/>
        </w:rPr>
        <w:sectPr>
          <w:headerReference r:id="rId7" w:type="default"/>
          <w:footerReference r:id="rId8" w:type="default"/>
          <w:pgSz w:w="11906" w:h="16838"/>
          <w:pgMar w:top="1701" w:right="1531" w:bottom="1701" w:left="1531" w:header="851" w:footer="1077" w:gutter="0"/>
          <w:pgNumType w:start="1"/>
          <w:cols w:space="720" w:num="1"/>
          <w:docGrid w:linePitch="312" w:charSpace="0"/>
        </w:sectPr>
      </w:pPr>
    </w:p>
    <w:p>
      <w:pPr>
        <w:pStyle w:val="65"/>
        <w:numPr>
          <w:ilvl w:val="0"/>
          <w:numId w:val="6"/>
        </w:numPr>
        <w:autoSpaceDE w:val="0"/>
        <w:autoSpaceDN w:val="0"/>
        <w:adjustRightInd w:val="0"/>
        <w:snapToGrid w:val="0"/>
        <w:ind w:left="0" w:firstLine="0"/>
        <w:rPr>
          <w:rFonts w:hint="default" w:ascii="Times New Roman" w:hAnsi="Times New Roman" w:cs="Times New Roman"/>
          <w:b/>
          <w:color w:val="auto"/>
          <w:szCs w:val="21"/>
        </w:rPr>
      </w:pPr>
      <w:r>
        <w:rPr>
          <w:rFonts w:hint="default" w:ascii="Times New Roman" w:hAnsi="Times New Roman" w:cs="Times New Roman"/>
          <w:b/>
          <w:color w:val="auto"/>
          <w:szCs w:val="21"/>
        </w:rPr>
        <w:t>本项目与“三线一单”相关要求的符合性分析</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568"/>
        <w:gridCol w:w="710"/>
        <w:gridCol w:w="7068"/>
        <w:gridCol w:w="2570"/>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tcBorders>
              <w:top w:val="single" w:color="auto" w:sz="12" w:space="0"/>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kern w:val="0"/>
                <w:sz w:val="21"/>
                <w:szCs w:val="21"/>
                <w:highlight w:val="none"/>
              </w:rPr>
            </w:pPr>
            <w:r>
              <w:rPr>
                <w:rFonts w:hint="default" w:ascii="Times New Roman" w:hAnsi="Times New Roman" w:cs="Times New Roman"/>
                <w:b/>
                <w:bCs/>
                <w:color w:val="auto"/>
                <w:kern w:val="0"/>
                <w:sz w:val="21"/>
                <w:szCs w:val="21"/>
                <w:highlight w:val="none"/>
              </w:rPr>
              <w:t>环境管控单元名称</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准入清单类型</w:t>
            </w:r>
          </w:p>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bCs/>
                <w:color w:val="auto"/>
                <w:kern w:val="0"/>
                <w:sz w:val="21"/>
                <w:szCs w:val="21"/>
                <w:highlight w:val="none"/>
              </w:rPr>
              <w:t>环境管控单元编码</w:t>
            </w:r>
          </w:p>
        </w:tc>
        <w:tc>
          <w:tcPr>
            <w:tcW w:w="3056" w:type="pct"/>
            <w:gridSpan w:val="3"/>
            <w:tcBorders>
              <w:top w:val="single" w:color="auto" w:sz="12" w:space="0"/>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单元管控要求</w:t>
            </w:r>
          </w:p>
        </w:tc>
        <w:tc>
          <w:tcPr>
            <w:tcW w:w="941" w:type="pct"/>
            <w:tcBorders>
              <w:top w:val="single" w:color="auto" w:sz="12" w:space="0"/>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本项目情况</w:t>
            </w:r>
          </w:p>
        </w:tc>
        <w:tc>
          <w:tcPr>
            <w:tcW w:w="287" w:type="pct"/>
            <w:tcBorders>
              <w:top w:val="single" w:color="auto" w:sz="12" w:space="0"/>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restart"/>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
                <w:color w:val="auto"/>
                <w:sz w:val="21"/>
                <w:szCs w:val="21"/>
                <w:highlight w:val="none"/>
              </w:rPr>
              <w:t>名称：</w:t>
            </w:r>
            <w:r>
              <w:rPr>
                <w:rFonts w:hint="default" w:ascii="Times New Roman" w:hAnsi="Times New Roman" w:cs="Times New Roman"/>
                <w:bCs/>
                <w:color w:val="auto"/>
                <w:sz w:val="21"/>
                <w:szCs w:val="21"/>
                <w:highlight w:val="none"/>
              </w:rPr>
              <w:t>蓬溪县一般管控单元</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bidi="ar"/>
              </w:rPr>
            </w:pPr>
            <w:r>
              <w:rPr>
                <w:rFonts w:hint="default" w:ascii="Times New Roman" w:hAnsi="Times New Roman" w:cs="Times New Roman"/>
                <w:b/>
                <w:bCs/>
                <w:color w:val="auto"/>
                <w:sz w:val="21"/>
                <w:szCs w:val="21"/>
                <w:highlight w:val="none"/>
                <w:lang w:bidi="ar"/>
              </w:rPr>
              <w:t>准入清单类型：</w:t>
            </w:r>
            <w:r>
              <w:rPr>
                <w:rFonts w:hint="default" w:ascii="Times New Roman" w:hAnsi="Times New Roman" w:cs="Times New Roman"/>
                <w:bCs/>
                <w:color w:val="auto"/>
                <w:sz w:val="21"/>
                <w:szCs w:val="21"/>
                <w:highlight w:val="none"/>
              </w:rPr>
              <w:t>环境综合管控单元</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b/>
                <w:color w:val="auto"/>
                <w:sz w:val="21"/>
                <w:szCs w:val="21"/>
                <w:highlight w:val="none"/>
              </w:rPr>
              <w:t>编码：</w:t>
            </w:r>
            <w:r>
              <w:rPr>
                <w:rFonts w:hint="default" w:ascii="Times New Roman" w:hAnsi="Times New Roman" w:cs="Times New Roman"/>
                <w:bCs/>
                <w:color w:val="auto"/>
                <w:sz w:val="21"/>
                <w:szCs w:val="21"/>
                <w:highlight w:val="none"/>
              </w:rPr>
              <w:t>ZH51092130001</w:t>
            </w: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普适性清单管控要求</w:t>
            </w:r>
          </w:p>
        </w:tc>
        <w:tc>
          <w:tcPr>
            <w:tcW w:w="260"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空间布局约束</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禁止开发建设活动的要求：</w:t>
            </w:r>
          </w:p>
          <w:p>
            <w:pPr>
              <w:pStyle w:val="85"/>
              <w:widowControl w:val="0"/>
              <w:spacing w:line="240" w:lineRule="auto"/>
              <w:ind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1.禁止新建、扩建《产业结构调整指导目录（2019年本）》明确的淘汰类项目。</w:t>
            </w:r>
          </w:p>
          <w:p>
            <w:pPr>
              <w:pStyle w:val="85"/>
              <w:widowControl w:val="0"/>
              <w:spacing w:line="240" w:lineRule="auto"/>
              <w:ind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2.禁止引入《市场准入负面清单（2019年版）》禁止准入类事项。</w:t>
            </w:r>
          </w:p>
          <w:p>
            <w:pPr>
              <w:pStyle w:val="85"/>
              <w:widowControl w:val="0"/>
              <w:spacing w:line="240" w:lineRule="auto"/>
              <w:ind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禁止在长江干支流岸线一公里范围内新建、扩建化工园区和化工项目。禁止在长江干流岸线三公里范围内和重要支流岸线一公里范围内新建、改建、扩建尾矿库、冶炼渣库、磷石膏库，以提升安全、生态环境保护水平为目的的改建除外。</w:t>
            </w:r>
          </w:p>
          <w:p>
            <w:pPr>
              <w:pStyle w:val="85"/>
              <w:widowControl w:val="0"/>
              <w:spacing w:line="240" w:lineRule="auto"/>
              <w:ind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4.禁止在河道、湖泊管理范围内建设妨碍行洪的建筑物、构筑物，倾倒垃圾、渣土，从事影响河势稳定、危害河岸堤防安全和其他妨碍河道行洪的活动。禁止在行洪河道内种植阻碍行洪的林木和高秆作物。</w:t>
            </w:r>
          </w:p>
          <w:p>
            <w:pPr>
              <w:pStyle w:val="85"/>
              <w:widowControl w:val="0"/>
              <w:spacing w:line="240" w:lineRule="auto"/>
              <w:ind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5.严格管控沿江沿河工程建设废弃渣土场的设置，禁止违法占用河道。</w:t>
            </w:r>
          </w:p>
          <w:p>
            <w:pPr>
              <w:pStyle w:val="85"/>
              <w:widowControl w:val="0"/>
              <w:spacing w:line="240" w:lineRule="auto"/>
              <w:ind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6.禁止在法律法规规定的禁采区内开采矿产；禁止土法采、选、冶严重污染环境的矿产资源。</w:t>
            </w:r>
          </w:p>
          <w:p>
            <w:pPr>
              <w:pStyle w:val="85"/>
              <w:widowControl w:val="0"/>
              <w:spacing w:line="240" w:lineRule="auto"/>
              <w:ind w:firstLine="0" w:firstLineChars="0"/>
              <w:jc w:val="left"/>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7.坚持最严格的耕地保护制度，对全部耕地按限制开发的要求进行管理，对全部永久基本农田按禁止开发的要求进行管理。</w:t>
            </w:r>
          </w:p>
          <w:p>
            <w:pPr>
              <w:pStyle w:val="85"/>
              <w:widowControl w:val="0"/>
              <w:spacing w:line="240" w:lineRule="auto"/>
              <w:ind w:firstLine="0" w:firstLineChars="0"/>
              <w:jc w:val="left"/>
              <w:rPr>
                <w:rFonts w:hint="default" w:ascii="Times New Roman" w:hAnsi="Times New Roman" w:cs="Times New Roman"/>
                <w:b/>
                <w:bCs/>
                <w:color w:val="FF0000"/>
                <w:sz w:val="21"/>
                <w:szCs w:val="21"/>
                <w:highlight w:val="none"/>
              </w:rPr>
            </w:pPr>
            <w:r>
              <w:rPr>
                <w:rFonts w:hint="eastAsia" w:ascii="Times New Roman" w:hAnsi="Times New Roman" w:eastAsia="宋体" w:cs="Times New Roman"/>
                <w:color w:val="auto"/>
                <w:kern w:val="2"/>
                <w:sz w:val="21"/>
                <w:szCs w:val="21"/>
                <w:highlight w:val="none"/>
                <w:lang w:val="en-US" w:eastAsia="zh-CN" w:bidi="ar-SA"/>
              </w:rPr>
              <w:t>8.禁止在永久基本农田集中区域和其他需要特别保护的区域选址建设尾矿库、冶炼渣库、磷石膏库。</w:t>
            </w:r>
          </w:p>
        </w:tc>
        <w:tc>
          <w:tcPr>
            <w:tcW w:w="94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为蓬溪县芝溪河明月镇延长段防洪治理工程，</w:t>
            </w:r>
            <w:r>
              <w:rPr>
                <w:rFonts w:hint="eastAsia" w:cs="Times New Roman"/>
                <w:color w:val="auto"/>
                <w:sz w:val="21"/>
                <w:szCs w:val="21"/>
                <w:highlight w:val="none"/>
                <w:lang w:val="en-US" w:eastAsia="zh-CN"/>
              </w:rPr>
              <w:t>属于</w:t>
            </w:r>
            <w:r>
              <w:rPr>
                <w:rFonts w:hint="eastAsia" w:ascii="Times New Roman" w:hAnsi="Times New Roman" w:eastAsia="宋体" w:cs="Times New Roman"/>
                <w:color w:val="auto"/>
                <w:kern w:val="2"/>
                <w:sz w:val="21"/>
                <w:szCs w:val="21"/>
                <w:highlight w:val="none"/>
                <w:lang w:val="en-US" w:eastAsia="zh-CN" w:bidi="ar-SA"/>
              </w:rPr>
              <w:t>《产业结构调整指导目录（20</w:t>
            </w:r>
            <w:r>
              <w:rPr>
                <w:rFonts w:hint="eastAsia" w:cs="Times New Roman"/>
                <w:color w:val="auto"/>
                <w:kern w:val="2"/>
                <w:sz w:val="21"/>
                <w:szCs w:val="21"/>
                <w:highlight w:val="none"/>
                <w:lang w:val="en-US" w:eastAsia="zh-CN" w:bidi="ar-SA"/>
              </w:rPr>
              <w:t>24</w:t>
            </w:r>
            <w:r>
              <w:rPr>
                <w:rFonts w:hint="eastAsia" w:ascii="Times New Roman" w:hAnsi="Times New Roman" w:eastAsia="宋体" w:cs="Times New Roman"/>
                <w:color w:val="auto"/>
                <w:kern w:val="2"/>
                <w:sz w:val="21"/>
                <w:szCs w:val="21"/>
                <w:highlight w:val="none"/>
                <w:lang w:val="en-US" w:eastAsia="zh-CN" w:bidi="ar-SA"/>
              </w:rPr>
              <w:t>年本）》</w:t>
            </w:r>
            <w:r>
              <w:rPr>
                <w:rFonts w:hint="eastAsia" w:cs="Times New Roman"/>
                <w:color w:val="auto"/>
                <w:kern w:val="2"/>
                <w:sz w:val="21"/>
                <w:szCs w:val="21"/>
                <w:highlight w:val="none"/>
                <w:lang w:val="en-US" w:eastAsia="zh-CN" w:bidi="ar-SA"/>
              </w:rPr>
              <w:t>中鼓励类项目，不属于淘汰类、禁止准入类；</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2.项目不属于化工项目，不属于</w:t>
            </w:r>
            <w:r>
              <w:rPr>
                <w:rFonts w:hint="eastAsia" w:ascii="Times New Roman" w:hAnsi="Times New Roman" w:eastAsia="宋体" w:cs="Times New Roman"/>
                <w:color w:val="auto"/>
                <w:kern w:val="2"/>
                <w:sz w:val="21"/>
                <w:szCs w:val="21"/>
                <w:highlight w:val="none"/>
                <w:lang w:val="en-US" w:eastAsia="zh-CN" w:bidi="ar-SA"/>
              </w:rPr>
              <w:t>尾矿库、冶炼渣库、磷石膏库</w:t>
            </w:r>
            <w:r>
              <w:rPr>
                <w:rFonts w:hint="eastAsia" w:cs="Times New Roman"/>
                <w:color w:val="auto"/>
                <w:kern w:val="2"/>
                <w:sz w:val="21"/>
                <w:szCs w:val="21"/>
                <w:highlight w:val="none"/>
                <w:lang w:val="en-US" w:eastAsia="zh-CN" w:bidi="ar-SA"/>
              </w:rPr>
              <w:t>项目；</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3.本项目为防洪治理项目，</w:t>
            </w:r>
            <w:r>
              <w:rPr>
                <w:rFonts w:hint="default"/>
                <w:color w:val="auto"/>
                <w:spacing w:val="-2"/>
                <w:szCs w:val="21"/>
              </w:rPr>
              <w:t>主要目的是提高</w:t>
            </w:r>
            <w:r>
              <w:rPr>
                <w:rFonts w:hint="eastAsia"/>
                <w:color w:val="auto"/>
                <w:spacing w:val="-2"/>
                <w:szCs w:val="21"/>
                <w:lang w:val="en-US" w:eastAsia="zh-CN"/>
              </w:rPr>
              <w:t>明月</w:t>
            </w:r>
            <w:r>
              <w:rPr>
                <w:rFonts w:hint="default"/>
                <w:color w:val="auto"/>
                <w:spacing w:val="-2"/>
                <w:szCs w:val="21"/>
                <w:lang w:val="en-US" w:eastAsia="zh-CN"/>
              </w:rPr>
              <w:t>镇</w:t>
            </w:r>
            <w:r>
              <w:rPr>
                <w:rFonts w:hint="default"/>
                <w:color w:val="auto"/>
                <w:spacing w:val="-2"/>
                <w:szCs w:val="21"/>
              </w:rPr>
              <w:t>河道行洪能力，完善河段防洪体系</w:t>
            </w:r>
            <w:r>
              <w:rPr>
                <w:rFonts w:hint="eastAsia"/>
                <w:color w:val="auto"/>
                <w:spacing w:val="-2"/>
                <w:szCs w:val="21"/>
                <w:lang w:eastAsia="zh-CN"/>
              </w:rPr>
              <w:t>；</w:t>
            </w:r>
            <w:r>
              <w:rPr>
                <w:rFonts w:hint="eastAsia"/>
                <w:color w:val="auto"/>
                <w:spacing w:val="-2"/>
                <w:szCs w:val="21"/>
                <w:lang w:val="en-US" w:eastAsia="zh-CN"/>
              </w:rPr>
              <w:t>施工过程中严禁向河道倾倒垃圾、渣土等，不涉及种植</w:t>
            </w:r>
            <w:r>
              <w:rPr>
                <w:rFonts w:hint="eastAsia" w:ascii="Times New Roman" w:hAnsi="Times New Roman" w:eastAsia="宋体" w:cs="Times New Roman"/>
                <w:color w:val="auto"/>
                <w:kern w:val="2"/>
                <w:sz w:val="21"/>
                <w:szCs w:val="21"/>
                <w:highlight w:val="none"/>
                <w:lang w:val="en-US" w:eastAsia="zh-CN" w:bidi="ar-SA"/>
              </w:rPr>
              <w:t>林木和高秆作物</w:t>
            </w:r>
            <w:r>
              <w:rPr>
                <w:rFonts w:hint="eastAsia" w:cs="Times New Roman"/>
                <w:color w:val="auto"/>
                <w:kern w:val="2"/>
                <w:sz w:val="21"/>
                <w:szCs w:val="21"/>
                <w:highlight w:val="none"/>
                <w:lang w:val="en-US" w:eastAsia="zh-CN" w:bidi="ar-SA"/>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4.本项目不设置弃渣场，项目涉及余方沿河道低洼处回填，不占用河道；</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5.本项目不涉及开采矿产；</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6.本项目占地涉及耕地，主要是用于河道堤防的建设，本工程涉及耕地面积较少且为线性分布，采取一次性补偿处理；</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FF0000"/>
                <w:sz w:val="21"/>
                <w:szCs w:val="21"/>
                <w:lang w:val="en-US" w:eastAsia="zh-CN"/>
              </w:rPr>
            </w:pPr>
            <w:r>
              <w:rPr>
                <w:rFonts w:hint="eastAsia" w:cs="Times New Roman"/>
                <w:color w:val="auto"/>
                <w:sz w:val="21"/>
                <w:szCs w:val="21"/>
                <w:highlight w:val="none"/>
                <w:lang w:val="en-US" w:eastAsia="zh-CN"/>
              </w:rPr>
              <w:t>7.项目不涉及占用基本农田，不属于</w:t>
            </w:r>
            <w:r>
              <w:rPr>
                <w:rFonts w:hint="eastAsia" w:ascii="Times New Roman" w:hAnsi="Times New Roman" w:eastAsia="宋体" w:cs="Times New Roman"/>
                <w:color w:val="auto"/>
                <w:kern w:val="2"/>
                <w:sz w:val="21"/>
                <w:szCs w:val="21"/>
                <w:highlight w:val="none"/>
                <w:lang w:val="en-US" w:eastAsia="zh-CN" w:bidi="ar-SA"/>
              </w:rPr>
              <w:t>尾矿库、冶炼渣库、磷石膏库</w:t>
            </w:r>
            <w:r>
              <w:rPr>
                <w:rFonts w:hint="eastAsia" w:cs="Times New Roman"/>
                <w:color w:val="auto"/>
                <w:kern w:val="2"/>
                <w:sz w:val="21"/>
                <w:szCs w:val="21"/>
                <w:highlight w:val="none"/>
                <w:lang w:val="en-US" w:eastAsia="zh-CN" w:bidi="ar-SA"/>
              </w:rPr>
              <w:t>项目</w:t>
            </w:r>
            <w:r>
              <w:rPr>
                <w:rFonts w:hint="eastAsia" w:cs="Times New Roman"/>
                <w:color w:val="auto"/>
                <w:sz w:val="21"/>
                <w:szCs w:val="21"/>
                <w:highlight w:val="none"/>
                <w:lang w:val="en-US" w:eastAsia="zh-CN"/>
              </w:rPr>
              <w:t>。</w:t>
            </w:r>
          </w:p>
        </w:tc>
        <w:tc>
          <w:tcPr>
            <w:tcW w:w="287" w:type="pc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rPr>
            </w:pPr>
            <w:r>
              <w:rPr>
                <w:rFonts w:hint="default" w:ascii="Times New Roman" w:hAnsi="Times New Roman" w:cs="Times New Roman"/>
                <w:b/>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none"/>
              </w:rPr>
            </w:pPr>
          </w:p>
        </w:tc>
        <w:tc>
          <w:tcPr>
            <w:tcW w:w="260"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none"/>
              </w:rPr>
            </w:pP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限制开发建设活动的要求：</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4.严控新增建设用地规模和非农建设占用耕地。</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5.严格限制农用地转为建设用地，控制建设用地总量，对耕地实行特殊保护。</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FF0000"/>
                <w:sz w:val="21"/>
                <w:szCs w:val="21"/>
                <w:highlight w:val="none"/>
              </w:rPr>
            </w:pPr>
            <w:r>
              <w:rPr>
                <w:rFonts w:hint="default" w:ascii="Times New Roman" w:hAnsi="Times New Roman" w:cs="Times New Roman"/>
                <w:color w:val="auto"/>
                <w:sz w:val="21"/>
                <w:szCs w:val="21"/>
                <w:highlight w:val="none"/>
              </w:rPr>
              <w:t>6.涉及的法定保护地，严格按照国家及地方法律法规、管理办法等相关要求进行控制。配套旅游、基础设施等建设项目，在符合规划和相关保护要求的前提下，应实施生态避让、减缓影响及生态恢复措施。</w:t>
            </w:r>
          </w:p>
        </w:tc>
        <w:tc>
          <w:tcPr>
            <w:tcW w:w="941"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为蓬溪县芝溪河明月镇延长段防洪治理工程，</w:t>
            </w:r>
            <w:r>
              <w:rPr>
                <w:rFonts w:hint="eastAsia" w:cs="Times New Roman"/>
                <w:color w:val="auto"/>
                <w:sz w:val="21"/>
                <w:szCs w:val="21"/>
                <w:highlight w:val="none"/>
                <w:lang w:val="en-US" w:eastAsia="zh-CN"/>
              </w:rPr>
              <w:t>营运期无污染物产生，不属于</w:t>
            </w:r>
            <w:r>
              <w:rPr>
                <w:rFonts w:hint="default" w:ascii="Times New Roman" w:hAnsi="Times New Roman" w:cs="Times New Roman"/>
                <w:color w:val="auto"/>
                <w:sz w:val="21"/>
                <w:szCs w:val="21"/>
                <w:highlight w:val="none"/>
              </w:rPr>
              <w:t>高耗能、高排放</w:t>
            </w:r>
            <w:r>
              <w:rPr>
                <w:rFonts w:hint="eastAsia" w:cs="Times New Roman"/>
                <w:color w:val="auto"/>
                <w:sz w:val="21"/>
                <w:szCs w:val="21"/>
                <w:highlight w:val="none"/>
                <w:lang w:val="en-US" w:eastAsia="zh-CN"/>
              </w:rPr>
              <w:t>项目，不属于</w:t>
            </w:r>
            <w:r>
              <w:rPr>
                <w:rFonts w:hint="default" w:ascii="Times New Roman" w:hAnsi="Times New Roman" w:cs="Times New Roman"/>
                <w:color w:val="auto"/>
                <w:sz w:val="21"/>
                <w:szCs w:val="21"/>
                <w:highlight w:val="none"/>
              </w:rPr>
              <w:t>钢铁、焦化、炼油、电解铝、水泥、平板玻璃</w:t>
            </w:r>
            <w:r>
              <w:rPr>
                <w:rFonts w:hint="eastAsia" w:cs="Times New Roman"/>
                <w:color w:val="auto"/>
                <w:sz w:val="21"/>
                <w:szCs w:val="21"/>
                <w:highlight w:val="none"/>
                <w:lang w:val="en-US" w:eastAsia="zh-CN"/>
              </w:rPr>
              <w:t>等项目；</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2.本项目不属于生产性项目，不涉及生产不合格或淘汰类产品；</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3.项目不属于农村生活污水处理设施、施肥项目；</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color w:val="auto"/>
                <w:spacing w:val="-2"/>
                <w:szCs w:val="21"/>
                <w:lang w:val="en-US" w:eastAsia="zh-CN"/>
              </w:rPr>
            </w:pP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为蓬溪县芝溪河明月镇延长段防洪治理工程</w:t>
            </w:r>
            <w:r>
              <w:rPr>
                <w:rFonts w:hint="eastAsia" w:cs="Times New Roman"/>
                <w:color w:val="auto"/>
                <w:sz w:val="21"/>
                <w:szCs w:val="21"/>
                <w:highlight w:val="none"/>
                <w:lang w:val="en-US" w:eastAsia="zh-CN"/>
              </w:rPr>
              <w:t>，工程涉及占用少量耕地，</w:t>
            </w:r>
            <w:r>
              <w:rPr>
                <w:rFonts w:hint="eastAsia"/>
                <w:color w:val="auto"/>
                <w:spacing w:val="-2"/>
                <w:szCs w:val="21"/>
                <w:lang w:val="en-US" w:eastAsia="zh-CN"/>
              </w:rPr>
              <w:t>项目建设</w:t>
            </w:r>
            <w:r>
              <w:rPr>
                <w:rFonts w:hint="default"/>
                <w:color w:val="auto"/>
                <w:spacing w:val="-2"/>
                <w:szCs w:val="21"/>
              </w:rPr>
              <w:t>提高</w:t>
            </w:r>
            <w:r>
              <w:rPr>
                <w:rFonts w:hint="eastAsia"/>
                <w:color w:val="auto"/>
                <w:spacing w:val="-2"/>
                <w:szCs w:val="21"/>
                <w:lang w:eastAsia="zh-CN"/>
              </w:rPr>
              <w:t>了</w:t>
            </w:r>
            <w:r>
              <w:rPr>
                <w:rFonts w:hint="eastAsia"/>
                <w:color w:val="auto"/>
                <w:spacing w:val="-2"/>
                <w:szCs w:val="21"/>
                <w:lang w:val="en-US" w:eastAsia="zh-CN"/>
              </w:rPr>
              <w:t>明月</w:t>
            </w:r>
            <w:r>
              <w:rPr>
                <w:rFonts w:hint="default"/>
                <w:color w:val="auto"/>
                <w:spacing w:val="-2"/>
                <w:szCs w:val="21"/>
                <w:lang w:val="en-US" w:eastAsia="zh-CN"/>
              </w:rPr>
              <w:t>镇</w:t>
            </w:r>
            <w:r>
              <w:rPr>
                <w:rFonts w:hint="default"/>
                <w:color w:val="auto"/>
                <w:spacing w:val="-2"/>
                <w:szCs w:val="21"/>
              </w:rPr>
              <w:t>河道行洪能力，完善河段防洪体系</w:t>
            </w:r>
            <w:r>
              <w:rPr>
                <w:rFonts w:hint="eastAsia"/>
                <w:color w:val="auto"/>
                <w:spacing w:val="-2"/>
                <w:szCs w:val="21"/>
                <w:lang w:eastAsia="zh-CN"/>
              </w:rPr>
              <w:t>，</w:t>
            </w:r>
            <w:r>
              <w:rPr>
                <w:rFonts w:hint="eastAsia"/>
                <w:color w:val="auto"/>
                <w:spacing w:val="-2"/>
                <w:szCs w:val="21"/>
                <w:lang w:val="en-US" w:eastAsia="zh-CN"/>
              </w:rPr>
              <w:t>保障周边居民的安全，施工过程</w:t>
            </w:r>
            <w:r>
              <w:rPr>
                <w:b w:val="0"/>
                <w:color w:val="000000"/>
                <w:spacing w:val="-2"/>
                <w:sz w:val="21"/>
                <w:szCs w:val="21"/>
              </w:rPr>
              <w:t>设置临时截排水沟，</w:t>
            </w:r>
            <w:r>
              <w:rPr>
                <w:b w:val="0"/>
                <w:color w:val="000000"/>
                <w:spacing w:val="-3"/>
                <w:sz w:val="21"/>
                <w:szCs w:val="21"/>
              </w:rPr>
              <w:t>雨天雨水经雨水收集沟收集经沉砂池沉淀池后</w:t>
            </w:r>
            <w:r>
              <w:rPr>
                <w:b w:val="0"/>
                <w:color w:val="000000"/>
                <w:spacing w:val="-2"/>
                <w:sz w:val="21"/>
                <w:szCs w:val="21"/>
              </w:rPr>
              <w:t>排入就近自然雨水系统，施工期</w:t>
            </w:r>
            <w:r>
              <w:rPr>
                <w:b w:val="0"/>
                <w:color w:val="000000"/>
                <w:spacing w:val="-3"/>
                <w:sz w:val="21"/>
                <w:szCs w:val="21"/>
              </w:rPr>
              <w:t>结束后对临时施工场地进行迹地恢</w:t>
            </w:r>
            <w:r>
              <w:rPr>
                <w:b w:val="0"/>
                <w:color w:val="000000"/>
                <w:spacing w:val="-2"/>
                <w:sz w:val="21"/>
                <w:szCs w:val="21"/>
              </w:rPr>
              <w:t>复等。</w:t>
            </w:r>
          </w:p>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color w:val="FF0000"/>
                <w:sz w:val="21"/>
                <w:szCs w:val="21"/>
                <w:highlight w:val="none"/>
              </w:rPr>
            </w:pPr>
            <w:r>
              <w:rPr>
                <w:rFonts w:hint="eastAsia"/>
                <w:color w:val="auto"/>
                <w:spacing w:val="-2"/>
                <w:szCs w:val="21"/>
                <w:lang w:val="en-US" w:eastAsia="zh-CN"/>
              </w:rPr>
              <w:t>5.</w:t>
            </w:r>
            <w:r>
              <w:rPr>
                <w:rFonts w:hint="default" w:ascii="Times New Roman" w:hAnsi="Times New Roman" w:cs="Times New Roman"/>
                <w:color w:val="auto"/>
                <w:sz w:val="21"/>
                <w:szCs w:val="21"/>
                <w:highlight w:val="none"/>
                <w:lang w:val="en-US" w:eastAsia="zh-CN"/>
              </w:rPr>
              <w:t>工程不涉及生态保护红线、自然保护区、风景名胜区、</w:t>
            </w:r>
            <w:r>
              <w:rPr>
                <w:rFonts w:hint="default" w:ascii="Times New Roman" w:hAnsi="Times New Roman" w:cs="Times New Roman"/>
                <w:color w:val="auto"/>
                <w:sz w:val="21"/>
                <w:szCs w:val="21"/>
                <w:highlight w:val="none"/>
              </w:rPr>
              <w:t>世界自然遗产地</w:t>
            </w:r>
            <w:r>
              <w:rPr>
                <w:rFonts w:hint="eastAsia" w:ascii="Times New Roman" w:hAnsi="Times New Roman" w:cs="Times New Roman"/>
                <w:color w:val="auto"/>
                <w:sz w:val="21"/>
                <w:szCs w:val="21"/>
                <w:highlight w:val="none"/>
                <w:lang w:val="en-US" w:eastAsia="zh-CN"/>
              </w:rPr>
              <w:t>等</w:t>
            </w:r>
            <w:r>
              <w:rPr>
                <w:rFonts w:hint="default" w:ascii="Times New Roman" w:hAnsi="Times New Roman" w:cs="Times New Roman"/>
                <w:color w:val="auto"/>
                <w:sz w:val="21"/>
                <w:szCs w:val="21"/>
                <w:highlight w:val="none"/>
              </w:rPr>
              <w:t>。</w:t>
            </w:r>
          </w:p>
        </w:tc>
        <w:tc>
          <w:tcPr>
            <w:tcW w:w="287" w:type="pc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none"/>
              </w:rPr>
            </w:pPr>
          </w:p>
        </w:tc>
        <w:tc>
          <w:tcPr>
            <w:tcW w:w="260"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none"/>
              </w:rPr>
            </w:pP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不符合空间布局要求活动的退出要求：</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1.全面取缔禁养区内规模化畜禽养殖场。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2.基本完成全域内“散乱污”企业整治工作。</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3.涉及的法定保护地，现有不符合相关保护区法律法规和规划的项目，应限期整改或关闭。</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FF0000"/>
                <w:sz w:val="21"/>
                <w:szCs w:val="21"/>
                <w:highlight w:val="none"/>
              </w:rPr>
            </w:pPr>
            <w:r>
              <w:rPr>
                <w:rFonts w:hint="eastAsia" w:ascii="Times New Roman" w:hAnsi="Times New Roman" w:cs="Times New Roman"/>
                <w:color w:val="auto"/>
                <w:sz w:val="21"/>
                <w:szCs w:val="21"/>
                <w:highlight w:val="none"/>
                <w:lang w:val="en-US" w:eastAsia="zh-CN"/>
              </w:rPr>
              <w:t>4.畜禽养殖严格按照遂宁市各区县畜禽养殖区域划定方案执行，依法关闭或搬迁禁养区内的畜禽养殖场（小区）和养殖专业户</w:t>
            </w:r>
            <w:r>
              <w:rPr>
                <w:rFonts w:hint="default" w:ascii="Times New Roman" w:hAnsi="Times New Roman" w:cs="Times New Roman"/>
                <w:color w:val="auto"/>
                <w:sz w:val="21"/>
                <w:szCs w:val="21"/>
                <w:highlight w:val="none"/>
              </w:rPr>
              <w:t>。</w:t>
            </w:r>
          </w:p>
        </w:tc>
        <w:tc>
          <w:tcPr>
            <w:tcW w:w="941"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eastAsia" w:cs="Times New Roman"/>
                <w:color w:val="auto"/>
                <w:sz w:val="21"/>
                <w:szCs w:val="21"/>
                <w:highlight w:val="none"/>
                <w:lang w:val="en-US" w:eastAsia="zh-CN"/>
              </w:rPr>
              <w:t>不属于畜禽养殖场，</w:t>
            </w:r>
            <w:r>
              <w:rPr>
                <w:rFonts w:hint="default" w:ascii="Times New Roman" w:hAnsi="Times New Roman" w:cs="Times New Roman"/>
                <w:color w:val="auto"/>
                <w:sz w:val="21"/>
                <w:szCs w:val="21"/>
                <w:highlight w:val="none"/>
              </w:rPr>
              <w:t>不</w:t>
            </w:r>
            <w:r>
              <w:rPr>
                <w:rFonts w:hint="default" w:ascii="Times New Roman" w:hAnsi="Times New Roman" w:cs="Times New Roman"/>
                <w:color w:val="auto"/>
                <w:sz w:val="21"/>
                <w:szCs w:val="21"/>
                <w:highlight w:val="none"/>
                <w:lang w:val="en-US" w:eastAsia="zh-CN"/>
              </w:rPr>
              <w:t>涉及生态保护红线、自然保护区、风景名胜区、</w:t>
            </w:r>
            <w:r>
              <w:rPr>
                <w:rFonts w:hint="default" w:ascii="Times New Roman" w:hAnsi="Times New Roman" w:cs="Times New Roman"/>
                <w:color w:val="auto"/>
                <w:sz w:val="21"/>
                <w:szCs w:val="21"/>
                <w:highlight w:val="none"/>
              </w:rPr>
              <w:t>世界自然遗产地</w:t>
            </w:r>
            <w:r>
              <w:rPr>
                <w:rFonts w:hint="eastAsia" w:ascii="Times New Roman" w:hAnsi="Times New Roman" w:cs="Times New Roman"/>
                <w:color w:val="auto"/>
                <w:sz w:val="21"/>
                <w:szCs w:val="21"/>
                <w:highlight w:val="none"/>
                <w:lang w:val="en-US" w:eastAsia="zh-CN"/>
              </w:rPr>
              <w:t>等</w:t>
            </w:r>
            <w:r>
              <w:rPr>
                <w:rFonts w:hint="default" w:ascii="Times New Roman" w:hAnsi="Times New Roman" w:cs="Times New Roman"/>
                <w:color w:val="auto"/>
                <w:sz w:val="21"/>
                <w:szCs w:val="21"/>
                <w:highlight w:val="none"/>
              </w:rPr>
              <w:t>。</w:t>
            </w:r>
          </w:p>
        </w:tc>
        <w:tc>
          <w:tcPr>
            <w:tcW w:w="287" w:type="pc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none"/>
              </w:rPr>
            </w:pPr>
          </w:p>
        </w:tc>
        <w:tc>
          <w:tcPr>
            <w:tcW w:w="260"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none"/>
              </w:rPr>
            </w:pP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eastAsia" w:ascii="Times New Roman" w:hAnsi="Times New Roman" w:cs="Times New Roman"/>
                <w:b/>
                <w:bCs/>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其他空间布局约束要求：</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新建矿山全部达到绿色矿山建设要求，生产矿山加快改造升级，逐步达到要求。</w:t>
            </w:r>
          </w:p>
        </w:tc>
        <w:tc>
          <w:tcPr>
            <w:tcW w:w="941"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本项目</w:t>
            </w:r>
            <w:r>
              <w:rPr>
                <w:rFonts w:hint="eastAsia" w:cs="Times New Roman"/>
                <w:color w:val="auto"/>
                <w:sz w:val="21"/>
                <w:szCs w:val="21"/>
                <w:highlight w:val="none"/>
                <w:lang w:val="en-US" w:eastAsia="zh-CN"/>
              </w:rPr>
              <w:t>不属于矿山项目</w:t>
            </w:r>
            <w:r>
              <w:rPr>
                <w:rFonts w:hint="default" w:ascii="Times New Roman" w:hAnsi="Times New Roman" w:cs="Times New Roman"/>
                <w:color w:val="auto"/>
                <w:sz w:val="21"/>
                <w:szCs w:val="21"/>
                <w:highlight w:val="none"/>
                <w:lang w:eastAsia="zh-CN"/>
              </w:rPr>
              <w:t>。</w:t>
            </w:r>
          </w:p>
        </w:tc>
        <w:tc>
          <w:tcPr>
            <w:tcW w:w="287" w:type="pc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none"/>
              </w:rPr>
            </w:pPr>
          </w:p>
        </w:tc>
        <w:tc>
          <w:tcPr>
            <w:tcW w:w="260"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b/>
                <w:bCs/>
                <w:color w:val="auto"/>
                <w:sz w:val="21"/>
                <w:szCs w:val="21"/>
                <w:highlight w:val="none"/>
              </w:rPr>
              <w:t>污染物排放管控</w:t>
            </w:r>
          </w:p>
        </w:tc>
        <w:tc>
          <w:tcPr>
            <w:tcW w:w="2588" w:type="pct"/>
            <w:vAlign w:val="center"/>
          </w:tcPr>
          <w:p>
            <w:pPr>
              <w:pStyle w:val="85"/>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cs="Times New Roman"/>
                <w:b w:val="0"/>
                <w:bCs w:val="0"/>
                <w:color w:val="auto"/>
                <w:sz w:val="21"/>
                <w:szCs w:val="21"/>
                <w:highlight w:val="none"/>
                <w:lang w:val="en-US" w:eastAsia="zh-CN"/>
              </w:rPr>
            </w:pPr>
            <w:r>
              <w:rPr>
                <w:rStyle w:val="39"/>
                <w:rFonts w:hint="default" w:ascii="Times New Roman" w:hAnsi="Times New Roman" w:eastAsia="宋体" w:cs="Times New Roman"/>
                <w:b w:val="0"/>
                <w:bCs w:val="0"/>
                <w:color w:val="auto"/>
                <w:kern w:val="0"/>
                <w:sz w:val="21"/>
                <w:szCs w:val="21"/>
                <w:lang w:val="en-US" w:eastAsia="zh-CN" w:bidi="ar-SA"/>
              </w:rPr>
              <w:t>允许排放量要求：/</w:t>
            </w:r>
          </w:p>
        </w:tc>
        <w:tc>
          <w:tcPr>
            <w:tcW w:w="941"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rPr>
            </w:pP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none"/>
              </w:rPr>
            </w:pPr>
          </w:p>
        </w:tc>
        <w:tc>
          <w:tcPr>
            <w:tcW w:w="260"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auto"/>
                <w:sz w:val="21"/>
                <w:szCs w:val="21"/>
                <w:highlight w:val="none"/>
              </w:rPr>
            </w:pP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Style w:val="39"/>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Style w:val="39"/>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现有源提标升级改造：</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Style w:val="39"/>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Style w:val="39"/>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1.水环境：推进各建制镇现有污水处理设施升级改造。</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Style w:val="39"/>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Style w:val="39"/>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t>2.大气环境：（1）砖瓦行业实施脱硫、除尘升级改造，污染物排放达到《砖瓦工业大气污染物排放标准》相关要求。（2）火电、水泥等行业按相关要求推进大气污染物超低排放和深度治理。</w:t>
            </w:r>
          </w:p>
        </w:tc>
        <w:tc>
          <w:tcPr>
            <w:tcW w:w="941"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本项目不属于污水处理设施项目；不属于砖瓦、水泥、火电类型项目，营运期无废气、废水产生。</w:t>
            </w: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Cs/>
                <w:color w:val="FF000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none"/>
              </w:rPr>
            </w:pPr>
          </w:p>
        </w:tc>
        <w:tc>
          <w:tcPr>
            <w:tcW w:w="260"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FF0000"/>
                <w:sz w:val="21"/>
                <w:szCs w:val="21"/>
                <w:highlight w:val="none"/>
              </w:rPr>
            </w:pPr>
          </w:p>
        </w:tc>
        <w:tc>
          <w:tcPr>
            <w:tcW w:w="2588" w:type="pct"/>
            <w:vAlign w:val="center"/>
          </w:tcPr>
          <w:p>
            <w:pPr>
              <w:pStyle w:val="85"/>
              <w:keepNext w:val="0"/>
              <w:keepLines w:val="0"/>
              <w:pageBreakBefore w:val="0"/>
              <w:widowControl w:val="0"/>
              <w:kinsoku/>
              <w:wordWrap/>
              <w:overflowPunct/>
              <w:topLinePunct w:val="0"/>
              <w:autoSpaceDE/>
              <w:autoSpaceDN/>
              <w:bidi w:val="0"/>
              <w:spacing w:line="240" w:lineRule="auto"/>
              <w:ind w:firstLine="0" w:firstLineChars="0"/>
              <w:jc w:val="both"/>
              <w:rPr>
                <w:rStyle w:val="39"/>
                <w:rFonts w:hint="default" w:ascii="Times New Roman" w:hAnsi="Times New Roman" w:eastAsia="宋体" w:cs="Times New Roman"/>
                <w:b/>
                <w:bCs/>
                <w:color w:val="auto"/>
                <w:kern w:val="0"/>
                <w:sz w:val="21"/>
                <w:szCs w:val="21"/>
                <w:lang w:val="en-US" w:eastAsia="zh-CN" w:bidi="ar-SA"/>
              </w:rPr>
            </w:pPr>
            <w:r>
              <w:rPr>
                <w:rStyle w:val="39"/>
                <w:rFonts w:hint="default" w:ascii="Times New Roman" w:hAnsi="Times New Roman" w:eastAsia="宋体" w:cs="Times New Roman"/>
                <w:b/>
                <w:bCs/>
                <w:color w:val="auto"/>
                <w:kern w:val="0"/>
                <w:sz w:val="21"/>
                <w:szCs w:val="21"/>
                <w:lang w:val="en-US" w:eastAsia="zh-CN" w:bidi="ar-SA"/>
              </w:rPr>
              <w:t>其他污染物排放管控要求：</w:t>
            </w:r>
          </w:p>
          <w:p>
            <w:pPr>
              <w:pStyle w:val="85"/>
              <w:keepNext w:val="0"/>
              <w:keepLines w:val="0"/>
              <w:pageBreakBefore w:val="0"/>
              <w:widowControl w:val="0"/>
              <w:kinsoku/>
              <w:wordWrap/>
              <w:overflowPunct/>
              <w:topLinePunct w:val="0"/>
              <w:autoSpaceDE/>
              <w:autoSpaceDN/>
              <w:bidi w:val="0"/>
              <w:spacing w:line="240" w:lineRule="auto"/>
              <w:ind w:firstLine="0" w:firstLineChars="0"/>
              <w:jc w:val="both"/>
              <w:rPr>
                <w:rStyle w:val="39"/>
                <w:rFonts w:hint="default" w:ascii="Times New Roman" w:hAnsi="Times New Roman" w:eastAsia="宋体" w:cs="Times New Roman"/>
                <w:b w:val="0"/>
                <w:bCs w:val="0"/>
                <w:color w:val="auto"/>
                <w:kern w:val="0"/>
                <w:sz w:val="21"/>
                <w:szCs w:val="21"/>
                <w:lang w:val="en-US" w:eastAsia="zh-CN" w:bidi="ar-SA"/>
              </w:rPr>
            </w:pPr>
            <w:r>
              <w:rPr>
                <w:rStyle w:val="39"/>
                <w:rFonts w:hint="default" w:ascii="Times New Roman" w:hAnsi="Times New Roman" w:eastAsia="宋体" w:cs="Times New Roman"/>
                <w:b w:val="0"/>
                <w:bCs w:val="0"/>
                <w:color w:val="auto"/>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大气环境重点管控区内，新增大气污染物排放的建设项目实施总量削减替代。</w:t>
            </w:r>
          </w:p>
          <w:p>
            <w:pPr>
              <w:pStyle w:val="85"/>
              <w:keepNext w:val="0"/>
              <w:keepLines w:val="0"/>
              <w:pageBreakBefore w:val="0"/>
              <w:widowControl w:val="0"/>
              <w:kinsoku/>
              <w:wordWrap/>
              <w:overflowPunct/>
              <w:topLinePunct w:val="0"/>
              <w:autoSpaceDE/>
              <w:autoSpaceDN/>
              <w:bidi w:val="0"/>
              <w:spacing w:line="240" w:lineRule="auto"/>
              <w:ind w:firstLine="0" w:firstLineChars="0"/>
              <w:jc w:val="both"/>
              <w:rPr>
                <w:rStyle w:val="39"/>
                <w:rFonts w:hint="default" w:ascii="Times New Roman" w:hAnsi="Times New Roman" w:eastAsia="宋体" w:cs="Times New Roman"/>
                <w:b w:val="0"/>
                <w:bCs w:val="0"/>
                <w:color w:val="auto"/>
                <w:kern w:val="0"/>
                <w:sz w:val="21"/>
                <w:szCs w:val="21"/>
                <w:lang w:val="en-US" w:eastAsia="zh-CN" w:bidi="ar-SA"/>
              </w:rPr>
            </w:pPr>
            <w:r>
              <w:rPr>
                <w:rStyle w:val="39"/>
                <w:rFonts w:hint="default" w:ascii="Times New Roman" w:hAnsi="Times New Roman" w:eastAsia="宋体" w:cs="Times New Roman"/>
                <w:b w:val="0"/>
                <w:bCs w:val="0"/>
                <w:color w:val="auto"/>
                <w:kern w:val="0"/>
                <w:sz w:val="21"/>
                <w:szCs w:val="21"/>
                <w:lang w:val="en-US" w:eastAsia="zh-CN" w:bidi="ar-SA"/>
              </w:rPr>
              <w:t>2.污染物排放绩效水平准入要求：（1）基本实现乡镇污水处理设施全覆盖，配套建设污水收集管网，乡镇污水处理率达到50%。（2）新、改扩建规模化畜禽养殖场（小区）要实施雨污分流、粪便污水资源化利用；大型规模养殖场粪污处理设施装备配套率达到100%，畜禽粪污基本实现资源化利用；散养密集区要实行畜禽粪便污水分户收集、集中处理利用。（3）到2025年，畜禽粪污综合利用率达到80%。（4）屠宰项目必须配套污水处理设施或进入城市污水管网。（5）全国主要农作物化肥、农药使用量实现零增长，利用率提高到40%以上，测土配方施肥技术推广覆盖率提高到90%以上，控制农村面源污染，采取灌排分离等措施控制农田氮磷流失。（6）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7）到2025年，废旧农膜回收利用率达到85%以上。</w:t>
            </w:r>
          </w:p>
          <w:p>
            <w:pPr>
              <w:pStyle w:val="85"/>
              <w:keepNext w:val="0"/>
              <w:keepLines w:val="0"/>
              <w:pageBreakBefore w:val="0"/>
              <w:widowControl w:val="0"/>
              <w:kinsoku/>
              <w:wordWrap/>
              <w:overflowPunct/>
              <w:topLinePunct w:val="0"/>
              <w:autoSpaceDE/>
              <w:autoSpaceDN/>
              <w:bidi w:val="0"/>
              <w:spacing w:line="240" w:lineRule="auto"/>
              <w:ind w:firstLine="0" w:firstLineChars="0"/>
              <w:jc w:val="both"/>
              <w:rPr>
                <w:rStyle w:val="39"/>
                <w:rFonts w:hint="default" w:ascii="Times New Roman" w:hAnsi="Times New Roman" w:eastAsia="宋体" w:cs="Times New Roman"/>
                <w:b w:val="0"/>
                <w:bCs w:val="0"/>
                <w:color w:val="auto"/>
                <w:kern w:val="0"/>
                <w:sz w:val="21"/>
                <w:szCs w:val="21"/>
                <w:lang w:val="en-US" w:eastAsia="zh-CN" w:bidi="ar-SA"/>
              </w:rPr>
            </w:pPr>
            <w:r>
              <w:rPr>
                <w:rStyle w:val="39"/>
                <w:rFonts w:hint="default" w:ascii="Times New Roman" w:hAnsi="Times New Roman" w:eastAsia="宋体" w:cs="Times New Roman"/>
                <w:b w:val="0"/>
                <w:bCs w:val="0"/>
                <w:color w:val="auto"/>
                <w:kern w:val="0"/>
                <w:sz w:val="21"/>
                <w:szCs w:val="21"/>
                <w:lang w:val="en-US" w:eastAsia="zh-CN" w:bidi="ar-SA"/>
              </w:rPr>
              <w:t>3.非金属矿行业绿色矿山建设要求：固体废物妥善处置率应达到100%；选矿废水重复利用率一般达到85%以上。</w:t>
            </w:r>
          </w:p>
          <w:p>
            <w:pPr>
              <w:pStyle w:val="85"/>
              <w:keepNext w:val="0"/>
              <w:keepLines w:val="0"/>
              <w:pageBreakBefore w:val="0"/>
              <w:widowControl w:val="0"/>
              <w:kinsoku/>
              <w:wordWrap/>
              <w:overflowPunct/>
              <w:topLinePunct w:val="0"/>
              <w:autoSpaceDE/>
              <w:autoSpaceDN/>
              <w:bidi w:val="0"/>
              <w:spacing w:line="240" w:lineRule="auto"/>
              <w:ind w:firstLine="0" w:firstLineChars="0"/>
              <w:jc w:val="both"/>
              <w:rPr>
                <w:rStyle w:val="39"/>
                <w:rFonts w:hint="default" w:ascii="Times New Roman" w:hAnsi="Times New Roman" w:eastAsia="宋体" w:cs="Times New Roman"/>
                <w:b w:val="0"/>
                <w:bCs w:val="0"/>
                <w:color w:val="FF0000"/>
                <w:kern w:val="0"/>
                <w:sz w:val="21"/>
                <w:szCs w:val="21"/>
                <w:lang w:val="en-US" w:eastAsia="zh-CN" w:bidi="ar-SA"/>
              </w:rPr>
            </w:pPr>
            <w:r>
              <w:rPr>
                <w:rStyle w:val="39"/>
                <w:rFonts w:hint="default" w:ascii="Times New Roman" w:hAnsi="Times New Roman" w:eastAsia="宋体" w:cs="Times New Roman"/>
                <w:b w:val="0"/>
                <w:bCs w:val="0"/>
                <w:color w:val="auto"/>
                <w:kern w:val="0"/>
                <w:sz w:val="21"/>
                <w:szCs w:val="21"/>
                <w:lang w:val="en-US" w:eastAsia="zh-CN" w:bidi="ar-SA"/>
              </w:rPr>
              <w:t>4.非金属矿行业绿色矿山建设要求：固体废物妥善处置率应达到100%；选矿废水重复利用率一般达到85%以上。</w:t>
            </w:r>
          </w:p>
        </w:tc>
        <w:tc>
          <w:tcPr>
            <w:tcW w:w="941" w:type="pc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1.本项目营运期无废气、废水产生；</w:t>
            </w:r>
          </w:p>
          <w:p>
            <w:pPr>
              <w:pStyle w:val="15"/>
              <w:keepNext w:val="0"/>
              <w:keepLines w:val="0"/>
              <w:pageBreakBefore w:val="0"/>
              <w:kinsoku/>
              <w:wordWrap/>
              <w:overflowPunct/>
              <w:topLinePunct w:val="0"/>
              <w:autoSpaceDE/>
              <w:autoSpaceDN/>
              <w:bidi w:val="0"/>
              <w:spacing w:line="240" w:lineRule="auto"/>
              <w:ind w:firstLine="0" w:firstLineChars="0"/>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2.本项目不属于污水处理设施、畜禽养殖场、屠宰项目，不涉及化肥、农药的使用；</w:t>
            </w:r>
          </w:p>
          <w:p>
            <w:pPr>
              <w:pStyle w:val="15"/>
              <w:keepNext w:val="0"/>
              <w:keepLines w:val="0"/>
              <w:pageBreakBefore w:val="0"/>
              <w:kinsoku/>
              <w:wordWrap/>
              <w:overflowPunct/>
              <w:topLinePunct w:val="0"/>
              <w:autoSpaceDE/>
              <w:autoSpaceDN/>
              <w:bidi w:val="0"/>
              <w:spacing w:line="240" w:lineRule="auto"/>
              <w:ind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3.本项目施工过程中生活垃圾由环卫定期清运，建筑垃圾运往政府规定场地处置；营运期不产生生活垃圾和其他固废。</w:t>
            </w: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rPr>
            </w:pPr>
          </w:p>
        </w:tc>
        <w:tc>
          <w:tcPr>
            <w:tcW w:w="260"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环境风险管控</w:t>
            </w: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联防联控要求：</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加强成都平原经济区信息共享和联动合作，协力推进产业和能源结构优化调整，加强大气污染源头防控，加强潼遂合作。</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不涉及清淤，不产生污泥，不涉及农药使用</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rPr>
            </w:pPr>
          </w:p>
        </w:tc>
        <w:tc>
          <w:tcPr>
            <w:tcW w:w="260"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Style w:val="39"/>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Style w:val="39"/>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其他环境风险防控要求：</w:t>
            </w:r>
          </w:p>
          <w:p>
            <w:pPr>
              <w:pStyle w:val="15"/>
              <w:keepNext w:val="0"/>
              <w:keepLines w:val="0"/>
              <w:pageBreakBefore w:val="0"/>
              <w:kinsoku/>
              <w:wordWrap/>
              <w:overflowPunct/>
              <w:topLinePunct w:val="0"/>
              <w:autoSpaceDE/>
              <w:autoSpaceDN/>
              <w:bidi w:val="0"/>
              <w:spacing w:line="240" w:lineRule="auto"/>
              <w:ind w:firstLine="0" w:firstLineChars="0"/>
              <w:rPr>
                <w:rStyle w:val="39"/>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Style w:val="39"/>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1.企业环境风险防控要求：（1）列入建设用地土壤污染风险管控和修复名录的地块，不得作为住宅、公共管理与公共服务用地。（2）加强</w:t>
            </w:r>
            <w:r>
              <w:rPr>
                <w:rStyle w:val="39"/>
                <w:rFonts w:hint="eastAsia" w:ascii="宋体" w:hAnsi="宋体" w:eastAsia="宋体" w:cs="宋体"/>
                <w:color w:val="000000" w:themeColor="text1"/>
                <w:kern w:val="0"/>
                <w:sz w:val="21"/>
                <w:szCs w:val="21"/>
                <w:lang w:val="en-US" w:eastAsia="zh-CN" w:bidi="ar-SA"/>
                <w14:textFill>
                  <w14:solidFill>
                    <w14:schemeClr w14:val="tx1"/>
                  </w14:solidFill>
                </w14:textFill>
              </w:rPr>
              <w:t>“散乱污”</w:t>
            </w:r>
            <w:r>
              <w:rPr>
                <w:rStyle w:val="39"/>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企业环境风险防控。</w:t>
            </w:r>
          </w:p>
          <w:p>
            <w:pPr>
              <w:pStyle w:val="15"/>
              <w:keepNext w:val="0"/>
              <w:keepLines w:val="0"/>
              <w:pageBreakBefore w:val="0"/>
              <w:kinsoku/>
              <w:wordWrap/>
              <w:overflowPunct/>
              <w:topLinePunct w:val="0"/>
              <w:autoSpaceDE/>
              <w:autoSpaceDN/>
              <w:bidi w:val="0"/>
              <w:spacing w:line="240" w:lineRule="auto"/>
              <w:ind w:firstLine="0" w:firstLineChars="0"/>
              <w:rPr>
                <w:rStyle w:val="39"/>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Style w:val="39"/>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2.（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kern w:val="0"/>
                <w:sz w:val="21"/>
                <w:szCs w:val="21"/>
                <w:highlight w:val="none"/>
                <w14:textFill>
                  <w14:solidFill>
                    <w14:schemeClr w14:val="tx1"/>
                  </w14:solidFill>
                </w14:textFill>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shd w:val="clear" w:color="auto" w:fill="FFFFFF"/>
                <w14:textFill>
                  <w14:solidFill>
                    <w14:schemeClr w14:val="tx1"/>
                  </w14:solidFill>
                </w14:textFill>
              </w:rPr>
            </w:pPr>
          </w:p>
        </w:tc>
        <w:tc>
          <w:tcPr>
            <w:tcW w:w="260"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shd w:val="clear" w:color="auto" w:fill="FFFFFF"/>
                <w14:textFill>
                  <w14:solidFill>
                    <w14:schemeClr w14:val="tx1"/>
                  </w14:solidFill>
                </w14:textFill>
              </w:rPr>
              <w:t>资源开发利用效率要求</w:t>
            </w: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水资源利用</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总量</w:t>
            </w:r>
            <w:r>
              <w:rPr>
                <w:rFonts w:hint="default" w:ascii="Times New Roman" w:hAnsi="Times New Roman" w:cs="Times New Roman"/>
                <w:b/>
                <w:bCs/>
                <w:color w:val="000000" w:themeColor="text1"/>
                <w:sz w:val="21"/>
                <w:szCs w:val="21"/>
                <w:highlight w:val="none"/>
                <w14:textFill>
                  <w14:solidFill>
                    <w14:schemeClr w14:val="tx1"/>
                  </w14:solidFill>
                </w14:textFill>
              </w:rPr>
              <w:t>要求：</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1.2025年，农田灌溉有效利用系数提高到0.554；</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eastAsia="zh-CN"/>
                <w14:textFill>
                  <w14:solidFill>
                    <w14:schemeClr w14:val="tx1"/>
                  </w14:solidFill>
                </w14:textFill>
              </w:rPr>
              <w:t>2.2030年，农田灌溉水有效利用系数提高到0.6。</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本项目不涉及开采地下水</w:t>
            </w:r>
            <w:r>
              <w:rPr>
                <w:rFonts w:hint="eastAsia" w:cs="Times New Roman"/>
                <w:color w:val="000000" w:themeColor="text1"/>
                <w:sz w:val="21"/>
                <w:szCs w:val="21"/>
                <w:highlight w:val="none"/>
                <w:lang w:val="en-US" w:eastAsia="zh-CN"/>
                <w14:textFill>
                  <w14:solidFill>
                    <w14:schemeClr w14:val="tx1"/>
                  </w14:solidFill>
                </w14:textFill>
              </w:rPr>
              <w:t>；不涉及燃煤设施和秸秆焚烧。</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kern w:val="0"/>
                <w:sz w:val="21"/>
                <w:szCs w:val="21"/>
                <w:highlight w:val="none"/>
                <w14:textFill>
                  <w14:solidFill>
                    <w14:schemeClr w14:val="tx1"/>
                  </w14:solidFill>
                </w14:textFill>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shd w:val="clear" w:color="auto" w:fill="FFFFFF"/>
                <w14:textFill>
                  <w14:solidFill>
                    <w14:schemeClr w14:val="tx1"/>
                  </w14:solidFill>
                </w14:textFill>
              </w:rPr>
            </w:pPr>
          </w:p>
        </w:tc>
        <w:tc>
          <w:tcPr>
            <w:tcW w:w="260"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shd w:val="clear" w:color="auto" w:fill="FFFFFF"/>
                <w14:textFill>
                  <w14:solidFill>
                    <w14:schemeClr w14:val="tx1"/>
                  </w14:solidFill>
                </w14:textFill>
              </w:rPr>
            </w:pP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地下水开采要求</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全面建设节水型社会，达到合理高效用水。</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kern w:val="0"/>
                <w:sz w:val="21"/>
                <w:szCs w:val="21"/>
                <w:highlight w:val="none"/>
                <w14:textFill>
                  <w14:solidFill>
                    <w14:schemeClr w14:val="tx1"/>
                  </w14:solidFill>
                </w14:textFill>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shd w:val="clear" w:color="auto" w:fill="FFFFFF"/>
                <w14:textFill>
                  <w14:solidFill>
                    <w14:schemeClr w14:val="tx1"/>
                  </w14:solidFill>
                </w14:textFill>
              </w:rPr>
            </w:pPr>
          </w:p>
        </w:tc>
        <w:tc>
          <w:tcPr>
            <w:tcW w:w="260"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shd w:val="clear" w:color="auto" w:fill="FFFFFF"/>
                <w14:textFill>
                  <w14:solidFill>
                    <w14:schemeClr w14:val="tx1"/>
                  </w14:solidFill>
                </w14:textFill>
              </w:rPr>
            </w:pPr>
          </w:p>
        </w:tc>
        <w:tc>
          <w:tcPr>
            <w:tcW w:w="2588" w:type="pct"/>
            <w:vAlign w:val="center"/>
          </w:tcPr>
          <w:p>
            <w:pPr>
              <w:pStyle w:val="85"/>
              <w:keepNext w:val="0"/>
              <w:keepLines w:val="0"/>
              <w:pageBreakBefore w:val="0"/>
              <w:widowControl w:val="0"/>
              <w:kinsoku/>
              <w:wordWrap/>
              <w:overflowPunct/>
              <w:topLinePunct w:val="0"/>
              <w:autoSpaceDE/>
              <w:autoSpaceDN/>
              <w:bidi w:val="0"/>
              <w:spacing w:line="240" w:lineRule="auto"/>
              <w:ind w:firstLine="0" w:firstLineChars="0"/>
              <w:jc w:val="both"/>
              <w:rPr>
                <w:rStyle w:val="39"/>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Style w:val="39"/>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能源利用总量及效率要求：</w:t>
            </w:r>
          </w:p>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1.推进清洁能源的推广使用，全面推进散煤清洁化整治；禁止新建每小时10蒸吨以下的燃煤锅炉及其他燃煤设施。</w:t>
            </w:r>
          </w:p>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2.全市秸秆综合利用率达到92%以上。</w:t>
            </w:r>
          </w:p>
          <w:p>
            <w:pPr>
              <w:pStyle w:val="15"/>
              <w:keepNext w:val="0"/>
              <w:keepLines w:val="0"/>
              <w:pageBreakBefore w:val="0"/>
              <w:kinsoku/>
              <w:wordWrap/>
              <w:overflowPunct/>
              <w:topLinePunct w:val="0"/>
              <w:autoSpaceDE/>
              <w:autoSpaceDN/>
              <w:bidi w:val="0"/>
              <w:spacing w:line="240" w:lineRule="auto"/>
              <w:ind w:firstLine="0" w:firstLineChars="0"/>
              <w:rPr>
                <w:rStyle w:val="39"/>
                <w:rFonts w:hint="default" w:ascii="Times New Roman" w:hAnsi="Times New Roman" w:eastAsia="宋体" w:cs="Times New Roman"/>
                <w:b w:val="0"/>
                <w:bCs w:val="0"/>
                <w:color w:val="000000" w:themeColor="text1"/>
                <w:kern w:val="0"/>
                <w:sz w:val="21"/>
                <w:szCs w:val="21"/>
                <w:lang w:val="en-US" w:eastAsia="zh-CN" w:bidi="ar-SA"/>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3.全市基本消除秸秆露天焚烧污染。</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禁燃区要求</w:t>
            </w:r>
            <w:r>
              <w:rPr>
                <w:rFonts w:hint="default" w:ascii="Times New Roman" w:hAnsi="Times New Roman" w:cs="Times New Roman"/>
                <w:b/>
                <w:bCs/>
                <w:color w:val="000000" w:themeColor="text1"/>
                <w:sz w:val="21"/>
                <w:szCs w:val="21"/>
                <w:highlight w:val="none"/>
                <w:lang w:eastAsia="zh-CN"/>
                <w14:textFill>
                  <w14:solidFill>
                    <w14:schemeClr w14:val="tx1"/>
                  </w14:solidFill>
                </w14:textFill>
              </w:rPr>
              <w:t>：</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1.禁燃区内禁止燃烧以下高污染燃料：</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（1）煤炭及其制品（包括原煤、散煤、煤矸石、煤泥、煤 粉、水浆煤、型煤、焦炭、兰炭、油类等常规燃料）。</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（2）石油焦、油页岩、原油、重油、渣油、煤焦油。</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（3）非专用锅炉或未配置高效除尘设施的专用锅炉燃用的生物质成型燃料。</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2.禁燃区内禁止新建、扩建燃用高污染燃料的锅炉、炉窑、炉灶等燃烧设施（集中供热、电厂锅炉除外）。</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3.自2020年1月1日起，禁燃区内禁止销售高污染燃料。</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4.加强对集中供热、电厂锅炉、10蒸吨/时以上的在用燃煤锅炉以及改用清洁能源前的在用锅炉等燃烧设施的监管，确保达标排放</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本项目为</w:t>
            </w:r>
            <w:r>
              <w:rPr>
                <w:rFonts w:hint="eastAsia" w:cs="Times New Roman"/>
                <w:color w:val="000000" w:themeColor="text1"/>
                <w:sz w:val="21"/>
                <w:szCs w:val="21"/>
                <w:highlight w:val="none"/>
                <w:lang w:val="en-US" w:eastAsia="zh-CN"/>
                <w14:textFill>
                  <w14:solidFill>
                    <w14:schemeClr w14:val="tx1"/>
                  </w14:solidFill>
                </w14:textFill>
              </w:rPr>
              <w:t>防洪治理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工程，不涉及燃煤、锅炉等。</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vMerge w:val="continue"/>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color w:val="FF0000"/>
                <w:sz w:val="21"/>
                <w:szCs w:val="21"/>
                <w:highlight w:val="none"/>
              </w:rPr>
            </w:pPr>
            <w:r>
              <w:rPr>
                <w:rFonts w:hint="default" w:ascii="Times New Roman" w:hAnsi="Times New Roman" w:cs="Times New Roman"/>
                <w:b w:val="0"/>
                <w:bCs w:val="0"/>
                <w:color w:val="auto"/>
                <w:sz w:val="21"/>
                <w:szCs w:val="21"/>
                <w:highlight w:val="none"/>
              </w:rPr>
              <w:t>其他资源利用效率要求：</w:t>
            </w:r>
            <w:r>
              <w:rPr>
                <w:rFonts w:hint="default" w:ascii="Times New Roman" w:hAnsi="Times New Roman" w:cs="Times New Roman"/>
                <w:b w:val="0"/>
                <w:bCs w:val="0"/>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bCs/>
                <w:color w:val="auto"/>
                <w:sz w:val="21"/>
                <w:szCs w:val="21"/>
                <w:highlight w:val="none"/>
                <w:shd w:val="clear" w:color="auto" w:fill="FFFFFF"/>
              </w:rPr>
              <w:t>单元级清单管控要求</w:t>
            </w: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color w:val="auto"/>
                <w:sz w:val="21"/>
                <w:szCs w:val="21"/>
                <w:highlight w:val="none"/>
              </w:rPr>
              <w:t>空间布局约束要求</w:t>
            </w:r>
          </w:p>
        </w:tc>
        <w:tc>
          <w:tcPr>
            <w:tcW w:w="2588" w:type="pct"/>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rPr>
              <w:t>禁止开发建设活动的要求</w:t>
            </w:r>
            <w:r>
              <w:rPr>
                <w:rFonts w:hint="eastAsia" w:ascii="Times New Roman" w:hAnsi="Times New Roman" w:cs="Times New Roman"/>
                <w:b/>
                <w:color w:val="auto"/>
                <w:sz w:val="21"/>
                <w:szCs w:val="21"/>
                <w:highlight w:val="none"/>
                <w:lang w:eastAsia="zh-CN"/>
              </w:rPr>
              <w:t>：</w:t>
            </w:r>
          </w:p>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参照遂宁市总体准入要求-一般管控单元</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rPr>
              <w:t>限制开发建设活动的要求</w:t>
            </w:r>
            <w:r>
              <w:rPr>
                <w:rFonts w:hint="eastAsia" w:ascii="Times New Roman" w:hAnsi="Times New Roman" w:cs="Times New Roman"/>
                <w:b/>
                <w:color w:val="auto"/>
                <w:sz w:val="21"/>
                <w:szCs w:val="21"/>
                <w:highlight w:val="none"/>
                <w:lang w:val="en-US" w:eastAsia="zh-CN"/>
              </w:rPr>
              <w:t>：</w:t>
            </w:r>
          </w:p>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1.对四川省主体功能区划中的农产品主产区，应限制进行大规模高强度工业化城镇化开发，严格控制有色金属冶炼、石油加工、化工、焦化、电镀、制革等产能，原则上不增加产能</w:t>
            </w:r>
          </w:p>
          <w:p>
            <w:pPr>
              <w:pStyle w:val="15"/>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cs="Times New Roman"/>
                <w:b w:val="0"/>
                <w:bCs/>
                <w:color w:val="auto"/>
                <w:sz w:val="21"/>
                <w:szCs w:val="21"/>
                <w:highlight w:val="none"/>
                <w:lang w:eastAsia="zh-CN"/>
              </w:rPr>
            </w:pPr>
            <w:r>
              <w:rPr>
                <w:rFonts w:hint="eastAsia" w:ascii="Times New Roman" w:hAnsi="Times New Roman" w:cs="Times New Roman"/>
                <w:b w:val="0"/>
                <w:bCs/>
                <w:color w:val="auto"/>
                <w:sz w:val="21"/>
                <w:szCs w:val="21"/>
                <w:highlight w:val="none"/>
                <w:lang w:eastAsia="zh-CN"/>
              </w:rPr>
              <w:t>2.其他要求参照遂宁市总体准入要求-一般管控单元</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color w:val="auto"/>
                <w:sz w:val="21"/>
                <w:szCs w:val="21"/>
                <w:highlight w:val="none"/>
              </w:rPr>
              <w:t>允许开发建设活动的要求</w:t>
            </w:r>
            <w:r>
              <w:rPr>
                <w:rFonts w:hint="eastAsia" w:ascii="Times New Roman" w:hAnsi="Times New Roman" w:cs="Times New Roman"/>
                <w:b/>
                <w:color w:val="auto"/>
                <w:sz w:val="21"/>
                <w:szCs w:val="21"/>
                <w:highlight w:val="none"/>
                <w:lang w:val="en-US" w:eastAsia="zh-CN"/>
              </w:rPr>
              <w:t>：/</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color w:val="auto"/>
                <w:sz w:val="21"/>
                <w:szCs w:val="21"/>
                <w:highlight w:val="none"/>
                <w:lang w:val="en-US" w:eastAsia="zh-CN"/>
              </w:rPr>
            </w:pPr>
            <w:r>
              <w:rPr>
                <w:rFonts w:hint="default" w:ascii="Times New Roman" w:hAnsi="Times New Roman" w:cs="Times New Roman"/>
                <w:b/>
                <w:color w:val="auto"/>
                <w:sz w:val="21"/>
                <w:szCs w:val="21"/>
                <w:highlight w:val="none"/>
              </w:rPr>
              <w:t>不符合空间布局要求活动的退出要求</w:t>
            </w:r>
            <w:r>
              <w:rPr>
                <w:rFonts w:hint="default" w:ascii="Times New Roman" w:hAnsi="Times New Roman" w:cs="Times New Roman"/>
                <w:b/>
                <w:color w:val="auto"/>
                <w:sz w:val="21"/>
                <w:szCs w:val="21"/>
                <w:highlight w:val="none"/>
                <w:lang w:val="en-US" w:eastAsia="zh-CN"/>
              </w:rPr>
              <w:t>:</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1.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2.其他要求参照遂宁市总体准入要求-一般管控单元</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color w:val="FF0000"/>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其他空间布局约束要求</w:t>
            </w:r>
            <w:r>
              <w:rPr>
                <w:rFonts w:hint="default" w:ascii="Times New Roman" w:hAnsi="Times New Roman" w:cs="Times New Roman"/>
                <w:b w:val="0"/>
                <w:bCs/>
                <w:color w:val="auto"/>
                <w:sz w:val="21"/>
                <w:szCs w:val="21"/>
                <w:highlight w:val="none"/>
              </w:rPr>
              <w:t>：</w:t>
            </w:r>
            <w:r>
              <w:rPr>
                <w:rFonts w:hint="default" w:ascii="Times New Roman" w:hAnsi="Times New Roman" w:cs="Times New Roman"/>
                <w:b w:val="0"/>
                <w:bCs/>
                <w:color w:val="auto"/>
                <w:sz w:val="21"/>
                <w:szCs w:val="21"/>
                <w:highlight w:val="none"/>
                <w:lang w:val="en-US" w:eastAsia="zh-CN"/>
              </w:rPr>
              <w:t>/</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本项目为</w:t>
            </w:r>
            <w:r>
              <w:rPr>
                <w:rFonts w:hint="eastAsia" w:cs="Times New Roman"/>
                <w:color w:val="000000" w:themeColor="text1"/>
                <w:sz w:val="21"/>
                <w:szCs w:val="21"/>
                <w:highlight w:val="none"/>
                <w:lang w:val="en-US" w:eastAsia="zh-CN"/>
                <w14:textFill>
                  <w14:solidFill>
                    <w14:schemeClr w14:val="tx1"/>
                  </w14:solidFill>
                </w14:textFill>
              </w:rPr>
              <w:t>防洪治理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工程，不属于</w:t>
            </w:r>
            <w:r>
              <w:rPr>
                <w:rFonts w:hint="eastAsia" w:ascii="Times New Roman" w:hAnsi="Times New Roman" w:cs="Times New Roman"/>
                <w:b w:val="0"/>
                <w:bCs/>
                <w:color w:val="000000" w:themeColor="text1"/>
                <w:sz w:val="21"/>
                <w:szCs w:val="21"/>
                <w:highlight w:val="none"/>
                <w:lang w:eastAsia="zh-CN"/>
                <w14:textFill>
                  <w14:solidFill>
                    <w14:schemeClr w14:val="tx1"/>
                  </w14:solidFill>
                </w14:textFill>
              </w:rPr>
              <w:t>有色金属冶炼、石油加工、化工、焦化、电镀、制革等</w:t>
            </w:r>
            <w:r>
              <w:rPr>
                <w:rFonts w:hint="eastAsia" w:ascii="Times New Roman" w:hAnsi="Times New Roman" w:cs="Times New Roman"/>
                <w:b w:val="0"/>
                <w:bCs/>
                <w:color w:val="000000" w:themeColor="text1"/>
                <w:sz w:val="21"/>
                <w:szCs w:val="21"/>
                <w:highlight w:val="none"/>
                <w:lang w:val="en-US" w:eastAsia="zh-CN"/>
                <w14:textFill>
                  <w14:solidFill>
                    <w14:schemeClr w14:val="tx1"/>
                  </w14:solidFill>
                </w14:textFill>
              </w:rPr>
              <w:t>工业</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企业</w:t>
            </w:r>
            <w:r>
              <w:rPr>
                <w:rFonts w:hint="eastAsia" w:cs="Times New Roman"/>
                <w:color w:val="000000" w:themeColor="text1"/>
                <w:sz w:val="21"/>
                <w:szCs w:val="21"/>
                <w:highlight w:val="none"/>
                <w:lang w:val="en-US" w:eastAsia="zh-CN"/>
                <w14:textFill>
                  <w14:solidFill>
                    <w14:schemeClr w14:val="tx1"/>
                  </w14:solidFill>
                </w14:textFill>
              </w:rPr>
              <w:t>；</w:t>
            </w:r>
          </w:p>
          <w:p>
            <w:pPr>
              <w:pStyle w:val="15"/>
              <w:keepNext w:val="0"/>
              <w:keepLines w:val="0"/>
              <w:pageBreakBefore w:val="0"/>
              <w:kinsoku/>
              <w:wordWrap/>
              <w:overflowPunct/>
              <w:topLinePunct w:val="0"/>
              <w:autoSpaceDE/>
              <w:autoSpaceDN/>
              <w:bidi w:val="0"/>
              <w:spacing w:line="240" w:lineRule="auto"/>
              <w:ind w:firstLine="0" w:firstLineChars="0"/>
              <w:jc w:val="left"/>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2.项目不涉及开采地下水；</w:t>
            </w:r>
          </w:p>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项目符合遂宁市总体准入要求-</w:t>
            </w:r>
            <w:r>
              <w:rPr>
                <w:rFonts w:hint="eastAsia" w:cs="Times New Roman"/>
                <w:color w:val="000000" w:themeColor="text1"/>
                <w:sz w:val="21"/>
                <w:szCs w:val="21"/>
                <w:highlight w:val="none"/>
                <w:lang w:val="en-US" w:eastAsia="zh-CN"/>
                <w14:textFill>
                  <w14:solidFill>
                    <w14:schemeClr w14:val="tx1"/>
                  </w14:solidFill>
                </w14:textFill>
              </w:rPr>
              <w:t>一般管控</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单元</w:t>
            </w:r>
            <w:r>
              <w:rPr>
                <w:rFonts w:hint="default" w:ascii="Times New Roman" w:hAnsi="Times New Roman" w:cs="Times New Roman"/>
                <w:color w:val="000000" w:themeColor="text1"/>
                <w:sz w:val="21"/>
                <w:szCs w:val="21"/>
                <w:highlight w:val="none"/>
                <w14:textFill>
                  <w14:solidFill>
                    <w14:schemeClr w14:val="tx1"/>
                  </w14:solidFill>
                </w14:textFill>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shd w:val="clear" w:color="auto" w:fill="auto"/>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auto"/>
                <w:sz w:val="21"/>
                <w:szCs w:val="21"/>
                <w:highlight w:val="none"/>
              </w:rPr>
            </w:pPr>
            <w:r>
              <w:rPr>
                <w:rFonts w:hint="default" w:ascii="Times New Roman" w:hAnsi="Times New Roman" w:cs="Times New Roman"/>
                <w:b/>
                <w:bCs/>
                <w:color w:val="auto"/>
                <w:sz w:val="21"/>
                <w:szCs w:val="21"/>
                <w:highlight w:val="none"/>
              </w:rPr>
              <w:t>污染物排放管控要求</w:t>
            </w:r>
          </w:p>
        </w:tc>
        <w:tc>
          <w:tcPr>
            <w:tcW w:w="2588" w:type="pct"/>
            <w:shd w:val="clear" w:color="auto" w:fill="auto"/>
            <w:vAlign w:val="center"/>
          </w:tcPr>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现有源提标升级改造：参照遂宁市总体准入要求-一般管控单元</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新增源等量或倍量替代：参照遂宁市总体准入要求-一般管控单元</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新增源排放标准限值：/</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污染物排放绩效水平准入要求：参照遂宁市总体准入要求-一般管控单元</w:t>
            </w:r>
          </w:p>
          <w:p>
            <w:pPr>
              <w:pStyle w:val="15"/>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lang w:val="en-US" w:eastAsia="zh-CN"/>
              </w:rPr>
              <w:t>其他污染物排放管控要求：/</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环境风险防控要求</w:t>
            </w:r>
            <w:r>
              <w:rPr>
                <w:rFonts w:hint="default" w:ascii="Times New Roman" w:hAnsi="Times New Roman" w:cs="Times New Roman"/>
                <w:b/>
                <w:color w:val="auto"/>
                <w:sz w:val="21"/>
                <w:szCs w:val="21"/>
                <w:highlight w:val="none"/>
              </w:rPr>
              <w:t xml:space="preserve"> </w:t>
            </w:r>
          </w:p>
        </w:tc>
        <w:tc>
          <w:tcPr>
            <w:tcW w:w="2588" w:type="pct"/>
            <w:vAlign w:val="center"/>
          </w:tcPr>
          <w:p>
            <w:pPr>
              <w:pStyle w:val="85"/>
              <w:keepNext w:val="0"/>
              <w:keepLines w:val="0"/>
              <w:pageBreakBefore w:val="0"/>
              <w:widowControl/>
              <w:shd w:val="clear" w:color="auto"/>
              <w:kinsoku/>
              <w:wordWrap/>
              <w:overflowPunct/>
              <w:topLinePunct w:val="0"/>
              <w:autoSpaceDE/>
              <w:autoSpaceDN/>
              <w:bidi w:val="0"/>
              <w:spacing w:line="240" w:lineRule="auto"/>
              <w:ind w:firstLine="0" w:firstLineChars="0"/>
              <w:jc w:val="left"/>
              <w:rPr>
                <w:rStyle w:val="39"/>
                <w:rFonts w:hint="eastAsia" w:ascii="宋体" w:hAnsi="宋体" w:eastAsia="宋体" w:cs="宋体"/>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严格管控类农用地管控要求：</w:t>
            </w:r>
            <w:r>
              <w:rPr>
                <w:rFonts w:hint="eastAsia" w:ascii="宋体" w:hAnsi="宋体" w:eastAsia="宋体" w:cs="宋体"/>
                <w:b w:val="0"/>
                <w:bCs/>
                <w:color w:val="auto"/>
                <w:sz w:val="21"/>
                <w:szCs w:val="21"/>
                <w:highlight w:val="none"/>
                <w:lang w:val="en-US" w:eastAsia="zh-CN"/>
              </w:rPr>
              <w:t>参照遂宁市总体准入要求-一般管控单元</w:t>
            </w:r>
          </w:p>
          <w:p>
            <w:pPr>
              <w:pStyle w:val="85"/>
              <w:keepNext w:val="0"/>
              <w:keepLines w:val="0"/>
              <w:pageBreakBefore w:val="0"/>
              <w:widowControl/>
              <w:shd w:val="clear" w:color="auto"/>
              <w:kinsoku/>
              <w:wordWrap/>
              <w:overflowPunct/>
              <w:topLinePunct w:val="0"/>
              <w:autoSpaceDE/>
              <w:autoSpaceDN/>
              <w:bidi w:val="0"/>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安全利用类农用地管控要求：</w:t>
            </w:r>
            <w:r>
              <w:rPr>
                <w:rFonts w:hint="eastAsia" w:ascii="宋体" w:hAnsi="宋体" w:eastAsia="宋体" w:cs="宋体"/>
                <w:b w:val="0"/>
                <w:bCs/>
                <w:color w:val="auto"/>
                <w:sz w:val="21"/>
                <w:szCs w:val="21"/>
                <w:highlight w:val="none"/>
                <w:lang w:val="en-US" w:eastAsia="zh-CN"/>
              </w:rPr>
              <w:t>参照遂宁市总体准入要求-一般管控单元</w:t>
            </w:r>
          </w:p>
          <w:p>
            <w:pPr>
              <w:pStyle w:val="85"/>
              <w:keepNext w:val="0"/>
              <w:keepLines w:val="0"/>
              <w:pageBreakBefore w:val="0"/>
              <w:widowControl/>
              <w:shd w:val="clear" w:color="auto"/>
              <w:kinsoku/>
              <w:wordWrap/>
              <w:overflowPunct/>
              <w:topLinePunct w:val="0"/>
              <w:autoSpaceDE/>
              <w:autoSpaceDN/>
              <w:bidi w:val="0"/>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污染地块管控要求：</w:t>
            </w:r>
            <w:r>
              <w:rPr>
                <w:rFonts w:hint="eastAsia" w:ascii="宋体" w:hAnsi="宋体" w:eastAsia="宋体" w:cs="宋体"/>
                <w:b w:val="0"/>
                <w:bCs/>
                <w:color w:val="auto"/>
                <w:sz w:val="21"/>
                <w:szCs w:val="21"/>
                <w:highlight w:val="none"/>
                <w:lang w:val="en-US" w:eastAsia="zh-CN"/>
              </w:rPr>
              <w:t>参照遂宁市总体准入要求-一般管控单元</w:t>
            </w:r>
          </w:p>
          <w:p>
            <w:pPr>
              <w:pStyle w:val="85"/>
              <w:keepNext w:val="0"/>
              <w:keepLines w:val="0"/>
              <w:pageBreakBefore w:val="0"/>
              <w:widowControl/>
              <w:shd w:val="clear" w:color="auto"/>
              <w:kinsoku/>
              <w:wordWrap/>
              <w:overflowPunct/>
              <w:topLinePunct w:val="0"/>
              <w:autoSpaceDE/>
              <w:autoSpaceDN/>
              <w:bidi w:val="0"/>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园区环境风险防控要求：/</w:t>
            </w:r>
          </w:p>
          <w:p>
            <w:pPr>
              <w:pStyle w:val="85"/>
              <w:keepNext w:val="0"/>
              <w:keepLines w:val="0"/>
              <w:pageBreakBefore w:val="0"/>
              <w:widowControl/>
              <w:shd w:val="clear" w:color="auto"/>
              <w:kinsoku/>
              <w:wordWrap/>
              <w:overflowPunct/>
              <w:topLinePunct w:val="0"/>
              <w:autoSpaceDE/>
              <w:autoSpaceDN/>
              <w:bidi w:val="0"/>
              <w:spacing w:line="240" w:lineRule="auto"/>
              <w:ind w:firstLine="0" w:firstLineChars="0"/>
              <w:jc w:val="left"/>
              <w:rPr>
                <w:rStyle w:val="39"/>
                <w:rFonts w:hint="default" w:ascii="Times New Roman" w:hAnsi="Times New Roman" w:eastAsia="宋体" w:cs="Times New Roman"/>
                <w:color w:val="auto"/>
                <w:kern w:val="2"/>
                <w:sz w:val="21"/>
                <w:szCs w:val="21"/>
                <w:lang w:val="en-US" w:eastAsia="zh-CN" w:bidi="ar-SA"/>
              </w:rPr>
            </w:pPr>
            <w:r>
              <w:rPr>
                <w:rStyle w:val="39"/>
                <w:rFonts w:hint="default" w:ascii="Times New Roman" w:hAnsi="Times New Roman" w:eastAsia="宋体" w:cs="Times New Roman"/>
                <w:color w:val="auto"/>
                <w:kern w:val="2"/>
                <w:sz w:val="21"/>
                <w:szCs w:val="21"/>
                <w:lang w:val="en-US" w:eastAsia="zh-CN" w:bidi="ar-SA"/>
              </w:rPr>
              <w:t>企业环境风险防控要求：</w:t>
            </w:r>
            <w:r>
              <w:rPr>
                <w:rFonts w:hint="eastAsia" w:ascii="宋体" w:hAnsi="宋体" w:eastAsia="宋体" w:cs="宋体"/>
                <w:b w:val="0"/>
                <w:bCs/>
                <w:color w:val="auto"/>
                <w:sz w:val="21"/>
                <w:szCs w:val="21"/>
                <w:highlight w:val="none"/>
                <w:lang w:val="en-US" w:eastAsia="zh-CN"/>
              </w:rPr>
              <w:t>参照遂宁市总体准入要求-一般管控单元</w:t>
            </w:r>
          </w:p>
          <w:p>
            <w:pPr>
              <w:pStyle w:val="85"/>
              <w:keepNext w:val="0"/>
              <w:keepLines w:val="0"/>
              <w:pageBreakBefore w:val="0"/>
              <w:widowControl/>
              <w:shd w:val="clear" w:color="auto"/>
              <w:kinsoku/>
              <w:wordWrap/>
              <w:overflowPunct/>
              <w:topLinePunct w:val="0"/>
              <w:autoSpaceDE/>
              <w:autoSpaceDN/>
              <w:bidi w:val="0"/>
              <w:spacing w:line="240" w:lineRule="auto"/>
              <w:ind w:firstLine="0" w:firstLineChars="0"/>
              <w:jc w:val="left"/>
              <w:rPr>
                <w:rFonts w:hint="default" w:ascii="Times New Roman" w:hAnsi="Times New Roman" w:cs="Times New Roman"/>
                <w:b w:val="0"/>
                <w:bCs/>
                <w:color w:val="auto"/>
                <w:sz w:val="21"/>
                <w:szCs w:val="21"/>
                <w:highlight w:val="none"/>
                <w:lang w:val="en-US" w:eastAsia="zh-CN"/>
              </w:rPr>
            </w:pPr>
            <w:r>
              <w:rPr>
                <w:rStyle w:val="39"/>
                <w:rFonts w:hint="default" w:ascii="Times New Roman" w:hAnsi="Times New Roman" w:eastAsia="宋体" w:cs="Times New Roman"/>
                <w:color w:val="auto"/>
                <w:kern w:val="2"/>
                <w:sz w:val="21"/>
                <w:szCs w:val="21"/>
                <w:lang w:val="en-US" w:eastAsia="zh-CN" w:bidi="ar-SA"/>
              </w:rPr>
              <w:t>其他环境风险防控要求：/</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shd w:val="clear" w:color="auto" w:fill="FFFFFF"/>
              </w:rPr>
              <w:t>资源开发利用效率要求</w:t>
            </w:r>
          </w:p>
        </w:tc>
        <w:tc>
          <w:tcPr>
            <w:tcW w:w="2588" w:type="pct"/>
            <w:vAlign w:val="center"/>
          </w:tcPr>
          <w:p>
            <w:pPr>
              <w:pStyle w:val="85"/>
              <w:keepNext w:val="0"/>
              <w:keepLines w:val="0"/>
              <w:pageBreakBefore w:val="0"/>
              <w:widowControl/>
              <w:shd w:val="clear" w:color="auto"/>
              <w:kinsoku/>
              <w:wordWrap/>
              <w:overflowPunct/>
              <w:topLinePunct w:val="0"/>
              <w:autoSpaceDE/>
              <w:autoSpaceDN/>
              <w:bidi w:val="0"/>
              <w:spacing w:line="240" w:lineRule="auto"/>
              <w:ind w:firstLine="0" w:firstLineChars="0"/>
              <w:jc w:val="left"/>
              <w:rPr>
                <w:rFonts w:hint="default" w:ascii="Times New Roman" w:hAnsi="Times New Roman" w:cs="Times New Roman"/>
                <w:b w:val="0"/>
                <w:bCs w:val="0"/>
                <w:color w:val="auto"/>
                <w:kern w:val="2"/>
                <w:sz w:val="21"/>
                <w:szCs w:val="21"/>
                <w:highlight w:val="none"/>
                <w:shd w:val="clear" w:color="auto" w:fill="FFFFFF"/>
                <w:lang w:bidi="ar"/>
              </w:rPr>
            </w:pPr>
            <w:r>
              <w:rPr>
                <w:rFonts w:hint="eastAsia" w:ascii="宋体" w:hAnsi="宋体" w:eastAsia="宋体" w:cs="宋体"/>
                <w:b w:val="0"/>
                <w:bCs w:val="0"/>
                <w:color w:val="auto"/>
                <w:kern w:val="2"/>
                <w:sz w:val="21"/>
                <w:szCs w:val="21"/>
                <w:highlight w:val="none"/>
                <w:shd w:val="clear" w:color="auto" w:fill="FFFFFF"/>
                <w:lang w:bidi="ar"/>
              </w:rPr>
              <w:t>水资源利用效率要求</w:t>
            </w:r>
            <w:r>
              <w:rPr>
                <w:rFonts w:hint="eastAsia" w:ascii="宋体" w:hAnsi="宋体" w:eastAsia="宋体" w:cs="宋体"/>
                <w:b w:val="0"/>
                <w:bCs w:val="0"/>
                <w:color w:val="auto"/>
                <w:kern w:val="2"/>
                <w:sz w:val="21"/>
                <w:szCs w:val="21"/>
                <w:highlight w:val="none"/>
                <w:shd w:val="clear" w:color="auto" w:fill="FFFFFF"/>
                <w:lang w:eastAsia="zh-CN" w:bidi="ar"/>
              </w:rPr>
              <w:t>：</w:t>
            </w:r>
            <w:r>
              <w:rPr>
                <w:rFonts w:hint="eastAsia" w:ascii="宋体" w:hAnsi="宋体" w:eastAsia="宋体" w:cs="宋体"/>
                <w:b w:val="0"/>
                <w:bCs/>
                <w:color w:val="auto"/>
                <w:sz w:val="21"/>
                <w:szCs w:val="21"/>
                <w:highlight w:val="none"/>
                <w:lang w:val="en-US" w:eastAsia="zh-CN"/>
              </w:rPr>
              <w:t>参照遂宁市总体准入要求-一般管控单元</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bCs/>
                <w:color w:val="auto"/>
                <w:kern w:val="2"/>
                <w:sz w:val="21"/>
                <w:szCs w:val="21"/>
                <w:highlight w:val="none"/>
                <w:shd w:val="clear" w:color="auto" w:fill="FFFFFF"/>
                <w:lang w:eastAsia="zh-CN" w:bidi="ar"/>
              </w:rPr>
            </w:pPr>
            <w:r>
              <w:rPr>
                <w:rFonts w:hint="default" w:ascii="Times New Roman" w:hAnsi="Times New Roman" w:cs="Times New Roman"/>
                <w:b/>
                <w:bCs/>
                <w:color w:val="auto"/>
                <w:kern w:val="2"/>
                <w:sz w:val="21"/>
                <w:szCs w:val="21"/>
                <w:highlight w:val="none"/>
                <w:shd w:val="clear" w:color="auto" w:fill="FFFFFF"/>
                <w:lang w:bidi="ar"/>
              </w:rPr>
              <w:t>地下水开采要求</w:t>
            </w:r>
            <w:r>
              <w:rPr>
                <w:rFonts w:hint="default" w:ascii="Times New Roman" w:hAnsi="Times New Roman" w:cs="Times New Roman"/>
                <w:b/>
                <w:bCs/>
                <w:color w:val="auto"/>
                <w:kern w:val="2"/>
                <w:sz w:val="21"/>
                <w:szCs w:val="21"/>
                <w:highlight w:val="none"/>
                <w:shd w:val="clear" w:color="auto" w:fill="FFFFFF"/>
                <w:lang w:eastAsia="zh-CN" w:bidi="ar"/>
              </w:rPr>
              <w:t>：</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eastAsia="zh-CN" w:bidi="ar"/>
              </w:rPr>
            </w:pPr>
            <w:r>
              <w:rPr>
                <w:rFonts w:hint="default" w:ascii="Times New Roman" w:hAnsi="Times New Roman" w:cs="Times New Roman"/>
                <w:b w:val="0"/>
                <w:bCs w:val="0"/>
                <w:color w:val="auto"/>
                <w:kern w:val="2"/>
                <w:sz w:val="21"/>
                <w:szCs w:val="21"/>
                <w:highlight w:val="none"/>
                <w:shd w:val="clear" w:color="auto" w:fill="FFFFFF"/>
                <w:lang w:eastAsia="zh-CN" w:bidi="ar"/>
              </w:rPr>
              <w:t>1）蓬溪县2030年地下水开采控制控制量保持在0.09亿m</w:t>
            </w:r>
            <w:r>
              <w:rPr>
                <w:rFonts w:hint="default" w:ascii="Times New Roman" w:hAnsi="Times New Roman" w:cs="Times New Roman"/>
                <w:b w:val="0"/>
                <w:bCs w:val="0"/>
                <w:color w:val="auto"/>
                <w:kern w:val="2"/>
                <w:sz w:val="21"/>
                <w:szCs w:val="21"/>
                <w:highlight w:val="none"/>
                <w:shd w:val="clear" w:color="auto" w:fill="FFFFFF"/>
                <w:vertAlign w:val="superscript"/>
                <w:lang w:eastAsia="zh-CN" w:bidi="ar"/>
              </w:rPr>
              <w:t>3</w:t>
            </w:r>
            <w:r>
              <w:rPr>
                <w:rFonts w:hint="default" w:ascii="Times New Roman" w:hAnsi="Times New Roman" w:cs="Times New Roman"/>
                <w:b w:val="0"/>
                <w:bCs w:val="0"/>
                <w:color w:val="auto"/>
                <w:kern w:val="2"/>
                <w:sz w:val="21"/>
                <w:szCs w:val="21"/>
                <w:highlight w:val="none"/>
                <w:shd w:val="clear" w:color="auto" w:fill="FFFFFF"/>
                <w:lang w:eastAsia="zh-CN" w:bidi="ar"/>
              </w:rPr>
              <w:t>以内。（2）全面建设节水型社会，达到合理高效用水。</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bidi="ar"/>
              </w:rPr>
            </w:pPr>
            <w:r>
              <w:rPr>
                <w:rFonts w:hint="default" w:ascii="Times New Roman" w:hAnsi="Times New Roman" w:cs="Times New Roman"/>
                <w:b w:val="0"/>
                <w:bCs w:val="0"/>
                <w:color w:val="auto"/>
                <w:kern w:val="2"/>
                <w:sz w:val="21"/>
                <w:szCs w:val="21"/>
                <w:highlight w:val="none"/>
                <w:shd w:val="clear" w:color="auto" w:fill="FFFFFF"/>
                <w:lang w:bidi="ar"/>
              </w:rPr>
              <w:t>能源利用效率要求</w:t>
            </w:r>
            <w:r>
              <w:rPr>
                <w:rFonts w:hint="default" w:ascii="Times New Roman" w:hAnsi="Times New Roman" w:cs="Times New Roman"/>
                <w:b w:val="0"/>
                <w:bCs w:val="0"/>
                <w:color w:val="auto"/>
                <w:kern w:val="2"/>
                <w:sz w:val="21"/>
                <w:szCs w:val="21"/>
                <w:highlight w:val="none"/>
                <w:shd w:val="clear" w:color="auto" w:fill="FFFFFF"/>
                <w:lang w:eastAsia="zh-CN" w:bidi="ar"/>
              </w:rPr>
              <w:t>：</w:t>
            </w:r>
            <w:r>
              <w:rPr>
                <w:rFonts w:hint="eastAsia" w:ascii="宋体" w:hAnsi="宋体" w:eastAsia="宋体" w:cs="宋体"/>
                <w:b w:val="0"/>
                <w:bCs/>
                <w:color w:val="auto"/>
                <w:sz w:val="21"/>
                <w:szCs w:val="21"/>
                <w:highlight w:val="none"/>
                <w:lang w:val="en-US" w:eastAsia="zh-CN"/>
              </w:rPr>
              <w:t>参照遂宁市总体准入要求-一般管控单元</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bidi="ar"/>
              </w:rPr>
            </w:pPr>
            <w:r>
              <w:rPr>
                <w:rFonts w:hint="default" w:ascii="Times New Roman" w:hAnsi="Times New Roman" w:cs="Times New Roman"/>
                <w:b w:val="0"/>
                <w:bCs w:val="0"/>
                <w:color w:val="auto"/>
                <w:kern w:val="2"/>
                <w:sz w:val="21"/>
                <w:szCs w:val="21"/>
                <w:highlight w:val="none"/>
                <w:shd w:val="clear" w:color="auto" w:fill="FFFFFF"/>
                <w:lang w:bidi="ar"/>
              </w:rPr>
              <w:t>其他资源利用效率要求</w:t>
            </w:r>
            <w:r>
              <w:rPr>
                <w:rFonts w:hint="default" w:ascii="Times New Roman" w:hAnsi="Times New Roman" w:cs="Times New Roman"/>
                <w:b w:val="0"/>
                <w:bCs w:val="0"/>
                <w:color w:val="auto"/>
                <w:kern w:val="2"/>
                <w:sz w:val="21"/>
                <w:szCs w:val="21"/>
                <w:highlight w:val="none"/>
                <w:shd w:val="clear" w:color="auto" w:fill="FFFFFF"/>
                <w:lang w:eastAsia="zh-CN" w:bidi="ar"/>
              </w:rPr>
              <w:t>：</w:t>
            </w:r>
            <w:r>
              <w:rPr>
                <w:rFonts w:hint="default" w:ascii="Times New Roman" w:hAnsi="Times New Roman" w:cs="Times New Roman"/>
                <w:b w:val="0"/>
                <w:bCs w:val="0"/>
                <w:color w:val="auto"/>
                <w:kern w:val="2"/>
                <w:sz w:val="21"/>
                <w:szCs w:val="21"/>
                <w:highlight w:val="none"/>
                <w:shd w:val="clear" w:color="auto" w:fill="FFFFFF"/>
                <w:lang w:bidi="ar"/>
              </w:rPr>
              <w:t>/</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bidi="ar"/>
              </w:rPr>
            </w:pPr>
            <w:r>
              <w:rPr>
                <w:rStyle w:val="39"/>
                <w:rFonts w:hint="eastAsia" w:ascii="宋体" w:hAnsi="宋体" w:eastAsia="宋体" w:cs="Times New Roman"/>
                <w:color w:val="auto"/>
                <w:kern w:val="2"/>
                <w:sz w:val="21"/>
                <w:szCs w:val="21"/>
                <w:lang w:val="en-US" w:eastAsia="zh-CN" w:bidi="ar-SA"/>
              </w:rPr>
              <w:t>禁燃区管控要求：参照遂宁市总体准入要求-一般管控单元</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restart"/>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
                <w:color w:val="auto"/>
                <w:sz w:val="21"/>
                <w:szCs w:val="21"/>
                <w:highlight w:val="none"/>
              </w:rPr>
              <w:t>名称：</w:t>
            </w:r>
            <w:r>
              <w:rPr>
                <w:rStyle w:val="39"/>
                <w:rFonts w:hint="default" w:ascii="Times New Roman" w:hAnsi="Times New Roman" w:eastAsia="宋体" w:cs="Times New Roman"/>
                <w:color w:val="auto"/>
                <w:kern w:val="2"/>
                <w:sz w:val="21"/>
                <w:szCs w:val="21"/>
                <w:lang w:val="en-US" w:eastAsia="zh-CN" w:bidi="ar-SA"/>
              </w:rPr>
              <w:t>芝溪河-蓬溪县-涪山坝-控制单元</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bidi="ar"/>
              </w:rPr>
            </w:pPr>
            <w:r>
              <w:rPr>
                <w:rFonts w:hint="default" w:ascii="Times New Roman" w:hAnsi="Times New Roman" w:cs="Times New Roman"/>
                <w:b/>
                <w:bCs/>
                <w:color w:val="auto"/>
                <w:sz w:val="21"/>
                <w:szCs w:val="21"/>
                <w:highlight w:val="none"/>
                <w:lang w:bidi="ar"/>
              </w:rPr>
              <w:t>准入清单类型：</w:t>
            </w:r>
            <w:r>
              <w:rPr>
                <w:rStyle w:val="39"/>
                <w:rFonts w:hint="default" w:ascii="Times New Roman" w:hAnsi="Times New Roman" w:eastAsia="宋体" w:cs="Times New Roman"/>
                <w:color w:val="auto"/>
                <w:kern w:val="2"/>
                <w:sz w:val="21"/>
                <w:szCs w:val="21"/>
                <w:lang w:val="en-US" w:eastAsia="zh-CN" w:bidi="ar-SA"/>
              </w:rPr>
              <w:t>水环境管控分区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b/>
                <w:bCs/>
                <w:color w:val="FF0000"/>
                <w:kern w:val="0"/>
                <w:sz w:val="21"/>
                <w:szCs w:val="21"/>
                <w:highlight w:val="none"/>
              </w:rPr>
            </w:pPr>
            <w:r>
              <w:rPr>
                <w:rFonts w:hint="default" w:ascii="Times New Roman" w:hAnsi="Times New Roman" w:cs="Times New Roman"/>
                <w:b/>
                <w:color w:val="auto"/>
                <w:sz w:val="21"/>
                <w:szCs w:val="21"/>
                <w:highlight w:val="none"/>
              </w:rPr>
              <w:t>编码：</w:t>
            </w:r>
            <w:r>
              <w:rPr>
                <w:rStyle w:val="39"/>
                <w:rFonts w:hint="default" w:ascii="Times New Roman" w:hAnsi="Times New Roman" w:eastAsia="宋体" w:cs="Times New Roman"/>
                <w:color w:val="auto"/>
                <w:kern w:val="2"/>
                <w:sz w:val="21"/>
                <w:szCs w:val="21"/>
                <w:lang w:val="en-US" w:eastAsia="zh-CN" w:bidi="ar-SA"/>
              </w:rPr>
              <w:t>YS5109212230001</w:t>
            </w: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r>
              <w:rPr>
                <w:rFonts w:hint="default" w:ascii="Times New Roman" w:hAnsi="Times New Roman" w:cs="Times New Roman"/>
                <w:b/>
                <w:bCs/>
                <w:color w:val="auto"/>
                <w:sz w:val="21"/>
                <w:szCs w:val="21"/>
                <w:highlight w:val="none"/>
                <w:shd w:val="clear" w:color="auto" w:fill="FFFFFF"/>
              </w:rPr>
              <w:t>单元级清单管控要求</w:t>
            </w: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color w:val="auto"/>
                <w:sz w:val="21"/>
                <w:szCs w:val="21"/>
                <w:highlight w:val="none"/>
              </w:rPr>
              <w:t>空间管控约束</w:t>
            </w:r>
          </w:p>
        </w:tc>
        <w:tc>
          <w:tcPr>
            <w:tcW w:w="2588" w:type="pct"/>
            <w:shd w:val="clear" w:color="auto" w:fill="auto"/>
            <w:vAlign w:val="center"/>
          </w:tcPr>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val="en-US" w:eastAsia="zh-CN" w:bidi="ar"/>
              </w:rPr>
            </w:pPr>
            <w:r>
              <w:rPr>
                <w:rFonts w:hint="default" w:ascii="Times New Roman" w:hAnsi="Times New Roman" w:cs="Times New Roman"/>
                <w:b w:val="0"/>
                <w:bCs w:val="0"/>
                <w:color w:val="auto"/>
                <w:kern w:val="2"/>
                <w:sz w:val="21"/>
                <w:szCs w:val="21"/>
                <w:highlight w:val="none"/>
                <w:shd w:val="clear" w:color="auto" w:fill="FFFFFF"/>
                <w:lang w:bidi="ar"/>
              </w:rPr>
              <w:t>禁止开发建设活动的要求</w:t>
            </w:r>
            <w:r>
              <w:rPr>
                <w:rFonts w:hint="default" w:ascii="Times New Roman" w:hAnsi="Times New Roman" w:cs="Times New Roman"/>
                <w:b w:val="0"/>
                <w:bCs w:val="0"/>
                <w:color w:val="auto"/>
                <w:kern w:val="2"/>
                <w:sz w:val="21"/>
                <w:szCs w:val="21"/>
                <w:highlight w:val="none"/>
                <w:shd w:val="clear" w:color="auto" w:fill="FFFFFF"/>
                <w:lang w:eastAsia="zh-CN" w:bidi="ar"/>
              </w:rPr>
              <w:t>：</w:t>
            </w:r>
            <w:r>
              <w:rPr>
                <w:rFonts w:hint="eastAsia" w:ascii="Times New Roman" w:hAnsi="Times New Roman" w:cs="Times New Roman"/>
                <w:b w:val="0"/>
                <w:bCs w:val="0"/>
                <w:color w:val="auto"/>
                <w:kern w:val="2"/>
                <w:sz w:val="21"/>
                <w:szCs w:val="21"/>
                <w:highlight w:val="none"/>
                <w:shd w:val="clear" w:color="auto" w:fill="FFFFFF"/>
                <w:lang w:val="en-US" w:eastAsia="zh-CN" w:bidi="ar"/>
              </w:rPr>
              <w:t>/</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eastAsia="宋体" w:cs="Times New Roman"/>
                <w:b w:val="0"/>
                <w:bCs w:val="0"/>
                <w:color w:val="auto"/>
                <w:kern w:val="2"/>
                <w:sz w:val="21"/>
                <w:szCs w:val="21"/>
                <w:highlight w:val="none"/>
                <w:shd w:val="clear" w:color="auto" w:fill="FFFFFF"/>
                <w:lang w:val="en-US" w:eastAsia="zh-CN" w:bidi="ar"/>
              </w:rPr>
            </w:pPr>
            <w:r>
              <w:rPr>
                <w:rFonts w:hint="default" w:ascii="Times New Roman" w:hAnsi="Times New Roman" w:cs="Times New Roman"/>
                <w:b w:val="0"/>
                <w:bCs w:val="0"/>
                <w:color w:val="auto"/>
                <w:kern w:val="2"/>
                <w:sz w:val="21"/>
                <w:szCs w:val="21"/>
                <w:highlight w:val="none"/>
                <w:shd w:val="clear" w:color="auto" w:fill="FFFFFF"/>
                <w:lang w:bidi="ar"/>
              </w:rPr>
              <w:t>限制开发建设活动的要求</w:t>
            </w:r>
            <w:r>
              <w:rPr>
                <w:rFonts w:hint="default" w:ascii="Times New Roman" w:hAnsi="Times New Roman" w:cs="Times New Roman"/>
                <w:b w:val="0"/>
                <w:bCs w:val="0"/>
                <w:color w:val="auto"/>
                <w:kern w:val="2"/>
                <w:sz w:val="21"/>
                <w:szCs w:val="21"/>
                <w:highlight w:val="none"/>
                <w:shd w:val="clear" w:color="auto" w:fill="FFFFFF"/>
                <w:lang w:eastAsia="zh-CN" w:bidi="ar"/>
              </w:rPr>
              <w:t>：</w:t>
            </w:r>
            <w:r>
              <w:rPr>
                <w:rFonts w:hint="eastAsia" w:ascii="Times New Roman" w:hAnsi="Times New Roman" w:cs="Times New Roman"/>
                <w:b w:val="0"/>
                <w:bCs w:val="0"/>
                <w:color w:val="auto"/>
                <w:kern w:val="2"/>
                <w:sz w:val="21"/>
                <w:szCs w:val="21"/>
                <w:highlight w:val="none"/>
                <w:shd w:val="clear" w:color="auto" w:fill="FFFFFF"/>
                <w:lang w:val="en-US" w:eastAsia="zh-CN" w:bidi="ar"/>
              </w:rPr>
              <w:t>/</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eastAsia="宋体" w:cs="Times New Roman"/>
                <w:b w:val="0"/>
                <w:bCs w:val="0"/>
                <w:color w:val="auto"/>
                <w:kern w:val="2"/>
                <w:sz w:val="21"/>
                <w:szCs w:val="21"/>
                <w:highlight w:val="none"/>
                <w:shd w:val="clear" w:color="auto" w:fill="FFFFFF"/>
                <w:lang w:val="en-US" w:eastAsia="zh-CN" w:bidi="ar"/>
              </w:rPr>
            </w:pPr>
            <w:r>
              <w:rPr>
                <w:rFonts w:hint="default" w:ascii="Times New Roman" w:hAnsi="Times New Roman" w:cs="Times New Roman"/>
                <w:b w:val="0"/>
                <w:bCs w:val="0"/>
                <w:color w:val="auto"/>
                <w:kern w:val="2"/>
                <w:sz w:val="21"/>
                <w:szCs w:val="21"/>
                <w:highlight w:val="none"/>
                <w:shd w:val="clear" w:color="auto" w:fill="FFFFFF"/>
                <w:lang w:bidi="ar"/>
              </w:rPr>
              <w:t>允许开发建设活动的要求</w:t>
            </w:r>
            <w:r>
              <w:rPr>
                <w:rFonts w:hint="default" w:ascii="Times New Roman" w:hAnsi="Times New Roman" w:cs="Times New Roman"/>
                <w:b w:val="0"/>
                <w:bCs w:val="0"/>
                <w:color w:val="auto"/>
                <w:kern w:val="2"/>
                <w:sz w:val="21"/>
                <w:szCs w:val="21"/>
                <w:highlight w:val="none"/>
                <w:shd w:val="clear" w:color="auto" w:fill="FFFFFF"/>
                <w:lang w:eastAsia="zh-CN" w:bidi="ar"/>
              </w:rPr>
              <w:t>：</w:t>
            </w:r>
            <w:r>
              <w:rPr>
                <w:rFonts w:hint="eastAsia" w:ascii="Times New Roman" w:hAnsi="Times New Roman" w:cs="Times New Roman"/>
                <w:b w:val="0"/>
                <w:bCs w:val="0"/>
                <w:color w:val="auto"/>
                <w:kern w:val="2"/>
                <w:sz w:val="21"/>
                <w:szCs w:val="21"/>
                <w:highlight w:val="none"/>
                <w:shd w:val="clear" w:color="auto" w:fill="FFFFFF"/>
                <w:lang w:val="en-US" w:eastAsia="zh-CN" w:bidi="ar"/>
              </w:rPr>
              <w:t>/</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bidi="ar"/>
              </w:rPr>
            </w:pPr>
            <w:r>
              <w:rPr>
                <w:rFonts w:hint="default" w:ascii="Times New Roman" w:hAnsi="Times New Roman" w:cs="Times New Roman"/>
                <w:b w:val="0"/>
                <w:bCs w:val="0"/>
                <w:color w:val="auto"/>
                <w:kern w:val="2"/>
                <w:sz w:val="21"/>
                <w:szCs w:val="21"/>
                <w:highlight w:val="none"/>
                <w:shd w:val="clear" w:color="auto" w:fill="FFFFFF"/>
                <w:lang w:bidi="ar"/>
              </w:rPr>
              <w:t>不符合空间布局要求活动的退出要求</w:t>
            </w:r>
            <w:r>
              <w:rPr>
                <w:rFonts w:hint="default" w:ascii="Times New Roman" w:hAnsi="Times New Roman" w:cs="Times New Roman"/>
                <w:b w:val="0"/>
                <w:bCs w:val="0"/>
                <w:color w:val="auto"/>
                <w:kern w:val="2"/>
                <w:sz w:val="21"/>
                <w:szCs w:val="21"/>
                <w:highlight w:val="none"/>
                <w:shd w:val="clear" w:color="auto" w:fill="FFFFFF"/>
                <w:lang w:eastAsia="zh-CN" w:bidi="ar"/>
              </w:rPr>
              <w:t>：</w:t>
            </w:r>
            <w:r>
              <w:rPr>
                <w:rFonts w:hint="eastAsia" w:ascii="Times New Roman" w:hAnsi="Times New Roman" w:cs="Times New Roman"/>
                <w:b w:val="0"/>
                <w:bCs w:val="0"/>
                <w:color w:val="auto"/>
                <w:kern w:val="2"/>
                <w:sz w:val="21"/>
                <w:szCs w:val="21"/>
                <w:highlight w:val="none"/>
                <w:shd w:val="clear" w:color="auto" w:fill="FFFFFF"/>
                <w:lang w:val="en-US" w:eastAsia="zh-CN" w:bidi="ar"/>
              </w:rPr>
              <w:t>/</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bidi="ar"/>
              </w:rPr>
            </w:pPr>
            <w:r>
              <w:rPr>
                <w:rFonts w:hint="default" w:ascii="Times New Roman" w:hAnsi="Times New Roman" w:cs="Times New Roman"/>
                <w:b w:val="0"/>
                <w:bCs w:val="0"/>
                <w:color w:val="auto"/>
                <w:kern w:val="2"/>
                <w:sz w:val="21"/>
                <w:szCs w:val="21"/>
                <w:highlight w:val="none"/>
                <w:shd w:val="clear" w:color="auto" w:fill="FFFFFF"/>
                <w:lang w:bidi="ar"/>
              </w:rPr>
              <w:t>其他空间布局约束要求</w:t>
            </w:r>
            <w:r>
              <w:rPr>
                <w:rFonts w:hint="default" w:ascii="Times New Roman" w:hAnsi="Times New Roman" w:cs="Times New Roman"/>
                <w:b w:val="0"/>
                <w:bCs w:val="0"/>
                <w:color w:val="auto"/>
                <w:kern w:val="2"/>
                <w:sz w:val="21"/>
                <w:szCs w:val="21"/>
                <w:highlight w:val="none"/>
                <w:shd w:val="clear" w:color="auto" w:fill="FFFFFF"/>
                <w:lang w:eastAsia="zh-CN" w:bidi="ar"/>
              </w:rPr>
              <w:t>：</w:t>
            </w:r>
            <w:r>
              <w:rPr>
                <w:rFonts w:hint="default" w:ascii="Times New Roman" w:hAnsi="Times New Roman" w:cs="Times New Roman"/>
                <w:b w:val="0"/>
                <w:bCs w:val="0"/>
                <w:color w:val="auto"/>
                <w:kern w:val="2"/>
                <w:sz w:val="21"/>
                <w:szCs w:val="21"/>
                <w:highlight w:val="none"/>
                <w:shd w:val="clear" w:color="auto" w:fill="FFFFFF"/>
                <w:lang w:val="en-US" w:eastAsia="zh-CN" w:bidi="ar"/>
              </w:rPr>
              <w:t>/</w:t>
            </w:r>
          </w:p>
        </w:tc>
        <w:tc>
          <w:tcPr>
            <w:tcW w:w="941" w:type="pct"/>
            <w:vMerge w:val="restart"/>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eastAsia"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eastAsia" w:cs="Times New Roman"/>
                <w:color w:val="000000" w:themeColor="text1"/>
                <w:sz w:val="21"/>
                <w:szCs w:val="21"/>
                <w:highlight w:val="none"/>
                <w:lang w:val="en-US" w:eastAsia="zh-CN"/>
                <w14:textFill>
                  <w14:solidFill>
                    <w14:schemeClr w14:val="tx1"/>
                  </w14:solidFill>
                </w14:textFill>
              </w:rPr>
              <w:t>不涉及污水处理设施建设，不新增排污口，施工期施工废水经沉淀池处理后回用，生活污水依托租用房屋化粪池进行处理后用于施肥，不外排，营运期无废水产生；</w:t>
            </w:r>
          </w:p>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工程不涉及</w:t>
            </w:r>
            <w:r>
              <w:rPr>
                <w:rFonts w:hint="default" w:ascii="Times New Roman" w:hAnsi="Times New Roman" w:cs="Times New Roman"/>
                <w:b w:val="0"/>
                <w:bCs w:val="0"/>
                <w:color w:val="000000" w:themeColor="text1"/>
                <w:kern w:val="2"/>
                <w:sz w:val="21"/>
                <w:szCs w:val="21"/>
                <w:highlight w:val="none"/>
                <w:shd w:val="clear" w:color="auto" w:fill="FFFFFF"/>
                <w:lang w:val="en-US" w:eastAsia="zh-CN" w:bidi="ar"/>
                <w14:textFill>
                  <w14:solidFill>
                    <w14:schemeClr w14:val="tx1"/>
                  </w14:solidFill>
                </w14:textFill>
              </w:rPr>
              <w:t>畜禽养殖场</w:t>
            </w:r>
            <w:r>
              <w:rPr>
                <w:rFonts w:hint="eastAsia" w:ascii="Times New Roman" w:hAnsi="Times New Roman" w:cs="Times New Roman"/>
                <w:b w:val="0"/>
                <w:bCs w:val="0"/>
                <w:color w:val="000000" w:themeColor="text1"/>
                <w:kern w:val="2"/>
                <w:sz w:val="21"/>
                <w:szCs w:val="21"/>
                <w:highlight w:val="none"/>
                <w:shd w:val="clear" w:color="auto" w:fill="FFFFFF"/>
                <w:lang w:val="en-US" w:eastAsia="zh-CN" w:bidi="ar"/>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渔业及化肥</w:t>
            </w:r>
            <w:r>
              <w:rPr>
                <w:rFonts w:hint="default" w:ascii="Times New Roman" w:hAnsi="Times New Roman" w:cs="Times New Roman"/>
                <w:color w:val="000000" w:themeColor="text1"/>
                <w:sz w:val="21"/>
                <w:szCs w:val="21"/>
                <w:highlight w:val="none"/>
                <w:lang w:eastAsia="zh-CN"/>
                <w14:textFill>
                  <w14:solidFill>
                    <w14:schemeClr w14:val="tx1"/>
                  </w14:solidFill>
                </w14:textFill>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color w:val="auto"/>
                <w:sz w:val="21"/>
                <w:szCs w:val="21"/>
                <w:highlight w:val="none"/>
              </w:rPr>
              <w:t>污染物排放管控要求</w:t>
            </w:r>
          </w:p>
        </w:tc>
        <w:tc>
          <w:tcPr>
            <w:tcW w:w="2588" w:type="pct"/>
            <w:shd w:val="clear" w:color="auto" w:fill="auto"/>
            <w:vAlign w:val="center"/>
          </w:tcPr>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bCs/>
                <w:color w:val="auto"/>
                <w:kern w:val="2"/>
                <w:sz w:val="21"/>
                <w:szCs w:val="21"/>
                <w:highlight w:val="none"/>
                <w:shd w:val="clear" w:color="auto" w:fill="FFFFFF"/>
                <w:lang w:val="en-US" w:eastAsia="zh-CN" w:bidi="ar"/>
              </w:rPr>
            </w:pPr>
            <w:r>
              <w:rPr>
                <w:rFonts w:hint="default" w:ascii="Times New Roman" w:hAnsi="Times New Roman" w:cs="Times New Roman"/>
                <w:b/>
                <w:bCs/>
                <w:color w:val="auto"/>
                <w:kern w:val="2"/>
                <w:sz w:val="21"/>
                <w:szCs w:val="21"/>
                <w:highlight w:val="none"/>
                <w:shd w:val="clear" w:color="auto" w:fill="FFFFFF"/>
                <w:lang w:val="en-US" w:eastAsia="zh-CN" w:bidi="ar"/>
              </w:rPr>
              <w:t>城镇污水污染控制措施要求</w:t>
            </w:r>
            <w:r>
              <w:rPr>
                <w:rFonts w:hint="eastAsia" w:ascii="Times New Roman" w:hAnsi="Times New Roman" w:cs="Times New Roman"/>
                <w:b/>
                <w:bCs/>
                <w:color w:val="auto"/>
                <w:kern w:val="2"/>
                <w:sz w:val="21"/>
                <w:szCs w:val="21"/>
                <w:highlight w:val="none"/>
                <w:shd w:val="clear" w:color="auto" w:fill="FFFFFF"/>
                <w:lang w:val="en-US" w:eastAsia="zh-CN" w:bidi="ar"/>
              </w:rPr>
              <w:t>：</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val="en-US" w:eastAsia="zh-CN" w:bidi="ar"/>
              </w:rPr>
            </w:pPr>
            <w:r>
              <w:rPr>
                <w:rFonts w:hint="default" w:ascii="Times New Roman" w:hAnsi="Times New Roman" w:cs="Times New Roman"/>
                <w:b w:val="0"/>
                <w:bCs w:val="0"/>
                <w:color w:val="auto"/>
                <w:kern w:val="2"/>
                <w:sz w:val="21"/>
                <w:szCs w:val="21"/>
                <w:highlight w:val="none"/>
                <w:shd w:val="clear" w:color="auto" w:fill="FFFFFF"/>
                <w:lang w:val="en-US" w:eastAsia="zh-CN" w:bidi="ar"/>
              </w:rPr>
              <w:t>1、推进流域聚居点生活污水处理设施建设。2、保障乡镇污水收集处理设施顺畅运行。3、推进污水直排口排查与整治，落实</w:t>
            </w:r>
            <w:r>
              <w:rPr>
                <w:rFonts w:hint="eastAsia" w:ascii="宋体" w:hAnsi="宋体" w:eastAsia="宋体" w:cs="宋体"/>
                <w:b w:val="0"/>
                <w:bCs w:val="0"/>
                <w:color w:val="auto"/>
                <w:kern w:val="2"/>
                <w:sz w:val="21"/>
                <w:szCs w:val="21"/>
                <w:highlight w:val="none"/>
                <w:shd w:val="clear" w:color="auto" w:fill="FFFFFF"/>
                <w:lang w:val="en-US" w:eastAsia="zh-CN" w:bidi="ar"/>
              </w:rPr>
              <w:t>“一口一策”</w:t>
            </w:r>
            <w:r>
              <w:rPr>
                <w:rFonts w:hint="default" w:ascii="Times New Roman" w:hAnsi="Times New Roman" w:cs="Times New Roman"/>
                <w:b w:val="0"/>
                <w:bCs w:val="0"/>
                <w:color w:val="auto"/>
                <w:kern w:val="2"/>
                <w:sz w:val="21"/>
                <w:szCs w:val="21"/>
                <w:highlight w:val="none"/>
                <w:shd w:val="clear" w:color="auto" w:fill="FFFFFF"/>
                <w:lang w:val="en-US" w:eastAsia="zh-CN" w:bidi="ar"/>
              </w:rPr>
              <w:t>整改措施。</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val="en-US" w:eastAsia="zh-CN" w:bidi="ar"/>
              </w:rPr>
            </w:pPr>
            <w:r>
              <w:rPr>
                <w:rFonts w:hint="default" w:ascii="Times New Roman" w:hAnsi="Times New Roman" w:cs="Times New Roman"/>
                <w:b w:val="0"/>
                <w:bCs w:val="0"/>
                <w:color w:val="auto"/>
                <w:kern w:val="2"/>
                <w:sz w:val="21"/>
                <w:szCs w:val="21"/>
                <w:highlight w:val="none"/>
                <w:shd w:val="clear" w:color="auto" w:fill="FFFFFF"/>
                <w:lang w:val="en-US" w:eastAsia="zh-CN" w:bidi="ar"/>
              </w:rPr>
              <w:t>工业废水污染控制措施要求</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val="en-US" w:eastAsia="zh-CN" w:bidi="ar"/>
              </w:rPr>
            </w:pPr>
            <w:r>
              <w:rPr>
                <w:rFonts w:hint="default" w:ascii="Times New Roman" w:hAnsi="Times New Roman" w:cs="Times New Roman"/>
                <w:b w:val="0"/>
                <w:bCs w:val="0"/>
                <w:color w:val="auto"/>
                <w:kern w:val="2"/>
                <w:sz w:val="21"/>
                <w:szCs w:val="21"/>
                <w:highlight w:val="none"/>
                <w:shd w:val="clear" w:color="auto" w:fill="FFFFFF"/>
                <w:lang w:val="en-US" w:eastAsia="zh-CN" w:bidi="ar"/>
              </w:rPr>
              <w:t>1、落实主要污染物排放总量指标控制要求，加强入河排污口登记、审批和监督管理。2、强化流域内工业点源、规模化畜禽养殖场运行监管，避免偷排、漏排。</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bCs/>
                <w:color w:val="auto"/>
                <w:kern w:val="2"/>
                <w:sz w:val="21"/>
                <w:szCs w:val="21"/>
                <w:highlight w:val="none"/>
                <w:shd w:val="clear" w:color="auto" w:fill="FFFFFF"/>
                <w:lang w:val="en-US" w:eastAsia="zh-CN" w:bidi="ar"/>
              </w:rPr>
            </w:pPr>
            <w:r>
              <w:rPr>
                <w:rFonts w:hint="default" w:ascii="Times New Roman" w:hAnsi="Times New Roman" w:cs="Times New Roman"/>
                <w:b/>
                <w:bCs/>
                <w:color w:val="auto"/>
                <w:kern w:val="2"/>
                <w:sz w:val="21"/>
                <w:szCs w:val="21"/>
                <w:highlight w:val="none"/>
                <w:shd w:val="clear" w:color="auto" w:fill="FFFFFF"/>
                <w:lang w:val="en-US" w:eastAsia="zh-CN" w:bidi="ar"/>
              </w:rPr>
              <w:t>农业面源水污染控制措施要求</w:t>
            </w:r>
            <w:r>
              <w:rPr>
                <w:rFonts w:hint="eastAsia" w:ascii="Times New Roman" w:hAnsi="Times New Roman" w:cs="Times New Roman"/>
                <w:b/>
                <w:bCs/>
                <w:color w:val="auto"/>
                <w:kern w:val="2"/>
                <w:sz w:val="21"/>
                <w:szCs w:val="21"/>
                <w:highlight w:val="none"/>
                <w:shd w:val="clear" w:color="auto" w:fill="FFFFFF"/>
                <w:lang w:val="en-US" w:eastAsia="zh-CN" w:bidi="ar"/>
              </w:rPr>
              <w:t>：</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val="en-US" w:eastAsia="zh-CN" w:bidi="ar"/>
              </w:rPr>
            </w:pPr>
            <w:r>
              <w:rPr>
                <w:rFonts w:hint="default" w:ascii="Times New Roman" w:hAnsi="Times New Roman" w:cs="Times New Roman"/>
                <w:b w:val="0"/>
                <w:bCs w:val="0"/>
                <w:color w:val="auto"/>
                <w:kern w:val="2"/>
                <w:sz w:val="21"/>
                <w:szCs w:val="21"/>
                <w:highlight w:val="none"/>
                <w:shd w:val="clear" w:color="auto" w:fill="FFFFFF"/>
                <w:lang w:val="en-US" w:eastAsia="zh-CN" w:bidi="ar"/>
              </w:rPr>
              <w:t>1、推进农村污染治理。稳步农村污水处理设施建设，适当预留发展空间，宜集中则集中，宜分散则分散；农村生活污水处理设施排水执行《农村生活污水处理设施水污染物排放标准》（DB 51 2626-2019）要求；大力推进农村生活垃圾就地分类减量和资源化利用，因地制宜选择农村生活垃圾治理模式；严格做</w:t>
            </w:r>
            <w:r>
              <w:rPr>
                <w:rFonts w:hint="eastAsia" w:ascii="宋体" w:hAnsi="宋体" w:eastAsia="宋体" w:cs="宋体"/>
                <w:b w:val="0"/>
                <w:bCs w:val="0"/>
                <w:color w:val="auto"/>
                <w:kern w:val="2"/>
                <w:sz w:val="21"/>
                <w:szCs w:val="21"/>
                <w:highlight w:val="none"/>
                <w:shd w:val="clear" w:color="auto" w:fill="FFFFFF"/>
                <w:lang w:val="en-US" w:eastAsia="zh-CN" w:bidi="ar"/>
              </w:rPr>
              <w:t>好“农家乐”</w:t>
            </w:r>
            <w:r>
              <w:rPr>
                <w:rFonts w:hint="default" w:ascii="Times New Roman" w:hAnsi="Times New Roman" w:cs="Times New Roman"/>
                <w:b w:val="0"/>
                <w:bCs w:val="0"/>
                <w:color w:val="auto"/>
                <w:kern w:val="2"/>
                <w:sz w:val="21"/>
                <w:szCs w:val="21"/>
                <w:highlight w:val="none"/>
                <w:shd w:val="clear" w:color="auto" w:fill="FFFFFF"/>
                <w:lang w:val="en-US" w:eastAsia="zh-CN" w:bidi="ar"/>
              </w:rPr>
              <w:t>、种植采摘园等范围内的生活及农产品产生污水及垃圾治理。2、大力推进水产生态健康养殖，加强渔业生产过程中抗菌药物使用管控；强化水产养殖污染治理，水产养殖废水应处理达到《四川省水产养殖业水污染物排放标准》后排放；实施池塘标准化改造，完善循环水和进排水处理设施，推进养殖尾水节水减排。到2025年，水产健康养殖示范比重达到68%以上。3、推进畜禽粪污分类处置，根据排放去向或利用方式的不同执行相应的标准规范；不断提高畜禽养殖粪污资源化利用率及利用水平；设有污水排放口的规模化畜禽养殖场应当依法申领排污许可证。到2025年，畜禽粪污综合利用率达到80%以上，规模以上养殖场粪污处理设施装备配套率保持100%。到2035年，畜禽粪污基本实现资源化利用，综合利用率达到95%以上。4、深入推进化肥减量增效，鼓励以循环利用与生态净化相结合的方式控制种植业污染，农企合作推进测土配方施肥；逐步推进农田径流拦截及治理。5、按照《四川省推进农村黑臭水体治理工作方案（2021-2025年）》要求，持续开展农村黑臭水体排查，实现农村黑臭水体</w:t>
            </w:r>
            <w:r>
              <w:rPr>
                <w:rFonts w:hint="eastAsia" w:ascii="宋体" w:hAnsi="宋体" w:eastAsia="宋体" w:cs="宋体"/>
                <w:b w:val="0"/>
                <w:bCs w:val="0"/>
                <w:color w:val="auto"/>
                <w:kern w:val="2"/>
                <w:sz w:val="21"/>
                <w:szCs w:val="21"/>
                <w:highlight w:val="none"/>
                <w:shd w:val="clear" w:color="auto" w:fill="FFFFFF"/>
                <w:lang w:val="en-US" w:eastAsia="zh-CN" w:bidi="ar"/>
              </w:rPr>
              <w:t>“动态”</w:t>
            </w:r>
            <w:r>
              <w:rPr>
                <w:rFonts w:hint="default" w:ascii="Times New Roman" w:hAnsi="Times New Roman" w:cs="Times New Roman"/>
                <w:b w:val="0"/>
                <w:bCs w:val="0"/>
                <w:color w:val="auto"/>
                <w:kern w:val="2"/>
                <w:sz w:val="21"/>
                <w:szCs w:val="21"/>
                <w:highlight w:val="none"/>
                <w:shd w:val="clear" w:color="auto" w:fill="FFFFFF"/>
                <w:lang w:val="en-US" w:eastAsia="zh-CN" w:bidi="ar"/>
              </w:rPr>
              <w:t>清零。</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cs="Times New Roman"/>
                <w:b w:val="0"/>
                <w:bCs w:val="0"/>
                <w:color w:val="auto"/>
                <w:kern w:val="2"/>
                <w:sz w:val="21"/>
                <w:szCs w:val="21"/>
                <w:highlight w:val="none"/>
                <w:shd w:val="clear" w:color="auto" w:fill="FFFFFF"/>
                <w:lang w:val="en-US" w:eastAsia="zh-CN" w:bidi="ar"/>
              </w:rPr>
            </w:pPr>
            <w:r>
              <w:rPr>
                <w:rFonts w:hint="default" w:ascii="Times New Roman" w:hAnsi="Times New Roman" w:cs="Times New Roman"/>
                <w:b w:val="0"/>
                <w:bCs w:val="0"/>
                <w:color w:val="auto"/>
                <w:kern w:val="2"/>
                <w:sz w:val="21"/>
                <w:szCs w:val="21"/>
                <w:highlight w:val="none"/>
                <w:shd w:val="clear" w:color="auto" w:fill="FFFFFF"/>
                <w:lang w:val="en-US" w:eastAsia="zh-CN" w:bidi="ar"/>
              </w:rPr>
              <w:t>船舶港口水污染控制措施要求</w:t>
            </w:r>
            <w:r>
              <w:rPr>
                <w:rFonts w:hint="eastAsia" w:ascii="Times New Roman" w:hAnsi="Times New Roman" w:cs="Times New Roman"/>
                <w:b w:val="0"/>
                <w:bCs w:val="0"/>
                <w:color w:val="auto"/>
                <w:kern w:val="2"/>
                <w:sz w:val="21"/>
                <w:szCs w:val="21"/>
                <w:highlight w:val="none"/>
                <w:shd w:val="clear" w:color="auto" w:fill="FFFFFF"/>
                <w:lang w:val="en-US" w:eastAsia="zh-CN" w:bidi="ar"/>
              </w:rPr>
              <w:t>：/</w:t>
            </w:r>
          </w:p>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eastAsia="宋体" w:cs="Times New Roman"/>
                <w:b w:val="0"/>
                <w:bCs w:val="0"/>
                <w:color w:val="auto"/>
                <w:kern w:val="2"/>
                <w:sz w:val="21"/>
                <w:szCs w:val="21"/>
                <w:highlight w:val="none"/>
                <w:shd w:val="clear" w:color="auto" w:fill="FFFFFF"/>
                <w:lang w:val="en-US" w:eastAsia="zh-CN" w:bidi="ar"/>
              </w:rPr>
            </w:pPr>
            <w:r>
              <w:rPr>
                <w:rFonts w:hint="default" w:ascii="Times New Roman" w:hAnsi="Times New Roman" w:cs="Times New Roman"/>
                <w:b w:val="0"/>
                <w:bCs w:val="0"/>
                <w:color w:val="auto"/>
                <w:kern w:val="2"/>
                <w:sz w:val="21"/>
                <w:szCs w:val="21"/>
                <w:highlight w:val="none"/>
                <w:shd w:val="clear" w:color="auto" w:fill="FFFFFF"/>
                <w:lang w:val="en-US" w:eastAsia="zh-CN" w:bidi="ar"/>
              </w:rPr>
              <w:t>饮用水水源和其它特殊水体保护要求</w:t>
            </w:r>
            <w:r>
              <w:rPr>
                <w:rFonts w:hint="eastAsia" w:ascii="Times New Roman" w:hAnsi="Times New Roman" w:cs="Times New Roman"/>
                <w:b w:val="0"/>
                <w:bCs w:val="0"/>
                <w:color w:val="auto"/>
                <w:kern w:val="2"/>
                <w:sz w:val="21"/>
                <w:szCs w:val="21"/>
                <w:highlight w:val="none"/>
                <w:shd w:val="clear" w:color="auto" w:fill="FFFFFF"/>
                <w:lang w:val="en-US" w:eastAsia="zh-CN" w:bidi="ar"/>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bCs/>
                <w:color w:val="auto"/>
                <w:sz w:val="21"/>
                <w:szCs w:val="21"/>
                <w:highlight w:val="none"/>
              </w:rPr>
              <w:t>环境风险防控</w:t>
            </w:r>
          </w:p>
        </w:tc>
        <w:tc>
          <w:tcPr>
            <w:tcW w:w="2588" w:type="pct"/>
            <w:shd w:val="clear" w:color="auto" w:fill="auto"/>
            <w:vAlign w:val="center"/>
          </w:tcPr>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eastAsia="宋体" w:cs="Times New Roman"/>
                <w:b w:val="0"/>
                <w:bCs w:val="0"/>
                <w:color w:val="auto"/>
                <w:kern w:val="2"/>
                <w:sz w:val="21"/>
                <w:szCs w:val="21"/>
                <w:highlight w:val="none"/>
                <w:shd w:val="clear" w:color="auto" w:fill="FFFFFF"/>
                <w:lang w:eastAsia="zh-CN" w:bidi="ar"/>
              </w:rPr>
            </w:pPr>
            <w:r>
              <w:rPr>
                <w:rFonts w:hint="default" w:ascii="Times New Roman" w:hAnsi="Times New Roman" w:cs="Times New Roman"/>
                <w:b w:val="0"/>
                <w:bCs w:val="0"/>
                <w:color w:val="auto"/>
                <w:kern w:val="2"/>
                <w:sz w:val="21"/>
                <w:szCs w:val="21"/>
                <w:highlight w:val="none"/>
                <w:shd w:val="clear" w:color="auto" w:fill="FFFFFF"/>
                <w:lang w:val="en-US" w:eastAsia="zh-CN" w:bidi="ar"/>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shd w:val="clear" w:color="auto" w:fill="FFFFFF"/>
              </w:rPr>
            </w:pPr>
            <w:r>
              <w:rPr>
                <w:rFonts w:hint="default" w:ascii="Times New Roman" w:hAnsi="Times New Roman" w:cs="Times New Roman"/>
                <w:b/>
                <w:bCs/>
                <w:color w:val="auto"/>
                <w:sz w:val="21"/>
                <w:szCs w:val="21"/>
                <w:highlight w:val="none"/>
              </w:rPr>
              <w:t>资源开发效率要求</w:t>
            </w:r>
          </w:p>
        </w:tc>
        <w:tc>
          <w:tcPr>
            <w:tcW w:w="2588" w:type="pct"/>
            <w:vAlign w:val="center"/>
          </w:tcPr>
          <w:p>
            <w:pPr>
              <w:pStyle w:val="32"/>
              <w:keepNext w:val="0"/>
              <w:keepLines w:val="0"/>
              <w:pageBreakBefore w:val="0"/>
              <w:shd w:val="clear" w:color="auto"/>
              <w:kinsoku/>
              <w:wordWrap/>
              <w:overflowPunct/>
              <w:topLinePunct w:val="0"/>
              <w:autoSpaceDE/>
              <w:autoSpaceDN/>
              <w:bidi w:val="0"/>
              <w:spacing w:before="0" w:beforeAutospacing="0" w:after="0" w:afterAutospacing="0" w:line="240" w:lineRule="auto"/>
              <w:ind w:firstLine="0" w:firstLineChars="0"/>
              <w:rPr>
                <w:rFonts w:hint="default" w:ascii="Times New Roman" w:hAnsi="Times New Roman" w:eastAsia="宋体" w:cs="Times New Roman"/>
                <w:b w:val="0"/>
                <w:bCs w:val="0"/>
                <w:color w:val="auto"/>
                <w:kern w:val="2"/>
                <w:sz w:val="21"/>
                <w:szCs w:val="21"/>
                <w:highlight w:val="none"/>
                <w:shd w:val="clear" w:color="auto" w:fill="FFFFFF"/>
                <w:lang w:val="en-US" w:eastAsia="zh-CN" w:bidi="ar"/>
              </w:rPr>
            </w:pPr>
            <w:r>
              <w:rPr>
                <w:rFonts w:hint="default" w:ascii="Times New Roman" w:hAnsi="Times New Roman" w:cs="Times New Roman"/>
                <w:b w:val="0"/>
                <w:bCs w:val="0"/>
                <w:color w:val="auto"/>
                <w:kern w:val="2"/>
                <w:sz w:val="21"/>
                <w:szCs w:val="21"/>
                <w:highlight w:val="none"/>
                <w:shd w:val="clear" w:color="auto" w:fill="FFFFFF"/>
                <w:lang w:val="en-US" w:eastAsia="zh-CN" w:bidi="ar"/>
              </w:rPr>
              <w:t>落实生态流量保障，强化流域内水库、水电站下泄生态流量监管。强化种植业节水；推进农村污水分质资源化利用</w:t>
            </w:r>
            <w:r>
              <w:rPr>
                <w:rFonts w:hint="eastAsia" w:ascii="Times New Roman" w:hAnsi="Times New Roman" w:cs="Times New Roman"/>
                <w:b w:val="0"/>
                <w:bCs w:val="0"/>
                <w:color w:val="auto"/>
                <w:kern w:val="2"/>
                <w:sz w:val="21"/>
                <w:szCs w:val="21"/>
                <w:highlight w:val="none"/>
                <w:shd w:val="clear" w:color="auto" w:fill="FFFFFF"/>
                <w:lang w:val="en-US" w:eastAsia="zh-CN" w:bidi="ar"/>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restart"/>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bCs/>
                <w:color w:val="auto"/>
                <w:sz w:val="21"/>
                <w:szCs w:val="21"/>
                <w:highlight w:val="none"/>
              </w:rPr>
            </w:pPr>
            <w:r>
              <w:rPr>
                <w:rFonts w:hint="default" w:ascii="Times New Roman" w:hAnsi="Times New Roman" w:cs="Times New Roman"/>
                <w:b/>
                <w:color w:val="auto"/>
                <w:sz w:val="21"/>
                <w:szCs w:val="21"/>
                <w:highlight w:val="none"/>
              </w:rPr>
              <w:t>名称：</w:t>
            </w:r>
            <w:r>
              <w:rPr>
                <w:rFonts w:hint="default" w:ascii="Times New Roman" w:hAnsi="Times New Roman" w:cs="Times New Roman"/>
                <w:bCs/>
                <w:color w:val="auto"/>
                <w:sz w:val="21"/>
                <w:szCs w:val="21"/>
                <w:highlight w:val="none"/>
              </w:rPr>
              <w:t>蓬溪县大气环境布局敏感重点管控区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auto"/>
                <w:sz w:val="21"/>
                <w:szCs w:val="21"/>
                <w:highlight w:val="none"/>
                <w:lang w:bidi="ar"/>
              </w:rPr>
            </w:pPr>
            <w:r>
              <w:rPr>
                <w:rFonts w:hint="default" w:ascii="Times New Roman" w:hAnsi="Times New Roman" w:cs="Times New Roman"/>
                <w:b/>
                <w:bCs/>
                <w:color w:val="auto"/>
                <w:sz w:val="21"/>
                <w:szCs w:val="21"/>
                <w:highlight w:val="none"/>
                <w:lang w:bidi="ar"/>
              </w:rPr>
              <w:t>准入清单类型：</w:t>
            </w:r>
            <w:r>
              <w:rPr>
                <w:rFonts w:hint="default" w:ascii="Times New Roman" w:hAnsi="Times New Roman" w:cs="Times New Roman"/>
                <w:color w:val="auto"/>
                <w:sz w:val="21"/>
                <w:szCs w:val="21"/>
                <w:highlight w:val="none"/>
                <w:lang w:bidi="ar"/>
              </w:rPr>
              <w:t>大气环境管控分区</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b/>
                <w:bCs/>
                <w:color w:val="FF0000"/>
                <w:kern w:val="0"/>
                <w:sz w:val="21"/>
                <w:szCs w:val="21"/>
                <w:highlight w:val="none"/>
              </w:rPr>
            </w:pPr>
            <w:r>
              <w:rPr>
                <w:rFonts w:hint="default" w:ascii="Times New Roman" w:hAnsi="Times New Roman" w:cs="Times New Roman"/>
                <w:b/>
                <w:color w:val="auto"/>
                <w:sz w:val="21"/>
                <w:szCs w:val="21"/>
                <w:highlight w:val="none"/>
              </w:rPr>
              <w:t>编码：</w:t>
            </w:r>
            <w:r>
              <w:rPr>
                <w:rFonts w:hint="default" w:ascii="Times New Roman" w:hAnsi="Times New Roman" w:cs="Times New Roman"/>
                <w:bCs/>
                <w:color w:val="auto"/>
                <w:sz w:val="21"/>
                <w:szCs w:val="21"/>
                <w:highlight w:val="none"/>
              </w:rPr>
              <w:t>YS5109212320001</w:t>
            </w:r>
          </w:p>
        </w:tc>
        <w:tc>
          <w:tcPr>
            <w:tcW w:w="208"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r>
              <w:rPr>
                <w:rFonts w:hint="default" w:ascii="Times New Roman" w:hAnsi="Times New Roman" w:cs="Times New Roman"/>
                <w:b/>
                <w:bCs/>
                <w:color w:val="auto"/>
                <w:sz w:val="21"/>
                <w:szCs w:val="21"/>
                <w:highlight w:val="none"/>
                <w:shd w:val="clear" w:color="auto" w:fill="FFFFFF"/>
              </w:rPr>
              <w:t>单元级</w:t>
            </w:r>
            <w:r>
              <w:rPr>
                <w:rFonts w:hint="default" w:ascii="Times New Roman" w:hAnsi="Times New Roman" w:cs="Times New Roman"/>
                <w:b/>
                <w:bCs/>
                <w:color w:val="auto"/>
                <w:sz w:val="21"/>
                <w:szCs w:val="21"/>
                <w:highlight w:val="none"/>
              </w:rPr>
              <w:t>清单管控要求</w:t>
            </w: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空间管控约束</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rPr>
              <w:t>禁止开发建设活动的要求</w:t>
            </w:r>
            <w:r>
              <w:rPr>
                <w:rFonts w:hint="default" w:ascii="Times New Roman" w:hAnsi="Times New Roman" w:cs="Times New Roman"/>
                <w:b/>
                <w:bCs w:val="0"/>
                <w:color w:val="auto"/>
                <w:kern w:val="2"/>
                <w:sz w:val="21"/>
                <w:szCs w:val="21"/>
                <w:highlight w:val="none"/>
                <w:shd w:val="clear" w:color="auto" w:fill="FFFFFF"/>
                <w:lang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1、坚决遏制高耗能、高排放、低水平项目盲目发展，严格落实国家和四川省产业规划、产业政策、规划环评，以及产能置换、煤炭消费减量替代、区域污染物削减等要求，坚决叫停不符合要求的高耗能、高排放、低水平项目2、严禁新增钢铁、焦化、炼油、电解铝、水泥、平板玻璃（不含光伏玻璃）等产能</w:t>
            </w:r>
            <w:r>
              <w:rPr>
                <w:rFonts w:hint="eastAsia" w:ascii="Times New Roman" w:hAnsi="Times New Roman" w:cs="Times New Roman"/>
                <w:bCs/>
                <w:color w:val="auto"/>
                <w:sz w:val="21"/>
                <w:szCs w:val="21"/>
                <w:highlight w:val="none"/>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限制开发建设活动的要求</w:t>
            </w:r>
            <w:r>
              <w:rPr>
                <w:rFonts w:hint="default" w:ascii="Times New Roman" w:hAnsi="Times New Roman" w:cs="Times New Roman"/>
                <w:b w:val="0"/>
                <w:bCs/>
                <w:color w:val="auto"/>
                <w:kern w:val="2"/>
                <w:sz w:val="21"/>
                <w:szCs w:val="21"/>
                <w:highlight w:val="none"/>
                <w:shd w:val="clear" w:color="auto" w:fill="FFFFFF"/>
                <w:lang w:eastAsia="zh-CN" w:bidi="ar"/>
              </w:rPr>
              <w:t>：</w:t>
            </w:r>
            <w:r>
              <w:rPr>
                <w:rFonts w:hint="eastAsia" w:ascii="Times New Roman" w:hAnsi="Times New Roman" w:cs="Times New Roman"/>
                <w:b w:val="0"/>
                <w:bCs/>
                <w:color w:val="auto"/>
                <w:kern w:val="2"/>
                <w:sz w:val="21"/>
                <w:szCs w:val="21"/>
                <w:highlight w:val="none"/>
                <w:shd w:val="clear" w:color="auto" w:fill="FFFFFF"/>
                <w:lang w:val="en-US"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highlight w:val="none"/>
              </w:rPr>
              <w:t>允许开发建设活动的要求</w:t>
            </w:r>
            <w:r>
              <w:rPr>
                <w:rFonts w:hint="default" w:ascii="Times New Roman" w:hAnsi="Times New Roman" w:cs="Times New Roman"/>
                <w:b w:val="0"/>
                <w:bCs/>
                <w:color w:val="auto"/>
                <w:kern w:val="2"/>
                <w:sz w:val="21"/>
                <w:szCs w:val="21"/>
                <w:highlight w:val="none"/>
                <w:shd w:val="clear" w:color="auto" w:fill="FFFFFF"/>
                <w:lang w:eastAsia="zh-CN" w:bidi="ar"/>
              </w:rPr>
              <w:t>：</w:t>
            </w:r>
            <w:r>
              <w:rPr>
                <w:rFonts w:hint="eastAsia" w:ascii="Times New Roman" w:hAnsi="Times New Roman" w:cs="Times New Roman"/>
                <w:b w:val="0"/>
                <w:bCs/>
                <w:color w:val="auto"/>
                <w:kern w:val="2"/>
                <w:sz w:val="21"/>
                <w:szCs w:val="21"/>
                <w:highlight w:val="none"/>
                <w:shd w:val="clear" w:color="auto" w:fill="FFFFFF"/>
                <w:lang w:val="en-US"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不符合空间布局要求活动的退出要求</w:t>
            </w:r>
            <w:r>
              <w:rPr>
                <w:rFonts w:hint="default" w:ascii="Times New Roman" w:hAnsi="Times New Roman" w:cs="Times New Roman"/>
                <w:b w:val="0"/>
                <w:bCs/>
                <w:color w:val="auto"/>
                <w:kern w:val="2"/>
                <w:sz w:val="21"/>
                <w:szCs w:val="21"/>
                <w:highlight w:val="none"/>
                <w:shd w:val="clear" w:color="auto" w:fill="FFFFFF"/>
                <w:lang w:eastAsia="zh-CN" w:bidi="ar"/>
              </w:rPr>
              <w:t>：</w:t>
            </w:r>
            <w:r>
              <w:rPr>
                <w:rFonts w:hint="eastAsia" w:ascii="Times New Roman" w:hAnsi="Times New Roman" w:cs="Times New Roman"/>
                <w:b w:val="0"/>
                <w:bCs/>
                <w:color w:val="auto"/>
                <w:kern w:val="2"/>
                <w:sz w:val="21"/>
                <w:szCs w:val="21"/>
                <w:highlight w:val="none"/>
                <w:shd w:val="clear" w:color="auto" w:fill="FFFFFF"/>
                <w:lang w:val="en-US" w:eastAsia="zh-CN" w:bidi="ar"/>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cs="Times New Roman"/>
                <w:b w:val="0"/>
                <w:bCs/>
                <w:color w:val="auto"/>
                <w:sz w:val="21"/>
                <w:szCs w:val="21"/>
                <w:highlight w:val="none"/>
              </w:rPr>
              <w:t>其他空间布局约束要求</w:t>
            </w:r>
            <w:r>
              <w:rPr>
                <w:rFonts w:hint="default" w:ascii="Times New Roman" w:hAnsi="Times New Roman" w:cs="Times New Roman"/>
                <w:b w:val="0"/>
                <w:bCs/>
                <w:color w:val="auto"/>
                <w:kern w:val="2"/>
                <w:sz w:val="21"/>
                <w:szCs w:val="21"/>
                <w:highlight w:val="none"/>
                <w:shd w:val="clear" w:color="auto" w:fill="FFFFFF"/>
                <w:lang w:eastAsia="zh-CN" w:bidi="ar"/>
              </w:rPr>
              <w:t>：</w:t>
            </w:r>
            <w:r>
              <w:rPr>
                <w:rFonts w:hint="default" w:ascii="Times New Roman" w:hAnsi="Times New Roman" w:cs="Times New Roman"/>
                <w:b w:val="0"/>
                <w:bCs/>
                <w:color w:val="auto"/>
                <w:kern w:val="2"/>
                <w:sz w:val="21"/>
                <w:szCs w:val="21"/>
                <w:highlight w:val="none"/>
                <w:shd w:val="clear" w:color="auto" w:fill="FFFFFF"/>
                <w:lang w:val="en-US" w:eastAsia="zh-CN" w:bidi="ar"/>
              </w:rPr>
              <w:t>/</w:t>
            </w:r>
          </w:p>
        </w:tc>
        <w:tc>
          <w:tcPr>
            <w:tcW w:w="941" w:type="pct"/>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color w:val="000000" w:themeColor="text1"/>
                <w:sz w:val="21"/>
                <w:szCs w:val="21"/>
                <w:highlight w:val="none"/>
                <w14:textFill>
                  <w14:solidFill>
                    <w14:schemeClr w14:val="tx1"/>
                  </w14:solidFill>
                </w14:textFill>
              </w:rPr>
              <w:t>本项目</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为蓬溪县芝溪河明月镇延长段防洪治理工程，</w:t>
            </w:r>
            <w:r>
              <w:rPr>
                <w:rFonts w:hint="eastAsia" w:cs="Times New Roman"/>
                <w:color w:val="000000" w:themeColor="text1"/>
                <w:sz w:val="21"/>
                <w:szCs w:val="21"/>
                <w:highlight w:val="none"/>
                <w:lang w:val="en-US" w:eastAsia="zh-CN"/>
                <w14:textFill>
                  <w14:solidFill>
                    <w14:schemeClr w14:val="tx1"/>
                  </w14:solidFill>
                </w14:textFill>
              </w:rPr>
              <w:t>营运期无污染物产生，不属于</w:t>
            </w:r>
            <w:r>
              <w:rPr>
                <w:rFonts w:hint="default" w:ascii="Times New Roman" w:hAnsi="Times New Roman" w:cs="Times New Roman"/>
                <w:color w:val="000000" w:themeColor="text1"/>
                <w:sz w:val="21"/>
                <w:szCs w:val="21"/>
                <w:highlight w:val="none"/>
                <w14:textFill>
                  <w14:solidFill>
                    <w14:schemeClr w14:val="tx1"/>
                  </w14:solidFill>
                </w14:textFill>
              </w:rPr>
              <w:t>高耗能、高排放</w:t>
            </w:r>
            <w:r>
              <w:rPr>
                <w:rFonts w:hint="eastAsia" w:cs="Times New Roman"/>
                <w:color w:val="000000" w:themeColor="text1"/>
                <w:sz w:val="21"/>
                <w:szCs w:val="21"/>
                <w:highlight w:val="none"/>
                <w:lang w:val="en-US" w:eastAsia="zh-CN"/>
                <w14:textFill>
                  <w14:solidFill>
                    <w14:schemeClr w14:val="tx1"/>
                  </w14:solidFill>
                </w14:textFill>
              </w:rPr>
              <w:t>项目，不属于</w:t>
            </w:r>
            <w:r>
              <w:rPr>
                <w:rFonts w:hint="default" w:ascii="Times New Roman" w:hAnsi="Times New Roman" w:cs="Times New Roman"/>
                <w:color w:val="000000" w:themeColor="text1"/>
                <w:sz w:val="21"/>
                <w:szCs w:val="21"/>
                <w:highlight w:val="none"/>
                <w14:textFill>
                  <w14:solidFill>
                    <w14:schemeClr w14:val="tx1"/>
                  </w14:solidFill>
                </w14:textFill>
              </w:rPr>
              <w:t>钢铁、焦化、炼油、电解铝、水泥、平板玻璃</w:t>
            </w:r>
            <w:r>
              <w:rPr>
                <w:rFonts w:hint="eastAsia" w:cs="Times New Roman"/>
                <w:color w:val="000000" w:themeColor="text1"/>
                <w:sz w:val="21"/>
                <w:szCs w:val="21"/>
                <w:highlight w:val="none"/>
                <w:lang w:val="en-US" w:eastAsia="zh-CN"/>
                <w14:textFill>
                  <w14:solidFill>
                    <w14:schemeClr w14:val="tx1"/>
                  </w14:solidFill>
                </w14:textFill>
              </w:rPr>
              <w:t>等项目</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tc>
        <w:tc>
          <w:tcPr>
            <w:tcW w:w="287" w:type="pct"/>
            <w:vMerge w:val="restart"/>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000000" w:themeColor="text1"/>
                <w:sz w:val="21"/>
                <w:szCs w:val="21"/>
                <w:highlight w:val="none"/>
                <w14:textFill>
                  <w14:solidFill>
                    <w14:schemeClr w14:val="tx1"/>
                  </w14:solidFill>
                </w14:textFill>
              </w:rPr>
            </w:pPr>
            <w:r>
              <w:rPr>
                <w:rFonts w:hint="default" w:ascii="Times New Roman" w:hAnsi="Times New Roman" w:cs="Times New Roman"/>
                <w:b/>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color w:val="auto"/>
                <w:sz w:val="21"/>
                <w:szCs w:val="21"/>
                <w:highlight w:val="none"/>
              </w:rPr>
              <w:t>污染物排放管控要求</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b/>
                <w:bCs w:val="0"/>
                <w:color w:val="auto"/>
                <w:sz w:val="21"/>
                <w:szCs w:val="21"/>
                <w:highlight w:val="none"/>
                <w:lang w:val="en-US" w:eastAsia="zh-CN"/>
              </w:rPr>
            </w:pPr>
            <w:r>
              <w:rPr>
                <w:rFonts w:hint="default" w:ascii="Times New Roman" w:hAnsi="Times New Roman" w:cs="Times New Roman"/>
                <w:b/>
                <w:bCs w:val="0"/>
                <w:color w:val="auto"/>
                <w:sz w:val="21"/>
                <w:szCs w:val="21"/>
                <w:highlight w:val="none"/>
              </w:rPr>
              <w:t>大气环境质量执行标准</w:t>
            </w:r>
            <w:r>
              <w:rPr>
                <w:rFonts w:hint="eastAsia" w:ascii="Times New Roman" w:hAnsi="Times New Roman" w:cs="Times New Roman"/>
                <w:b/>
                <w:bCs w:val="0"/>
                <w:color w:val="auto"/>
                <w:sz w:val="21"/>
                <w:szCs w:val="21"/>
                <w:highlight w:val="none"/>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bCs w:val="0"/>
                <w:color w:val="auto"/>
                <w:sz w:val="21"/>
                <w:szCs w:val="21"/>
                <w:highlight w:val="none"/>
              </w:rPr>
            </w:pPr>
            <w:r>
              <w:rPr>
                <w:rFonts w:hint="default" w:ascii="Times New Roman" w:hAnsi="Times New Roman" w:cs="Times New Roman"/>
                <w:b/>
                <w:bCs w:val="0"/>
                <w:color w:val="auto"/>
                <w:sz w:val="21"/>
                <w:szCs w:val="21"/>
                <w:highlight w:val="none"/>
              </w:rPr>
              <w:t>《环境空气质量标准》（GB3095-2012）：二级</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区域大气污染物削减/替代要求</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燃煤和其他能源大气污染控制要求</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工业废气污染控制要求</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机动车船大气污染控制要求</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扬尘污染控制要求</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农业生产经营活动大气污染控制要求</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重点行业企业专项治理要求</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p>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cs="Times New Roman"/>
                <w:b/>
                <w:color w:val="auto"/>
                <w:sz w:val="21"/>
                <w:szCs w:val="21"/>
                <w:highlight w:val="none"/>
              </w:rPr>
            </w:pPr>
            <w:r>
              <w:rPr>
                <w:rFonts w:hint="default" w:ascii="Times New Roman" w:hAnsi="Times New Roman" w:cs="Times New Roman"/>
                <w:b w:val="0"/>
                <w:bCs/>
                <w:color w:val="auto"/>
                <w:sz w:val="21"/>
                <w:szCs w:val="21"/>
                <w:highlight w:val="none"/>
              </w:rPr>
              <w:t>其他大气污染物排放管控要求</w:t>
            </w:r>
            <w:r>
              <w:rPr>
                <w:rFonts w:hint="eastAsia" w:ascii="Times New Roman" w:hAnsi="Times New Roman" w:cs="Times New Roman"/>
                <w:b w:val="0"/>
                <w:bCs/>
                <w:color w:val="auto"/>
                <w:sz w:val="21"/>
                <w:szCs w:val="21"/>
                <w:highlight w:val="none"/>
                <w:lang w:eastAsia="zh-CN"/>
              </w:rPr>
              <w:t>：</w:t>
            </w:r>
            <w:r>
              <w:rPr>
                <w:rFonts w:hint="default" w:ascii="Times New Roman" w:hAnsi="Times New Roman" w:cs="Times New Roman"/>
                <w:b w:val="0"/>
                <w:bCs/>
                <w:color w:val="auto"/>
                <w:sz w:val="21"/>
                <w:szCs w:val="21"/>
                <w:highlight w:val="none"/>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环境风险防控</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eastAsia" w:ascii="Times New Roman" w:hAnsi="Times New Roman" w:eastAsia="宋体" w:cs="Times New Roman"/>
                <w:b/>
                <w:color w:val="auto"/>
                <w:sz w:val="21"/>
                <w:szCs w:val="21"/>
                <w:highlight w:val="none"/>
                <w:lang w:eastAsia="zh-CN"/>
              </w:rPr>
            </w:pPr>
            <w:r>
              <w:rPr>
                <w:rFonts w:hint="eastAsia" w:ascii="Times New Roman" w:hAnsi="Times New Roman" w:cs="Times New Roman"/>
                <w:bCs/>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FF000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14" w:type="pct"/>
            <w:vMerge w:val="continue"/>
            <w:tcBorders>
              <w:lef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kern w:val="0"/>
                <w:sz w:val="21"/>
                <w:szCs w:val="21"/>
                <w:highlight w:val="none"/>
              </w:rPr>
            </w:pPr>
          </w:p>
        </w:tc>
        <w:tc>
          <w:tcPr>
            <w:tcW w:w="208" w:type="pct"/>
            <w:vMerge w:val="continue"/>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FF0000"/>
                <w:sz w:val="21"/>
                <w:szCs w:val="21"/>
                <w:highlight w:val="none"/>
                <w:shd w:val="clear" w:color="auto" w:fill="FFFFFF"/>
              </w:rPr>
            </w:pPr>
          </w:p>
        </w:tc>
        <w:tc>
          <w:tcPr>
            <w:tcW w:w="260"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资源开发效率要求</w:t>
            </w:r>
          </w:p>
        </w:tc>
        <w:tc>
          <w:tcPr>
            <w:tcW w:w="2588" w:type="pc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Cs/>
                <w:color w:val="auto"/>
                <w:sz w:val="21"/>
                <w:szCs w:val="21"/>
                <w:highlight w:val="none"/>
                <w:lang w:val="en-US" w:eastAsia="zh-CN"/>
              </w:rPr>
              <w:t>/</w:t>
            </w:r>
          </w:p>
        </w:tc>
        <w:tc>
          <w:tcPr>
            <w:tcW w:w="941" w:type="pct"/>
            <w:vMerge w:val="continue"/>
            <w:vAlign w:val="center"/>
          </w:tcPr>
          <w:p>
            <w:pPr>
              <w:pStyle w:val="15"/>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cs="Times New Roman"/>
                <w:bCs/>
                <w:color w:val="FF0000"/>
                <w:sz w:val="21"/>
                <w:szCs w:val="21"/>
                <w:highlight w:val="none"/>
              </w:rPr>
            </w:pPr>
          </w:p>
        </w:tc>
        <w:tc>
          <w:tcPr>
            <w:tcW w:w="287" w:type="pct"/>
            <w:vMerge w:val="continue"/>
            <w:tcBorders>
              <w:right w:val="nil"/>
            </w:tcBorders>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b/>
                <w:color w:val="FF0000"/>
                <w:sz w:val="21"/>
                <w:szCs w:val="21"/>
                <w:highlight w:val="none"/>
              </w:rPr>
            </w:pPr>
          </w:p>
        </w:tc>
      </w:tr>
    </w:tbl>
    <w:p>
      <w:pPr>
        <w:rPr>
          <w:rFonts w:hint="default" w:ascii="Times New Roman" w:hAnsi="Times New Roman" w:cs="Times New Roman"/>
          <w:snapToGrid w:val="0"/>
          <w:color w:val="FF0000"/>
        </w:rPr>
      </w:pPr>
    </w:p>
    <w:p>
      <w:pPr>
        <w:rPr>
          <w:rFonts w:hint="default" w:ascii="Times New Roman" w:hAnsi="Times New Roman" w:cs="Times New Roman"/>
          <w:snapToGrid w:val="0"/>
          <w:color w:val="FF0000"/>
        </w:rPr>
      </w:pPr>
    </w:p>
    <w:p>
      <w:pPr>
        <w:rPr>
          <w:rFonts w:hint="default" w:ascii="Times New Roman" w:hAnsi="Times New Roman" w:cs="Times New Roman"/>
          <w:snapToGrid w:val="0"/>
          <w:color w:val="FF0000"/>
        </w:rPr>
        <w:sectPr>
          <w:pgSz w:w="16838" w:h="11906" w:orient="landscape"/>
          <w:pgMar w:top="1531" w:right="1701" w:bottom="1531" w:left="1701" w:header="851" w:footer="1077" w:gutter="0"/>
          <w:cols w:space="720" w:num="1"/>
          <w:docGrid w:linePitch="312" w:charSpace="0"/>
        </w:sectPr>
      </w:pPr>
    </w:p>
    <w:tbl>
      <w:tblPr>
        <w:tblStyle w:val="37"/>
        <w:tblW w:w="101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8"/>
        <w:gridCol w:w="9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91" w:hRule="atLeast"/>
          <w:jc w:val="center"/>
        </w:trPr>
        <w:tc>
          <w:tcPr>
            <w:tcW w:w="528" w:type="dxa"/>
            <w:vAlign w:val="center"/>
          </w:tcPr>
          <w:p>
            <w:pPr>
              <w:adjustRightInd w:val="0"/>
              <w:snapToGrid w:val="0"/>
              <w:jc w:val="center"/>
              <w:rPr>
                <w:rFonts w:hint="default" w:ascii="Times New Roman" w:hAnsi="Times New Roman" w:cs="Times New Roman"/>
                <w:color w:val="FF0000"/>
                <w:sz w:val="24"/>
              </w:rPr>
            </w:pPr>
            <w:r>
              <w:rPr>
                <w:rFonts w:hint="default" w:ascii="Times New Roman" w:hAnsi="Times New Roman" w:cs="Times New Roman"/>
                <w:color w:val="auto"/>
                <w:kern w:val="0"/>
                <w:sz w:val="24"/>
              </w:rPr>
              <w:t>其他符合性分析</w:t>
            </w:r>
          </w:p>
        </w:tc>
        <w:tc>
          <w:tcPr>
            <w:tcW w:w="9591" w:type="dxa"/>
            <w:vAlign w:val="center"/>
          </w:tcPr>
          <w:p>
            <w:pPr>
              <w:adjustRightInd w:val="0"/>
              <w:snapToGrid w:val="0"/>
              <w:spacing w:line="360" w:lineRule="auto"/>
              <w:ind w:firstLine="482" w:firstLineChars="200"/>
              <w:rPr>
                <w:rFonts w:hint="default" w:ascii="Times New Roman" w:hAnsi="Times New Roman" w:cs="Times New Roman"/>
                <w:b/>
                <w:bCs/>
                <w:color w:val="auto"/>
                <w:sz w:val="24"/>
                <w:lang w:bidi="zh-TW"/>
              </w:rPr>
            </w:pPr>
            <w:r>
              <w:rPr>
                <w:rFonts w:hint="default" w:ascii="Times New Roman" w:hAnsi="Times New Roman" w:cs="Times New Roman"/>
                <w:b/>
                <w:bCs/>
                <w:color w:val="auto"/>
                <w:sz w:val="24"/>
                <w:lang w:val="en-US" w:eastAsia="zh-CN" w:bidi="zh-TW"/>
              </w:rPr>
              <w:t>2</w:t>
            </w:r>
            <w:r>
              <w:rPr>
                <w:rFonts w:hint="default" w:ascii="Times New Roman" w:hAnsi="Times New Roman" w:cs="Times New Roman"/>
                <w:b/>
                <w:bCs/>
                <w:color w:val="auto"/>
                <w:sz w:val="24"/>
                <w:lang w:bidi="zh-TW"/>
              </w:rPr>
              <w:t>、与《遂宁市人民政府关于落实生态保护红线、环境质量底线、资源利用上线和生态环境准入清单实施生态环境分区管控的通知》（遂府发〔2021〕74号）符合性分析</w:t>
            </w:r>
          </w:p>
          <w:p>
            <w:pPr>
              <w:adjustRightInd w:val="0"/>
              <w:snapToGrid w:val="0"/>
              <w:spacing w:line="360" w:lineRule="auto"/>
              <w:ind w:firstLine="566" w:firstLineChars="236"/>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2021年06月28日，遂宁市人民政府办公室发布《遂宁市人民政府关于落实生态保护红线、环境质量底线、资源利用上线和生态环境准入清单实施生态环境分区管控的通知》（遂府发〔2021〕74号）文件，全市行政区域从生态环境保护角度划分为优先保护单元、重点管控单元和一般管控单元三类环境管控单元，在一张图上落实生态保护、环境质量目标管理、资源利用管控要求，按照环境管控单元编织生态环境准入清单，构建生态环境分区管控体系。</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4"/>
              </w:rPr>
            </w:pPr>
            <w:r>
              <w:rPr>
                <w:sz w:val="21"/>
              </w:rPr>
              <mc:AlternateContent>
                <mc:Choice Requires="wps">
                  <w:drawing>
                    <wp:anchor distT="0" distB="0" distL="114300" distR="114300" simplePos="0" relativeHeight="251660288" behindDoc="0" locked="0" layoutInCell="1" allowOverlap="1">
                      <wp:simplePos x="0" y="0"/>
                      <wp:positionH relativeFrom="column">
                        <wp:posOffset>3121025</wp:posOffset>
                      </wp:positionH>
                      <wp:positionV relativeFrom="paragraph">
                        <wp:posOffset>988695</wp:posOffset>
                      </wp:positionV>
                      <wp:extent cx="654685" cy="262255"/>
                      <wp:effectExtent l="112395" t="4445" r="13970" b="571500"/>
                      <wp:wrapNone/>
                      <wp:docPr id="32" name="矩形标注 32"/>
                      <wp:cNvGraphicFramePr/>
                      <a:graphic xmlns:a="http://schemas.openxmlformats.org/drawingml/2006/main">
                        <a:graphicData uri="http://schemas.microsoft.com/office/word/2010/wordprocessingShape">
                          <wps:wsp>
                            <wps:cNvSpPr/>
                            <wps:spPr>
                              <a:xfrm>
                                <a:off x="4419600" y="4461510"/>
                                <a:ext cx="654685" cy="262255"/>
                              </a:xfrm>
                              <a:prstGeom prst="wedgeRectCallout">
                                <a:avLst>
                                  <a:gd name="adj1" fmla="val -64451"/>
                                  <a:gd name="adj2" fmla="val 254358"/>
                                </a:avLst>
                              </a:prstGeom>
                              <a:solidFill>
                                <a:schemeClr val="bg1"/>
                              </a:solid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lang w:val="en-US" w:eastAsia="zh-CN"/>
                                      <w14:textFill>
                                        <w14:solidFill>
                                          <w14:schemeClr w14:val="tx1"/>
                                        </w14:solidFill>
                                      </w14:textFill>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45.75pt;margin-top:77.85pt;height:20.65pt;width:51.55pt;z-index:251660288;v-text-anchor:middle;mso-width-relative:page;mso-height-relative:page;" fillcolor="#FFFFFF [3212]" filled="t" stroked="t" coordsize="21600,21600" o:gfxdata="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BYAAABkcnMvUEsBAhQAFAAAAAgAh07iQNJv&#10;j8DWAAAACwEAAA8AAAAAAAAAAQAgAAAAOAAAAGRycy9kb3ducmV2LnhtbFBLAQIUABQAAAAIAIdO&#10;4kDbf8PsugIAAHAFAAAOAAAAAAAAAAEAIAAAADsBAABkcnMvZTJvRG9jLnhtbFBLBQYAAAAABgAG&#10;AFkBAABnBgAAAAA=&#10;" adj="-3121,65741">
                      <v:fill on="t" focussize="0,0"/>
                      <v:stroke weight="0.5pt" color="#FF0000 [2404]"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center"/>
                              <w:textAlignment w:val="auto"/>
                              <w:rPr>
                                <w:rFonts w:hint="eastAsia" w:eastAsia="宋体"/>
                                <w:color w:val="000000" w:themeColor="text1"/>
                                <w:lang w:val="en-US" w:eastAsia="zh-CN"/>
                                <w14:textFill>
                                  <w14:solidFill>
                                    <w14:schemeClr w14:val="tx1"/>
                                  </w14:solidFill>
                                </w14:textFill>
                              </w:rPr>
                            </w:pPr>
                            <w:r>
                              <w:rPr>
                                <w:rFonts w:hint="eastAsia"/>
                                <w:color w:val="FF0000"/>
                                <w:lang w:val="en-US" w:eastAsia="zh-CN"/>
                              </w:rPr>
                              <w:t>本项目</w:t>
                            </w:r>
                          </w:p>
                        </w:txbxContent>
                      </v:textbox>
                    </v:shape>
                  </w:pict>
                </mc:Fallback>
              </mc:AlternateContent>
            </w:r>
            <w:r>
              <w:drawing>
                <wp:inline distT="0" distB="0" distL="114300" distR="114300">
                  <wp:extent cx="5419090" cy="3811905"/>
                  <wp:effectExtent l="0" t="0" r="10160" b="1714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5"/>
                          <a:stretch>
                            <a:fillRect/>
                          </a:stretch>
                        </pic:blipFill>
                        <pic:spPr>
                          <a:xfrm>
                            <a:off x="0" y="0"/>
                            <a:ext cx="5419090" cy="3811905"/>
                          </a:xfrm>
                          <a:prstGeom prst="rect">
                            <a:avLst/>
                          </a:prstGeom>
                          <a:noFill/>
                          <a:ln>
                            <a:noFill/>
                          </a:ln>
                        </pic:spPr>
                      </pic:pic>
                    </a:graphicData>
                  </a:graphic>
                </wp:inline>
              </w:drawing>
            </w:r>
          </w:p>
          <w:p>
            <w:pPr>
              <w:pStyle w:val="65"/>
              <w:numPr>
                <w:ilvl w:val="0"/>
                <w:numId w:val="8"/>
              </w:numPr>
              <w:spacing w:line="360" w:lineRule="auto"/>
              <w:ind w:left="0" w:firstLine="0"/>
              <w:rPr>
                <w:rFonts w:hint="default" w:ascii="Times New Roman" w:hAnsi="Times New Roman" w:cs="Times New Roman"/>
                <w:b/>
                <w:color w:val="auto"/>
                <w:szCs w:val="21"/>
                <w:lang w:val="en-US" w:eastAsia="zh-CN" w:bidi="zh-TW"/>
              </w:rPr>
            </w:pPr>
            <w:r>
              <w:rPr>
                <w:rFonts w:hint="default" w:ascii="Times New Roman" w:hAnsi="Times New Roman" w:cs="Times New Roman"/>
                <w:b/>
                <w:color w:val="auto"/>
                <w:szCs w:val="21"/>
                <w:lang w:val="en-US" w:eastAsia="zh-CN" w:bidi="zh-TW"/>
              </w:rPr>
              <w:t>遂宁市环境管控单元分布图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rPr>
            </w:pPr>
            <w:r>
              <w:rPr>
                <w:rFonts w:hint="eastAsia"/>
                <w:color w:val="auto"/>
                <w:sz w:val="24"/>
              </w:rPr>
              <w:t>本项目位于四川省遂宁市</w:t>
            </w:r>
            <w:r>
              <w:rPr>
                <w:rFonts w:hint="eastAsia"/>
                <w:color w:val="auto"/>
                <w:sz w:val="24"/>
                <w:lang w:val="en-US" w:eastAsia="zh-CN"/>
              </w:rPr>
              <w:t>蓬溪县明月镇</w:t>
            </w:r>
            <w:r>
              <w:rPr>
                <w:rFonts w:hint="eastAsia"/>
                <w:color w:val="auto"/>
                <w:sz w:val="24"/>
              </w:rPr>
              <w:t>，属于</w:t>
            </w:r>
            <w:r>
              <w:rPr>
                <w:rFonts w:hint="eastAsia"/>
                <w:color w:val="auto"/>
                <w:sz w:val="24"/>
                <w:lang w:val="en-US" w:eastAsia="zh-CN"/>
              </w:rPr>
              <w:t>一般管控</w:t>
            </w:r>
            <w:r>
              <w:rPr>
                <w:rFonts w:hint="eastAsia"/>
                <w:color w:val="auto"/>
                <w:sz w:val="24"/>
              </w:rPr>
              <w:t>单元。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rFonts w:hint="eastAsia"/>
                <w:color w:val="auto"/>
                <w:sz w:val="24"/>
              </w:rPr>
              <w:t>本项目与遂府发〔2021〕74号文件符合性分析如下：</w:t>
            </w:r>
          </w:p>
          <w:p>
            <w:pPr>
              <w:pStyle w:val="65"/>
              <w:numPr>
                <w:ilvl w:val="0"/>
                <w:numId w:val="6"/>
              </w:numPr>
              <w:autoSpaceDE w:val="0"/>
              <w:autoSpaceDN w:val="0"/>
              <w:adjustRightInd w:val="0"/>
              <w:snapToGrid w:val="0"/>
              <w:ind w:left="0" w:firstLine="0"/>
              <w:rPr>
                <w:rFonts w:hint="default" w:ascii="Times New Roman" w:hAnsi="Times New Roman" w:cs="Times New Roman"/>
                <w:b/>
                <w:color w:val="auto"/>
                <w:szCs w:val="21"/>
              </w:rPr>
            </w:pPr>
            <w:r>
              <w:rPr>
                <w:rFonts w:hint="default" w:ascii="Times New Roman" w:hAnsi="Times New Roman" w:cs="Times New Roman"/>
                <w:b/>
                <w:color w:val="auto"/>
                <w:szCs w:val="21"/>
                <w:lang w:val="en-US" w:eastAsia="zh-CN"/>
              </w:rPr>
              <w:t>项目与遂府发〔2021〕74号文件符合性分析</w:t>
            </w:r>
          </w:p>
          <w:tbl>
            <w:tblPr>
              <w:tblStyle w:val="3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3829"/>
              <w:gridCol w:w="3437"/>
              <w:gridCol w:w="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6" w:type="pct"/>
                  <w:vAlign w:val="center"/>
                </w:tcPr>
                <w:p>
                  <w:pPr>
                    <w:widowControl/>
                    <w:spacing w:line="240" w:lineRule="auto"/>
                    <w:ind w:firstLine="0" w:firstLineChars="0"/>
                    <w:jc w:val="center"/>
                    <w:rPr>
                      <w:rFonts w:hint="eastAsia" w:cs="宋体"/>
                      <w:b/>
                      <w:bCs/>
                      <w:color w:val="auto"/>
                      <w:kern w:val="0"/>
                      <w:szCs w:val="21"/>
                      <w:lang w:val="en-US" w:eastAsia="zh-CN"/>
                    </w:rPr>
                  </w:pPr>
                  <w:r>
                    <w:rPr>
                      <w:rFonts w:hint="eastAsia" w:cs="宋体"/>
                      <w:b/>
                      <w:bCs/>
                      <w:color w:val="auto"/>
                      <w:kern w:val="0"/>
                      <w:szCs w:val="21"/>
                      <w:lang w:val="en-US" w:eastAsia="zh-CN"/>
                    </w:rPr>
                    <w:t>环境管控单元类型/</w:t>
                  </w:r>
                </w:p>
                <w:p>
                  <w:pPr>
                    <w:widowControl/>
                    <w:spacing w:line="240" w:lineRule="auto"/>
                    <w:ind w:firstLine="0" w:firstLineChars="0"/>
                    <w:jc w:val="center"/>
                    <w:rPr>
                      <w:color w:val="auto"/>
                      <w:szCs w:val="21"/>
                    </w:rPr>
                  </w:pPr>
                  <w:r>
                    <w:rPr>
                      <w:rFonts w:hint="eastAsia" w:cs="宋体"/>
                      <w:b/>
                      <w:bCs/>
                      <w:color w:val="auto"/>
                      <w:kern w:val="0"/>
                      <w:szCs w:val="21"/>
                      <w:lang w:val="en-US" w:eastAsia="zh-CN"/>
                    </w:rPr>
                    <w:t>行政</w:t>
                  </w:r>
                  <w:r>
                    <w:rPr>
                      <w:rFonts w:hint="eastAsia" w:cs="宋体"/>
                      <w:b/>
                      <w:bCs/>
                      <w:color w:val="auto"/>
                      <w:kern w:val="0"/>
                      <w:szCs w:val="21"/>
                    </w:rPr>
                    <w:t>区划</w:t>
                  </w:r>
                </w:p>
              </w:tc>
              <w:tc>
                <w:tcPr>
                  <w:tcW w:w="2042" w:type="pct"/>
                  <w:vAlign w:val="center"/>
                </w:tcPr>
                <w:p>
                  <w:pPr>
                    <w:widowControl/>
                    <w:spacing w:line="240" w:lineRule="auto"/>
                    <w:ind w:firstLine="0" w:firstLineChars="0"/>
                    <w:jc w:val="center"/>
                    <w:rPr>
                      <w:color w:val="auto"/>
                      <w:szCs w:val="21"/>
                    </w:rPr>
                  </w:pPr>
                  <w:r>
                    <w:rPr>
                      <w:rFonts w:hint="eastAsia" w:cs="宋体"/>
                      <w:b/>
                      <w:bCs/>
                      <w:color w:val="auto"/>
                      <w:kern w:val="0"/>
                      <w:szCs w:val="21"/>
                      <w:lang w:val="en-US" w:eastAsia="zh-CN"/>
                    </w:rPr>
                    <w:t>生态环境管控</w:t>
                  </w:r>
                  <w:r>
                    <w:rPr>
                      <w:rFonts w:hint="eastAsia" w:cs="宋体"/>
                      <w:b/>
                      <w:bCs/>
                      <w:color w:val="auto"/>
                      <w:kern w:val="0"/>
                      <w:szCs w:val="21"/>
                    </w:rPr>
                    <w:t>要求</w:t>
                  </w:r>
                </w:p>
              </w:tc>
              <w:tc>
                <w:tcPr>
                  <w:tcW w:w="1833" w:type="pct"/>
                  <w:vAlign w:val="center"/>
                </w:tcPr>
                <w:p>
                  <w:pPr>
                    <w:widowControl/>
                    <w:spacing w:line="240" w:lineRule="auto"/>
                    <w:ind w:firstLine="0" w:firstLineChars="0"/>
                    <w:jc w:val="center"/>
                    <w:rPr>
                      <w:color w:val="auto"/>
                      <w:szCs w:val="21"/>
                    </w:rPr>
                  </w:pPr>
                  <w:r>
                    <w:rPr>
                      <w:rFonts w:hint="eastAsia" w:cs="宋体"/>
                      <w:b/>
                      <w:bCs/>
                      <w:color w:val="auto"/>
                      <w:kern w:val="0"/>
                      <w:szCs w:val="21"/>
                    </w:rPr>
                    <w:t>本项目情况</w:t>
                  </w:r>
                </w:p>
              </w:tc>
              <w:tc>
                <w:tcPr>
                  <w:tcW w:w="448" w:type="pct"/>
                  <w:vAlign w:val="center"/>
                </w:tcPr>
                <w:p>
                  <w:pPr>
                    <w:widowControl/>
                    <w:spacing w:line="240" w:lineRule="auto"/>
                    <w:ind w:firstLine="0" w:firstLineChars="0"/>
                    <w:jc w:val="center"/>
                    <w:rPr>
                      <w:rFonts w:hint="default" w:eastAsia="宋体"/>
                      <w:b/>
                      <w:bCs/>
                      <w:color w:val="auto"/>
                      <w:szCs w:val="21"/>
                      <w:lang w:val="en-US" w:eastAsia="zh-CN"/>
                    </w:rPr>
                  </w:pPr>
                  <w:r>
                    <w:rPr>
                      <w:rFonts w:hint="eastAsia"/>
                      <w:b/>
                      <w:bCs/>
                      <w:color w:val="auto"/>
                      <w:szCs w:val="21"/>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6" w:type="pct"/>
                  <w:vAlign w:val="center"/>
                </w:tcPr>
                <w:p>
                  <w:pPr>
                    <w:widowControl/>
                    <w:spacing w:line="240" w:lineRule="auto"/>
                    <w:ind w:firstLine="0" w:firstLineChars="0"/>
                    <w:jc w:val="center"/>
                    <w:rPr>
                      <w:rFonts w:hint="default" w:cs="宋体"/>
                      <w:b w:val="0"/>
                      <w:bCs w:val="0"/>
                      <w:color w:val="auto"/>
                      <w:kern w:val="0"/>
                      <w:szCs w:val="21"/>
                      <w:lang w:val="en-US" w:eastAsia="zh-CN"/>
                    </w:rPr>
                  </w:pPr>
                  <w:r>
                    <w:rPr>
                      <w:rFonts w:hint="eastAsia" w:cs="宋体"/>
                      <w:b w:val="0"/>
                      <w:bCs w:val="0"/>
                      <w:color w:val="auto"/>
                      <w:kern w:val="0"/>
                      <w:szCs w:val="21"/>
                      <w:lang w:val="en-US" w:eastAsia="zh-CN"/>
                    </w:rPr>
                    <w:t>一般管控单元</w:t>
                  </w:r>
                </w:p>
              </w:tc>
              <w:tc>
                <w:tcPr>
                  <w:tcW w:w="2042" w:type="pct"/>
                  <w:vAlign w:val="center"/>
                </w:tcPr>
                <w:p>
                  <w:pPr>
                    <w:widowControl/>
                    <w:spacing w:line="240" w:lineRule="auto"/>
                    <w:ind w:firstLine="0" w:firstLineChars="0"/>
                    <w:jc w:val="center"/>
                    <w:rPr>
                      <w:rFonts w:hint="eastAsia" w:cs="宋体"/>
                      <w:b w:val="0"/>
                      <w:bCs w:val="0"/>
                      <w:color w:val="000000" w:themeColor="text1"/>
                      <w:kern w:val="0"/>
                      <w:szCs w:val="21"/>
                      <w:lang w:val="en-US" w:eastAsia="zh-CN"/>
                      <w14:textFill>
                        <w14:solidFill>
                          <w14:schemeClr w14:val="tx1"/>
                        </w14:solidFill>
                      </w14:textFill>
                    </w:rPr>
                  </w:pPr>
                  <w:r>
                    <w:rPr>
                      <w:rFonts w:hint="eastAsia" w:cs="宋体"/>
                      <w:b w:val="0"/>
                      <w:bCs w:val="0"/>
                      <w:color w:val="000000" w:themeColor="text1"/>
                      <w:kern w:val="0"/>
                      <w:szCs w:val="21"/>
                      <w:lang w:val="en-US" w:eastAsia="zh-CN"/>
                      <w14:textFill>
                        <w14:solidFill>
                          <w14:schemeClr w14:val="tx1"/>
                        </w14:solidFill>
                      </w14:textFill>
                    </w:rPr>
                    <w:t>一般管控单元中，执行区域生态环境保护的基本要求，重点加强农业、生活等领域污染治理。</w:t>
                  </w:r>
                </w:p>
              </w:tc>
              <w:tc>
                <w:tcPr>
                  <w:tcW w:w="1833" w:type="pct"/>
                  <w:vAlign w:val="center"/>
                </w:tcPr>
                <w:p>
                  <w:pPr>
                    <w:widowControl/>
                    <w:spacing w:line="240" w:lineRule="auto"/>
                    <w:ind w:firstLine="0" w:firstLineChars="0"/>
                    <w:jc w:val="center"/>
                    <w:rPr>
                      <w:rFonts w:hint="eastAsia" w:cs="宋体"/>
                      <w:b w:val="0"/>
                      <w:bCs w:val="0"/>
                      <w:color w:val="000000" w:themeColor="text1"/>
                      <w:kern w:val="0"/>
                      <w:szCs w:val="21"/>
                      <w14:textFill>
                        <w14:solidFill>
                          <w14:schemeClr w14:val="tx1"/>
                        </w14:solidFill>
                      </w14:textFill>
                    </w:rPr>
                  </w:pPr>
                  <w:r>
                    <w:rPr>
                      <w:rFonts w:hint="eastAsia" w:cs="宋体"/>
                      <w:b w:val="0"/>
                      <w:bCs w:val="0"/>
                      <w:color w:val="000000" w:themeColor="text1"/>
                      <w:kern w:val="0"/>
                      <w:szCs w:val="21"/>
                      <w14:textFill>
                        <w14:solidFill>
                          <w14:schemeClr w14:val="tx1"/>
                        </w14:solidFill>
                      </w14:textFill>
                    </w:rPr>
                    <w:t>本项目</w:t>
                  </w:r>
                  <w:r>
                    <w:rPr>
                      <w:rFonts w:hint="eastAsia" w:cs="宋体"/>
                      <w:b w:val="0"/>
                      <w:bCs w:val="0"/>
                      <w:color w:val="000000" w:themeColor="text1"/>
                      <w:kern w:val="0"/>
                      <w:szCs w:val="21"/>
                      <w:lang w:val="en-US" w:eastAsia="zh-CN"/>
                      <w14:textFill>
                        <w14:solidFill>
                          <w14:schemeClr w14:val="tx1"/>
                        </w14:solidFill>
                      </w14:textFill>
                    </w:rPr>
                    <w:t>为</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蓬溪县芝溪河明月镇延长段防洪治理工程</w:t>
                  </w:r>
                  <w:r>
                    <w:rPr>
                      <w:rFonts w:hint="eastAsia" w:cs="宋体"/>
                      <w:b w:val="0"/>
                      <w:bCs w:val="0"/>
                      <w:color w:val="000000" w:themeColor="text1"/>
                      <w:kern w:val="0"/>
                      <w:szCs w:val="21"/>
                      <w14:textFill>
                        <w14:solidFill>
                          <w14:schemeClr w14:val="tx1"/>
                        </w14:solidFill>
                      </w14:textFill>
                    </w:rPr>
                    <w:t>，项目</w:t>
                  </w:r>
                  <w:r>
                    <w:rPr>
                      <w:rFonts w:hint="eastAsia" w:cs="宋体"/>
                      <w:b w:val="0"/>
                      <w:bCs w:val="0"/>
                      <w:color w:val="000000" w:themeColor="text1"/>
                      <w:kern w:val="0"/>
                      <w:szCs w:val="21"/>
                      <w:lang w:val="en-US" w:eastAsia="zh-CN"/>
                      <w14:textFill>
                        <w14:solidFill>
                          <w14:schemeClr w14:val="tx1"/>
                        </w14:solidFill>
                      </w14:textFill>
                    </w:rPr>
                    <w:t>施工期</w:t>
                  </w:r>
                  <w:r>
                    <w:rPr>
                      <w:rFonts w:hint="eastAsia" w:cs="宋体"/>
                      <w:b w:val="0"/>
                      <w:bCs w:val="0"/>
                      <w:color w:val="000000" w:themeColor="text1"/>
                      <w:kern w:val="0"/>
                      <w:szCs w:val="21"/>
                      <w14:textFill>
                        <w14:solidFill>
                          <w14:schemeClr w14:val="tx1"/>
                        </w14:solidFill>
                      </w14:textFill>
                    </w:rPr>
                    <w:t>废气、废水、固废等均能够妥善处置，</w:t>
                  </w:r>
                  <w:r>
                    <w:rPr>
                      <w:rFonts w:hint="eastAsia" w:cs="宋体"/>
                      <w:b w:val="0"/>
                      <w:bCs w:val="0"/>
                      <w:color w:val="000000" w:themeColor="text1"/>
                      <w:kern w:val="0"/>
                      <w:szCs w:val="21"/>
                      <w:lang w:val="en-US" w:eastAsia="zh-CN"/>
                      <w14:textFill>
                        <w14:solidFill>
                          <w14:schemeClr w14:val="tx1"/>
                        </w14:solidFill>
                      </w14:textFill>
                    </w:rPr>
                    <w:t>营运期无污染物产生，</w:t>
                  </w:r>
                  <w:r>
                    <w:rPr>
                      <w:rFonts w:hint="eastAsia" w:cs="宋体"/>
                      <w:b w:val="0"/>
                      <w:bCs w:val="0"/>
                      <w:color w:val="000000" w:themeColor="text1"/>
                      <w:kern w:val="0"/>
                      <w:szCs w:val="21"/>
                      <w14:textFill>
                        <w14:solidFill>
                          <w14:schemeClr w14:val="tx1"/>
                        </w14:solidFill>
                      </w14:textFill>
                    </w:rPr>
                    <w:t>对区域环境质量影响较小，不会改变区域环境质量现状。</w:t>
                  </w:r>
                </w:p>
              </w:tc>
              <w:tc>
                <w:tcPr>
                  <w:tcW w:w="448" w:type="pct"/>
                  <w:vAlign w:val="center"/>
                </w:tcPr>
                <w:p>
                  <w:pPr>
                    <w:widowControl/>
                    <w:spacing w:line="240" w:lineRule="auto"/>
                    <w:ind w:firstLine="0" w:firstLineChars="0"/>
                    <w:jc w:val="center"/>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6" w:type="pct"/>
                  <w:vAlign w:val="center"/>
                </w:tcPr>
                <w:p>
                  <w:pPr>
                    <w:pStyle w:val="85"/>
                    <w:widowControl/>
                    <w:spacing w:line="240" w:lineRule="auto"/>
                    <w:ind w:firstLine="0" w:firstLineChars="0"/>
                    <w:jc w:val="center"/>
                    <w:rPr>
                      <w:rFonts w:hint="eastAsia" w:eastAsia="宋体"/>
                      <w:color w:val="auto"/>
                      <w:sz w:val="21"/>
                      <w:lang w:eastAsia="zh-CN"/>
                    </w:rPr>
                  </w:pPr>
                  <w:r>
                    <w:rPr>
                      <w:rFonts w:hint="eastAsia" w:eastAsia="宋体"/>
                      <w:color w:val="auto"/>
                      <w:sz w:val="21"/>
                      <w:lang w:val="en-US" w:eastAsia="zh-CN"/>
                    </w:rPr>
                    <w:t>遂宁市</w:t>
                  </w:r>
                </w:p>
              </w:tc>
              <w:tc>
                <w:tcPr>
                  <w:tcW w:w="2042" w:type="pct"/>
                  <w:vAlign w:val="center"/>
                </w:tcPr>
                <w:p>
                  <w:pPr>
                    <w:widowControl/>
                    <w:adjustRightInd w:val="0"/>
                    <w:snapToGrid w:val="0"/>
                    <w:spacing w:line="240" w:lineRule="auto"/>
                    <w:ind w:firstLine="0" w:firstLineChars="0"/>
                    <w:jc w:val="left"/>
                    <w:rPr>
                      <w:rFonts w:hint="eastAsia"/>
                      <w:color w:val="auto"/>
                      <w:szCs w:val="21"/>
                    </w:rPr>
                  </w:pPr>
                  <w:r>
                    <w:rPr>
                      <w:rFonts w:hint="eastAsia"/>
                      <w:color w:val="auto"/>
                      <w:szCs w:val="21"/>
                    </w:rPr>
                    <w:t>（1）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pPr>
                    <w:widowControl/>
                    <w:adjustRightInd w:val="0"/>
                    <w:snapToGrid w:val="0"/>
                    <w:spacing w:line="240" w:lineRule="auto"/>
                    <w:ind w:firstLine="0" w:firstLineChars="0"/>
                    <w:jc w:val="left"/>
                    <w:rPr>
                      <w:rFonts w:hint="eastAsia"/>
                      <w:color w:val="auto"/>
                      <w:szCs w:val="21"/>
                    </w:rPr>
                  </w:pPr>
                  <w:r>
                    <w:rPr>
                      <w:rFonts w:hint="eastAsia"/>
                      <w:color w:val="auto"/>
                      <w:szCs w:val="21"/>
                    </w:rPr>
                    <w:t>（2）锂电产业中锂离子电池行业引入，严格执行其行业资源环境绩效指标准入要求；</w:t>
                  </w:r>
                </w:p>
                <w:p>
                  <w:pPr>
                    <w:widowControl/>
                    <w:adjustRightInd w:val="0"/>
                    <w:snapToGrid w:val="0"/>
                    <w:spacing w:line="240" w:lineRule="auto"/>
                    <w:ind w:firstLine="0" w:firstLineChars="0"/>
                    <w:jc w:val="left"/>
                    <w:rPr>
                      <w:rFonts w:hint="eastAsia"/>
                      <w:color w:val="auto"/>
                      <w:szCs w:val="21"/>
                    </w:rPr>
                  </w:pPr>
                  <w:r>
                    <w:rPr>
                      <w:rFonts w:hint="eastAsia"/>
                      <w:color w:val="auto"/>
                      <w:szCs w:val="21"/>
                    </w:rPr>
                    <w:t>（3）全市大气污染物排放执行《四川省生态环境厅关于执行大气污染物特别排放限值的公告》相关要求；</w:t>
                  </w:r>
                </w:p>
                <w:p>
                  <w:pPr>
                    <w:widowControl/>
                    <w:adjustRightInd w:val="0"/>
                    <w:snapToGrid w:val="0"/>
                    <w:spacing w:line="240" w:lineRule="auto"/>
                    <w:ind w:firstLine="0" w:firstLineChars="0"/>
                    <w:jc w:val="left"/>
                    <w:rPr>
                      <w:rFonts w:hint="eastAsia"/>
                      <w:color w:val="auto"/>
                      <w:szCs w:val="21"/>
                    </w:rPr>
                  </w:pPr>
                  <w:r>
                    <w:rPr>
                      <w:rFonts w:hint="eastAsia"/>
                      <w:color w:val="auto"/>
                      <w:szCs w:val="21"/>
                    </w:rPr>
                    <w:t>（4）强化沿江化工企业与园区的污染治理与风险管控，细化突发环境事件风险管控措施，严控流域型环境风险；严格落实《生态环境部 水利部关于建立跨省流域上下游突发水污染事件联防联控机制的指导意见》；</w:t>
                  </w:r>
                </w:p>
                <w:p>
                  <w:pPr>
                    <w:widowControl/>
                    <w:adjustRightInd w:val="0"/>
                    <w:snapToGrid w:val="0"/>
                    <w:spacing w:line="240" w:lineRule="auto"/>
                    <w:ind w:firstLine="0" w:firstLineChars="0"/>
                    <w:jc w:val="left"/>
                    <w:rPr>
                      <w:color w:val="auto"/>
                      <w:szCs w:val="21"/>
                    </w:rPr>
                  </w:pPr>
                  <w:r>
                    <w:rPr>
                      <w:rFonts w:hint="eastAsia"/>
                      <w:color w:val="auto"/>
                      <w:szCs w:val="21"/>
                    </w:rPr>
                    <w:t>（5）优化中心城区园区布局。</w:t>
                  </w:r>
                </w:p>
              </w:tc>
              <w:tc>
                <w:tcPr>
                  <w:tcW w:w="1833" w:type="pct"/>
                  <w:vAlign w:val="center"/>
                </w:tcPr>
                <w:p>
                  <w:pPr>
                    <w:pStyle w:val="85"/>
                    <w:widowControl/>
                    <w:spacing w:line="240" w:lineRule="auto"/>
                    <w:ind w:firstLine="0" w:firstLineChars="0"/>
                    <w:jc w:val="center"/>
                    <w:rPr>
                      <w:rFonts w:hint="default" w:eastAsia="宋体"/>
                      <w:color w:val="FF0000"/>
                      <w:sz w:val="21"/>
                      <w:lang w:val="en-US" w:eastAsia="zh-CN"/>
                    </w:rPr>
                  </w:pPr>
                  <w:r>
                    <w:rPr>
                      <w:rFonts w:hint="eastAsia" w:ascii="宋体" w:hAnsi="宋体" w:eastAsia="宋体" w:cs="宋体"/>
                      <w:color w:val="000000" w:themeColor="text1"/>
                      <w:sz w:val="21"/>
                      <w:szCs w:val="21"/>
                      <w14:textFill>
                        <w14:solidFill>
                          <w14:schemeClr w14:val="tx1"/>
                        </w14:solidFill>
                      </w14:textFill>
                    </w:rPr>
                    <w:t>本项目为</w:t>
                  </w:r>
                  <w:r>
                    <w:rPr>
                      <w:rFonts w:hint="eastAsia" w:ascii="宋体" w:hAnsi="宋体" w:eastAsia="宋体" w:cs="宋体"/>
                      <w:color w:val="000000" w:themeColor="text1"/>
                      <w:sz w:val="21"/>
                      <w:szCs w:val="21"/>
                      <w:highlight w:val="none"/>
                      <w:lang w:val="en-US" w:eastAsia="zh-CN"/>
                      <w14:textFill>
                        <w14:solidFill>
                          <w14:schemeClr w14:val="tx1"/>
                        </w14:solidFill>
                      </w14:textFill>
                    </w:rPr>
                    <w:t>蓬溪县芝溪河明月镇延长段防洪治理工程</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val="en-US" w:eastAsia="zh-CN"/>
                      <w14:textFill>
                        <w14:solidFill>
                          <w14:schemeClr w14:val="tx1"/>
                        </w14:solidFill>
                      </w14:textFill>
                    </w:rPr>
                    <w:t>不属于</w:t>
                  </w:r>
                  <w:r>
                    <w:rPr>
                      <w:rFonts w:hint="eastAsia" w:ascii="宋体" w:hAnsi="宋体" w:eastAsia="宋体" w:cs="宋体"/>
                      <w:color w:val="000000" w:themeColor="text1"/>
                      <w:sz w:val="21"/>
                      <w:szCs w:val="21"/>
                      <w14:textFill>
                        <w14:solidFill>
                          <w14:schemeClr w14:val="tx1"/>
                        </w14:solidFill>
                      </w14:textFill>
                    </w:rPr>
                    <w:t>有色冶炼、电镀、采选、化工、铅蓄电池制造业、皮革等</w:t>
                  </w:r>
                  <w:r>
                    <w:rPr>
                      <w:rFonts w:hint="eastAsia" w:ascii="宋体" w:hAnsi="宋体" w:eastAsia="宋体" w:cs="宋体"/>
                      <w:color w:val="000000" w:themeColor="text1"/>
                      <w:sz w:val="21"/>
                      <w:szCs w:val="21"/>
                      <w:lang w:val="en-US" w:eastAsia="zh-CN"/>
                      <w14:textFill>
                        <w14:solidFill>
                          <w14:schemeClr w14:val="tx1"/>
                        </w14:solidFill>
                      </w14:textFill>
                    </w:rPr>
                    <w:t>行业，营运期无污染物产生。</w:t>
                  </w:r>
                </w:p>
              </w:tc>
              <w:tc>
                <w:tcPr>
                  <w:tcW w:w="448" w:type="pct"/>
                  <w:vAlign w:val="center"/>
                </w:tcPr>
                <w:p>
                  <w:pPr>
                    <w:pStyle w:val="85"/>
                    <w:widowControl/>
                    <w:spacing w:line="240" w:lineRule="auto"/>
                    <w:ind w:firstLine="0" w:firstLineChars="0"/>
                    <w:jc w:val="center"/>
                    <w:rPr>
                      <w:rFonts w:eastAsia="宋体"/>
                      <w:color w:val="auto"/>
                      <w:sz w:val="21"/>
                    </w:rPr>
                  </w:pPr>
                  <w:r>
                    <w:rPr>
                      <w:rFonts w:hint="eastAsia" w:eastAsia="宋体"/>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6" w:type="pct"/>
                  <w:vAlign w:val="center"/>
                </w:tcPr>
                <w:p>
                  <w:pPr>
                    <w:pStyle w:val="85"/>
                    <w:widowControl/>
                    <w:spacing w:line="240" w:lineRule="auto"/>
                    <w:ind w:firstLine="0" w:firstLineChars="0"/>
                    <w:jc w:val="center"/>
                    <w:rPr>
                      <w:rFonts w:eastAsia="宋体"/>
                      <w:color w:val="auto"/>
                      <w:sz w:val="21"/>
                    </w:rPr>
                  </w:pPr>
                  <w:r>
                    <w:rPr>
                      <w:rFonts w:hint="eastAsia" w:eastAsia="宋体"/>
                      <w:color w:val="auto"/>
                      <w:sz w:val="21"/>
                      <w:shd w:val="clear" w:color="auto" w:fill="FFFFFF"/>
                      <w:lang w:val="en-US" w:eastAsia="zh-CN"/>
                    </w:rPr>
                    <w:t>蓬溪</w:t>
                  </w:r>
                  <w:r>
                    <w:rPr>
                      <w:rFonts w:hint="eastAsia" w:eastAsia="宋体"/>
                      <w:color w:val="auto"/>
                      <w:sz w:val="21"/>
                      <w:shd w:val="clear" w:color="auto" w:fill="FFFFFF"/>
                    </w:rPr>
                    <w:t>县</w:t>
                  </w:r>
                </w:p>
              </w:tc>
              <w:tc>
                <w:tcPr>
                  <w:tcW w:w="2042" w:type="pct"/>
                  <w:vAlign w:val="center"/>
                </w:tcPr>
                <w:p>
                  <w:pPr>
                    <w:widowControl/>
                    <w:adjustRightInd w:val="0"/>
                    <w:snapToGrid w:val="0"/>
                    <w:spacing w:line="240" w:lineRule="auto"/>
                    <w:ind w:firstLine="0" w:firstLineChars="0"/>
                    <w:jc w:val="left"/>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（1）实施化肥、农药使用“零增长”行动。加大农作物秸秆禁烧及综合利用力度；</w:t>
                  </w:r>
                </w:p>
                <w:p>
                  <w:pPr>
                    <w:widowControl/>
                    <w:adjustRightInd w:val="0"/>
                    <w:snapToGrid w:val="0"/>
                    <w:spacing w:line="240" w:lineRule="auto"/>
                    <w:ind w:firstLine="0"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（2）加快完善城乡生态环境保护设施建设，保障下游河流的生态用水需求，有效推动河流水质持续改善。</w:t>
                  </w:r>
                </w:p>
              </w:tc>
              <w:tc>
                <w:tcPr>
                  <w:tcW w:w="1833" w:type="pct"/>
                  <w:vAlign w:val="center"/>
                </w:tcPr>
                <w:p>
                  <w:pPr>
                    <w:pStyle w:val="85"/>
                    <w:widowControl/>
                    <w:spacing w:line="240" w:lineRule="auto"/>
                    <w:ind w:firstLine="0" w:firstLineChars="0"/>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本项目为</w:t>
                  </w:r>
                  <w:r>
                    <w:rPr>
                      <w:rFonts w:hint="eastAsia" w:ascii="宋体" w:hAnsi="宋体" w:eastAsia="宋体" w:cs="宋体"/>
                      <w:color w:val="000000" w:themeColor="text1"/>
                      <w:sz w:val="21"/>
                      <w:szCs w:val="21"/>
                      <w:highlight w:val="none"/>
                      <w:lang w:val="en-US" w:eastAsia="zh-CN"/>
                      <w14:textFill>
                        <w14:solidFill>
                          <w14:schemeClr w14:val="tx1"/>
                        </w14:solidFill>
                      </w14:textFill>
                    </w:rPr>
                    <w:t>蓬溪县芝溪河明月镇延长段防洪治理工程</w:t>
                  </w:r>
                  <w:r>
                    <w:rPr>
                      <w:rFonts w:hint="eastAsia" w:eastAsia="宋体"/>
                      <w:color w:val="000000" w:themeColor="text1"/>
                      <w:sz w:val="21"/>
                      <w14:textFill>
                        <w14:solidFill>
                          <w14:schemeClr w14:val="tx1"/>
                        </w14:solidFill>
                      </w14:textFill>
                    </w:rPr>
                    <w:t>，不</w:t>
                  </w:r>
                  <w:r>
                    <w:rPr>
                      <w:rFonts w:hint="eastAsia" w:eastAsia="宋体"/>
                      <w:color w:val="000000" w:themeColor="text1"/>
                      <w:sz w:val="21"/>
                      <w:lang w:val="en-US" w:eastAsia="zh-CN"/>
                      <w14:textFill>
                        <w14:solidFill>
                          <w14:schemeClr w14:val="tx1"/>
                        </w14:solidFill>
                      </w14:textFill>
                    </w:rPr>
                    <w:t>涉及化肥、农药的使用，不涉及秸秆焚烧；本项目仅对芝溪河明月镇延长段进行堤防建设，施工时间短，且施工废水回收利用，对河流水质无较大影响</w:t>
                  </w:r>
                  <w:r>
                    <w:rPr>
                      <w:rFonts w:hint="eastAsia" w:eastAsia="宋体"/>
                      <w:color w:val="000000" w:themeColor="text1"/>
                      <w:sz w:val="21"/>
                      <w14:textFill>
                        <w14:solidFill>
                          <w14:schemeClr w14:val="tx1"/>
                        </w14:solidFill>
                      </w14:textFill>
                    </w:rPr>
                    <w:t>。</w:t>
                  </w:r>
                </w:p>
              </w:tc>
              <w:tc>
                <w:tcPr>
                  <w:tcW w:w="448" w:type="pct"/>
                  <w:vAlign w:val="center"/>
                </w:tcPr>
                <w:p>
                  <w:pPr>
                    <w:pStyle w:val="85"/>
                    <w:widowControl/>
                    <w:spacing w:line="240" w:lineRule="auto"/>
                    <w:ind w:firstLine="0" w:firstLineChars="0"/>
                    <w:jc w:val="center"/>
                    <w:rPr>
                      <w:rFonts w:eastAsia="宋体"/>
                      <w:color w:val="000000" w:themeColor="text1"/>
                      <w:sz w:val="21"/>
                      <w14:textFill>
                        <w14:solidFill>
                          <w14:schemeClr w14:val="tx1"/>
                        </w14:solidFill>
                      </w14:textFill>
                    </w:rPr>
                  </w:pPr>
                  <w:r>
                    <w:rPr>
                      <w:rFonts w:hint="eastAsia" w:eastAsia="宋体"/>
                      <w:color w:val="000000" w:themeColor="text1"/>
                      <w:sz w:val="21"/>
                      <w14:textFill>
                        <w14:solidFill>
                          <w14:schemeClr w14:val="tx1"/>
                        </w14:solidFill>
                      </w14:textFill>
                    </w:rPr>
                    <w:t>符合</w:t>
                  </w:r>
                </w:p>
              </w:tc>
            </w:tr>
          </w:tbl>
          <w:p>
            <w:pPr>
              <w:pStyle w:val="15"/>
              <w:spacing w:line="360" w:lineRule="auto"/>
              <w:ind w:firstLine="472"/>
              <w:rPr>
                <w:rFonts w:hint="default" w:ascii="Times New Roman" w:hAnsi="Times New Roman" w:eastAsia="宋体" w:cs="Times New Roman"/>
                <w:color w:val="auto"/>
                <w:kern w:val="0"/>
                <w:lang w:bidi="ar"/>
              </w:rPr>
            </w:pPr>
            <w:r>
              <w:rPr>
                <w:rFonts w:hint="default" w:ascii="Times New Roman" w:hAnsi="Times New Roman" w:eastAsia="宋体" w:cs="Times New Roman"/>
                <w:color w:val="auto"/>
                <w:kern w:val="0"/>
                <w:lang w:bidi="ar"/>
              </w:rPr>
              <w:t>综上，本项目符合区域环境质量底线，因此，项目建设符</w:t>
            </w:r>
            <w:r>
              <w:rPr>
                <w:rFonts w:hint="eastAsia" w:ascii="宋体" w:hAnsi="宋体" w:eastAsia="宋体" w:cs="宋体"/>
                <w:color w:val="auto"/>
                <w:kern w:val="0"/>
                <w:lang w:bidi="ar"/>
              </w:rPr>
              <w:t>合“三线一单”相</w:t>
            </w:r>
            <w:r>
              <w:rPr>
                <w:rFonts w:hint="default" w:ascii="Times New Roman" w:hAnsi="Times New Roman" w:eastAsia="宋体" w:cs="Times New Roman"/>
                <w:color w:val="auto"/>
                <w:kern w:val="0"/>
                <w:lang w:bidi="ar"/>
              </w:rPr>
              <w:t>关要求，符合</w:t>
            </w:r>
            <w:r>
              <w:rPr>
                <w:rFonts w:hint="default" w:ascii="Times New Roman" w:hAnsi="Times New Roman" w:eastAsia="宋体" w:cs="Times New Roman"/>
                <w:color w:val="auto"/>
                <w:sz w:val="24"/>
              </w:rPr>
              <w:t>《遂宁市人民政府关于落实生态保护红线、环境质量底线、资源利用上线和生态环境准入清单实施生态环境分区管控的通知》（遂府发〔2021〕74号）</w:t>
            </w:r>
            <w:r>
              <w:rPr>
                <w:rFonts w:hint="default" w:ascii="Times New Roman" w:hAnsi="Times New Roman" w:eastAsia="宋体" w:cs="Times New Roman"/>
                <w:color w:val="auto"/>
                <w:kern w:val="0"/>
                <w:lang w:bidi="ar"/>
              </w:rPr>
              <w:t>相关准入要求。</w:t>
            </w:r>
          </w:p>
          <w:p>
            <w:pPr>
              <w:pStyle w:val="65"/>
              <w:numPr>
                <w:ilvl w:val="0"/>
                <w:numId w:val="0"/>
              </w:numPr>
              <w:adjustRightInd w:val="0"/>
              <w:snapToGrid w:val="0"/>
              <w:spacing w:line="360" w:lineRule="auto"/>
              <w:jc w:val="both"/>
              <w:rPr>
                <w:rFonts w:hint="default" w:ascii="Times New Roman" w:hAnsi="Times New Roman" w:cs="Times New Roman"/>
                <w:b/>
                <w:color w:val="000000" w:themeColor="text1"/>
                <w:sz w:val="24"/>
                <w14:textFill>
                  <w14:solidFill>
                    <w14:schemeClr w14:val="tx1"/>
                  </w14:solidFill>
                </w14:textFill>
              </w:rPr>
            </w:pPr>
            <w:r>
              <w:rPr>
                <w:rFonts w:hint="eastAsia" w:cs="Times New Roman"/>
                <w:b/>
                <w:bCs/>
                <w:color w:val="000000" w:themeColor="text1"/>
                <w:kern w:val="24"/>
                <w:sz w:val="24"/>
                <w:lang w:val="en-US" w:eastAsia="zh-CN"/>
                <w14:textFill>
                  <w14:solidFill>
                    <w14:schemeClr w14:val="tx1"/>
                  </w14:solidFill>
                </w14:textFill>
              </w:rPr>
              <w:t>三</w:t>
            </w:r>
            <w:r>
              <w:rPr>
                <w:rFonts w:hint="default" w:ascii="Times New Roman" w:hAnsi="Times New Roman" w:cs="Times New Roman"/>
                <w:b/>
                <w:bCs/>
                <w:color w:val="000000" w:themeColor="text1"/>
                <w:kern w:val="24"/>
                <w:sz w:val="24"/>
                <w:lang w:val="en-US" w:eastAsia="zh-CN"/>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项目与《中华人民共和国长江保护法》符合性分析</w:t>
            </w:r>
          </w:p>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本项目与《中华人民共和国长江保护法》符合性分析如下：</w:t>
            </w:r>
          </w:p>
          <w:p>
            <w:pPr>
              <w:pStyle w:val="65"/>
              <w:keepNext/>
              <w:numPr>
                <w:ilvl w:val="0"/>
                <w:numId w:val="6"/>
              </w:numP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本项目与《中华人民共和国长江保护法》符合性分析</w:t>
            </w:r>
          </w:p>
          <w:tbl>
            <w:tblPr>
              <w:tblStyle w:val="3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88"/>
              <w:gridCol w:w="3511"/>
              <w:gridCol w:w="7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88" w:type="dxa"/>
                  <w:tcBorders>
                    <w:top w:val="single" w:color="auto" w:sz="12" w:space="0"/>
                  </w:tcBorders>
                  <w:vAlign w:val="center"/>
                </w:tcPr>
                <w:p>
                  <w:pPr>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具体内容</w:t>
                  </w:r>
                </w:p>
              </w:tc>
              <w:tc>
                <w:tcPr>
                  <w:tcW w:w="3511" w:type="dxa"/>
                  <w:tcBorders>
                    <w:top w:val="single" w:color="auto" w:sz="12" w:space="0"/>
                  </w:tcBorders>
                  <w:vAlign w:val="center"/>
                </w:tcPr>
                <w:p>
                  <w:pPr>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本项目对应情况</w:t>
                  </w:r>
                </w:p>
              </w:tc>
              <w:tc>
                <w:tcPr>
                  <w:tcW w:w="776" w:type="dxa"/>
                  <w:tcBorders>
                    <w:top w:val="single" w:color="auto" w:sz="12" w:space="0"/>
                  </w:tcBorders>
                  <w:vAlign w:val="center"/>
                </w:tcPr>
                <w:p>
                  <w:pPr>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88" w:type="dxa"/>
                  <w:vAlign w:val="top"/>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第二十一条 国务院水行政主管部门统筹长江流域水资源合理配置、统一调度和高效利用，组织实施取用水总量控制和消耗强度控制管理制度。</w:t>
                  </w:r>
                </w:p>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国务院生态环境主管部门根据水环境质量改善目标和水污染防治要求，确定长江流域各省级行政区域重点污染物排放总量控制指标。长江流域水质超标的水功能区，应当实施更严格的污染物排放总量削减要求。企业事业单位应当按照要求，采取污染物排放总量控制措施。国务院自然资源主管部门负责统筹长江流域新增建设用地总量控制和计划安排。</w:t>
                  </w:r>
                </w:p>
              </w:tc>
              <w:tc>
                <w:tcPr>
                  <w:tcW w:w="3511" w:type="dxa"/>
                  <w:vAlign w:val="center"/>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本项目实施范围内的河流水质未超标，工程实施期间废水均合理处理，不外排。</w:t>
                  </w:r>
                </w:p>
              </w:tc>
              <w:tc>
                <w:tcPr>
                  <w:tcW w:w="776" w:type="dxa"/>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88" w:type="dxa"/>
                  <w:vAlign w:val="center"/>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第二十二条长江流域产业结构和布局应当与长江流域生态系统和资源环境承载能力相适应。禁止在长江流域重点生态功能区布局对生态系统有严重影响的产业。禁止重污染企业和项目向长江中上游转移。</w:t>
                  </w:r>
                </w:p>
              </w:tc>
              <w:tc>
                <w:tcPr>
                  <w:tcW w:w="3511" w:type="dxa"/>
                  <w:vAlign w:val="center"/>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本项目为防洪治理工程，</w:t>
                  </w:r>
                  <w:r>
                    <w:rPr>
                      <w:rFonts w:hint="default" w:ascii="Times New Roman" w:hAnsi="Times New Roman" w:cs="Times New Roman"/>
                      <w:color w:val="000000" w:themeColor="text1"/>
                      <w14:textFill>
                        <w14:solidFill>
                          <w14:schemeClr w14:val="tx1"/>
                        </w14:solidFill>
                      </w14:textFill>
                    </w:rPr>
                    <w:t>大部分堤段处于河漫滩上，地面高程远高于施工枯水期洪水位，利用基坑开挖形成临时围堰</w:t>
                  </w:r>
                  <w:r>
                    <w:rPr>
                      <w:rFonts w:hint="default" w:ascii="Times New Roman" w:hAnsi="Times New Roman"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4"/>
                      <w14:textFill>
                        <w14:solidFill>
                          <w14:schemeClr w14:val="tx1"/>
                        </w14:solidFill>
                      </w14:textFill>
                    </w:rPr>
                    <w:t>尽量减小对河流水体扰动，无河道断流情况出现，基坑排水经沉淀会沉淀后由于施工场地洒水降尘，对生态系统无严重影响。</w:t>
                  </w:r>
                </w:p>
              </w:tc>
              <w:tc>
                <w:tcPr>
                  <w:tcW w:w="776" w:type="dxa"/>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88" w:type="dxa"/>
                  <w:vAlign w:val="top"/>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第二十三条 国家加强对长江流域水能资源开发利用的管理。因国家发展战略和国计民生需要，在长江流域新建大中型水电工程，应当经科学论证，并报国务院或者国务院授权的部门批准。</w:t>
                  </w:r>
                </w:p>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对长江流域已建小水电工程，不符合生态保护要求的，县级以上地方人民政府应当组织分类整改或者采取措施逐步退出。</w:t>
                  </w:r>
                </w:p>
              </w:tc>
              <w:tc>
                <w:tcPr>
                  <w:tcW w:w="3511" w:type="dxa"/>
                  <w:vAlign w:val="center"/>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本项目为防洪治理工程，不涉及水电工程。</w:t>
                  </w:r>
                </w:p>
              </w:tc>
              <w:tc>
                <w:tcPr>
                  <w:tcW w:w="776" w:type="dxa"/>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88" w:type="dxa"/>
                  <w:tcBorders>
                    <w:bottom w:val="single" w:color="auto" w:sz="4" w:space="0"/>
                  </w:tcBorders>
                  <w:vAlign w:val="top"/>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第二十六条 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w:t>
                  </w:r>
                </w:p>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禁止在长江干支流岸线一公里范围内新建、扩建化工园区和化工项目。</w:t>
                  </w:r>
                </w:p>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禁止在长江干流岸线三公里范围内和重要支流岸线一公里范围内新建、改建、扩建尾矿库；但是以提升安全、生态环境保护水平为目的的改建除外。</w:t>
                  </w:r>
                </w:p>
              </w:tc>
              <w:tc>
                <w:tcPr>
                  <w:tcW w:w="3511" w:type="dxa"/>
                  <w:tcBorders>
                    <w:bottom w:val="single" w:color="auto" w:sz="4" w:space="0"/>
                  </w:tcBorders>
                  <w:vAlign w:val="center"/>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本项目为防洪治理工程，不涉及新建、扩建化工园区和化工项目，不涉及新建、改建、扩建尾矿库。</w:t>
                  </w:r>
                </w:p>
              </w:tc>
              <w:tc>
                <w:tcPr>
                  <w:tcW w:w="776" w:type="dxa"/>
                  <w:tcBorders>
                    <w:bottom w:val="single" w:color="auto" w:sz="4" w:space="0"/>
                  </w:tcBorders>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88" w:type="dxa"/>
                  <w:vAlign w:val="top"/>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第二十七条 国务院交通运输主管部门会同国务院自然资源、水行政、生态环境、农业农村、林业和草原主管部门在长江流域水生生物重要栖息地科学划定禁止航行区域和限制航行区域。</w:t>
                  </w:r>
                </w:p>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禁止船舶在划定的禁止航行区域内航行。因国家发展战略和国计民生需要，在水生生物重要栖息地禁止航行区域内航行的，应当由国务院交通运输主管部门商国务院农业农村主管部门同意，并应当采取必要措施，减少对重要水生生物的干扰。</w:t>
                  </w:r>
                </w:p>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严格限制在长江流域生态保护红线、自然保护地、水生生物重要栖息地水域实施航道整治工程；确需整治的，应当经科学论证，并依法办理相关手续。</w:t>
                  </w:r>
                </w:p>
              </w:tc>
              <w:tc>
                <w:tcPr>
                  <w:tcW w:w="3511" w:type="dxa"/>
                  <w:vAlign w:val="center"/>
                </w:tcPr>
                <w:p>
                  <w:pPr>
                    <w:spacing w:beforeLines="0" w:afterLines="0"/>
                    <w:jc w:val="left"/>
                    <w:rPr>
                      <w:rFonts w:hint="eastAsia" w:ascii="Times New Roman" w:hAnsi="Times New Roman" w:eastAsia="宋体" w:cs="Times New Roman"/>
                      <w:color w:val="000000" w:themeColor="text1"/>
                      <w:sz w:val="21"/>
                      <w:szCs w:val="24"/>
                      <w:lang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本项目为防洪治理工程，项目实施范围不涉及航行区域。项目建设区域不涉及国家级和省级水产种质资源保护区</w:t>
                  </w:r>
                  <w:r>
                    <w:rPr>
                      <w:rFonts w:hint="eastAsia" w:cs="Times New Roman"/>
                      <w:color w:val="000000" w:themeColor="text1"/>
                      <w:sz w:val="21"/>
                      <w:szCs w:val="24"/>
                      <w:lang w:eastAsia="zh-CN"/>
                      <w14:textFill>
                        <w14:solidFill>
                          <w14:schemeClr w14:val="tx1"/>
                        </w14:solidFill>
                      </w14:textFill>
                    </w:rPr>
                    <w:t>。</w:t>
                  </w:r>
                </w:p>
              </w:tc>
              <w:tc>
                <w:tcPr>
                  <w:tcW w:w="776" w:type="dxa"/>
                  <w:vAlign w:val="center"/>
                </w:tcPr>
                <w:p>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88" w:type="dxa"/>
                  <w:tcBorders>
                    <w:bottom w:val="single" w:color="auto" w:sz="12" w:space="0"/>
                  </w:tcBorders>
                  <w:vAlign w:val="top"/>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第二十八条 国家建立长江流域河道采砂规划和许可制度。长江流域河道采砂应当依法取得国务院水行政主管部门有关流域管理机构或者县级以上地方人民政府水行政主管部门的许可。</w:t>
                  </w:r>
                </w:p>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国务院水行政主管部门有关流域管理机构和长江流域县级以上地方人民政府依法划定禁止采砂区和禁止采砂期，严格控制采砂区域、采砂总量和采砂区域内的采砂船舶数量。禁止在长江流域禁止采砂区和禁止采砂期从事采砂活动。</w:t>
                  </w:r>
                </w:p>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国务院水行政主管部门会同国务院有关部门组织长江流域有关地方人民政府及其有关部门开展长江流域河道非法采砂联合执法工作。</w:t>
                  </w:r>
                </w:p>
              </w:tc>
              <w:tc>
                <w:tcPr>
                  <w:tcW w:w="3511" w:type="dxa"/>
                  <w:tcBorders>
                    <w:bottom w:val="single" w:color="auto" w:sz="12" w:space="0"/>
                  </w:tcBorders>
                  <w:vAlign w:val="center"/>
                </w:tcPr>
                <w:p>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本项目为防洪治理工程，不涉及采砂。</w:t>
                  </w:r>
                </w:p>
              </w:tc>
              <w:tc>
                <w:tcPr>
                  <w:tcW w:w="776" w:type="dxa"/>
                  <w:tcBorders>
                    <w:bottom w:val="single" w:color="auto" w:sz="12" w:space="0"/>
                  </w:tcBorders>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符合</w:t>
                  </w:r>
                </w:p>
              </w:tc>
            </w:tr>
          </w:tbl>
          <w:p>
            <w:pPr>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综上，本项目建设符合《中华人民共和国长江保护法》的相关要求。</w:t>
            </w:r>
          </w:p>
          <w:p>
            <w:pPr>
              <w:pStyle w:val="65"/>
              <w:adjustRightInd w:val="0"/>
              <w:snapToGrid w:val="0"/>
              <w:spacing w:line="360" w:lineRule="auto"/>
              <w:jc w:val="both"/>
              <w:rPr>
                <w:rFonts w:hint="default" w:ascii="Times New Roman" w:hAnsi="Times New Roman" w:cs="Times New Roman"/>
                <w:b/>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四</w:t>
            </w:r>
            <w:r>
              <w:rPr>
                <w:rFonts w:hint="default" w:ascii="Times New Roman" w:hAnsi="Times New Roman" w:cs="Times New Roman"/>
                <w:b/>
                <w:color w:val="000000" w:themeColor="text1"/>
                <w:sz w:val="24"/>
                <w14:textFill>
                  <w14:solidFill>
                    <w14:schemeClr w14:val="tx1"/>
                  </w14:solidFill>
                </w14:textFill>
              </w:rPr>
              <w:t>、与《四川省、重庆市长江经济带发展负面清单实施细则（试行，2022年版）》的符合性分析</w:t>
            </w:r>
          </w:p>
          <w:p>
            <w:pPr>
              <w:pStyle w:val="65"/>
              <w:keepNext/>
              <w:numPr>
                <w:ilvl w:val="0"/>
                <w:numId w:val="6"/>
              </w:numPr>
              <w:rPr>
                <w:rFonts w:hint="default" w:ascii="Times New Roman" w:hAnsi="Times New Roman" w:cs="Times New Roman"/>
                <w:b/>
                <w:color w:val="FF0000"/>
                <w:szCs w:val="21"/>
              </w:rPr>
            </w:pPr>
            <w:r>
              <w:rPr>
                <w:rFonts w:hint="default" w:ascii="Times New Roman" w:hAnsi="Times New Roman" w:cs="Times New Roman"/>
                <w:b/>
                <w:color w:val="000000" w:themeColor="text1"/>
                <w:szCs w:val="21"/>
                <w14:textFill>
                  <w14:solidFill>
                    <w14:schemeClr w14:val="tx1"/>
                  </w14:solidFill>
                </w14:textFill>
              </w:rPr>
              <w:t>与《</w:t>
            </w:r>
            <w:r>
              <w:rPr>
                <w:rFonts w:hint="default" w:ascii="Times New Roman" w:hAnsi="Times New Roman" w:cs="Times New Roman"/>
                <w:b/>
                <w:color w:val="000000" w:themeColor="text1"/>
                <w14:textFill>
                  <w14:solidFill>
                    <w14:schemeClr w14:val="tx1"/>
                  </w14:solidFill>
                </w14:textFill>
              </w:rPr>
              <w:t>四川省、重庆市长江经济带发展负面清单实施细则（试行，2022年版）</w:t>
            </w:r>
            <w:r>
              <w:rPr>
                <w:rFonts w:hint="default" w:ascii="Times New Roman" w:hAnsi="Times New Roman" w:cs="Times New Roman"/>
                <w:b/>
                <w:color w:val="000000" w:themeColor="text1"/>
                <w:szCs w:val="21"/>
                <w14:textFill>
                  <w14:solidFill>
                    <w14:schemeClr w14:val="tx1"/>
                  </w14:solidFill>
                </w14:textFill>
              </w:rPr>
              <w:t>》符合性分析</w:t>
            </w:r>
          </w:p>
          <w:tbl>
            <w:tblPr>
              <w:tblStyle w:val="38"/>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64"/>
              <w:gridCol w:w="3484"/>
              <w:gridCol w:w="10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tcBorders>
                    <w:top w:val="single" w:color="auto" w:sz="12" w:space="0"/>
                  </w:tcBorders>
                  <w:vAlign w:val="center"/>
                </w:tcPr>
                <w:p>
                  <w:pPr>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具体内容</w:t>
                  </w:r>
                </w:p>
              </w:tc>
              <w:tc>
                <w:tcPr>
                  <w:tcW w:w="3186" w:type="dxa"/>
                  <w:tcBorders>
                    <w:top w:val="single" w:color="auto" w:sz="12" w:space="0"/>
                  </w:tcBorders>
                  <w:vAlign w:val="center"/>
                </w:tcPr>
                <w:p>
                  <w:pPr>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本项目对应情况</w:t>
                  </w:r>
                </w:p>
              </w:tc>
              <w:tc>
                <w:tcPr>
                  <w:tcW w:w="939" w:type="dxa"/>
                  <w:tcBorders>
                    <w:top w:val="single" w:color="auto" w:sz="12" w:space="0"/>
                  </w:tcBorders>
                  <w:vAlign w:val="center"/>
                </w:tcPr>
                <w:p>
                  <w:pPr>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五条禁止新建、改建和扩建不符合《全国内河航道与港口布局规划》等全国港口规划，以及《四川省内河水运发展规划》《泸州—宜宾—乐山港口群布局规划》《重庆港总体规划（2035年）》等省级港口布局规划及市级港口总体规划的码头项目。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本项目为防洪治理工程，不涉及码头项目。</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第六条禁止新建、改建和扩建不符合《长江干线过江通道布局规划（2020—2035年）》的过长江通道项目（含桥梁、隧道），国家发展改革委同意过长江通道线位调整的除外。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本项目为防洪治理工程，不涉及过长江通道项目（含桥梁、隧道）。</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第七条禁止在自然保护区核心区、缓冲区的岸线和河段范围内投资建设旅游和生产经营项目。自然保护区的内部未分区的，依照本实施细则核心区和缓冲区的规定管控。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本项目为防洪治理工程，项目实施范围不涉及自然保护区。</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第八条禁止违反风景名胜区规划，在风景名胜区内设立各类开发区。禁止在风景名胜区核心景区的岸线和河段范围内建设宾馆、招待所、培训中心、疗养院以及与风景名胜资源保护无关的项目。</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本项目为防洪治理工程，项</w:t>
                  </w:r>
                  <w:r>
                    <w:rPr>
                      <w:rFonts w:hint="eastAsia" w:cs="Times New Roman"/>
                      <w:color w:val="000000" w:themeColor="text1"/>
                      <w:szCs w:val="21"/>
                      <w:lang w:val="en-US" w:eastAsia="zh-CN"/>
                      <w14:textFill>
                        <w14:solidFill>
                          <w14:schemeClr w14:val="tx1"/>
                        </w14:solidFill>
                      </w14:textFill>
                    </w:rPr>
                    <w:t>目不涉及风景名胜</w:t>
                  </w:r>
                  <w:r>
                    <w:rPr>
                      <w:rFonts w:hint="default" w:ascii="Times New Roman" w:hAnsi="Times New Roman" w:cs="Times New Roman"/>
                      <w:color w:val="000000" w:themeColor="text1"/>
                      <w:szCs w:val="21"/>
                      <w:lang w:val="en-US" w:eastAsia="zh-CN"/>
                      <w14:textFill>
                        <w14:solidFill>
                          <w14:schemeClr w14:val="tx1"/>
                        </w14:solidFill>
                      </w14:textFill>
                    </w:rPr>
                    <w:t>区、</w:t>
                  </w:r>
                  <w:r>
                    <w:rPr>
                      <w:rFonts w:hint="default" w:ascii="Times New Roman" w:hAnsi="Times New Roman" w:cs="Times New Roman"/>
                      <w:color w:val="000000" w:themeColor="text1"/>
                      <w:sz w:val="21"/>
                      <w:szCs w:val="21"/>
                      <w14:textFill>
                        <w14:solidFill>
                          <w14:schemeClr w14:val="tx1"/>
                        </w14:solidFill>
                      </w14:textFill>
                    </w:rPr>
                    <w:t>宾馆、招待所、培训中心、疗养院以及与风景名胜资源保护</w:t>
                  </w:r>
                  <w:r>
                    <w:rPr>
                      <w:rFonts w:hint="default" w:ascii="Times New Roman" w:hAnsi="Times New Roman" w:cs="Times New Roman"/>
                      <w:color w:val="000000" w:themeColor="text1"/>
                      <w:szCs w:val="21"/>
                      <w14:textFill>
                        <w14:solidFill>
                          <w14:schemeClr w14:val="tx1"/>
                        </w14:solidFill>
                      </w14:textFill>
                    </w:rPr>
                    <w:t>。</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第九条禁止在饮用水水源准保护区的岸线和河段范围内新建、扩建对</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"https://huanbao.bjx.com.cn/topics/shuitiwuran/" \t "https://huanbao.bjx.com.cn/news/20220610/_blank"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水体污染</w:t>
                  </w:r>
                  <w:r>
                    <w:rPr>
                      <w:rFonts w:hint="default" w:ascii="Times New Roman" w:hAnsi="Times New Roman" w:cs="Times New Roman"/>
                      <w:color w:val="000000" w:themeColor="text1"/>
                      <w:sz w:val="21"/>
                      <w:szCs w:val="21"/>
                      <w14:textFill>
                        <w14:solidFill>
                          <w14:schemeClr w14:val="tx1"/>
                        </w14:solidFill>
                      </w14:textFill>
                    </w:rPr>
                    <w:fldChar w:fldCharType="end"/>
                  </w:r>
                  <w:r>
                    <w:rPr>
                      <w:rFonts w:hint="default" w:ascii="Times New Roman" w:hAnsi="Times New Roman" w:cs="Times New Roman"/>
                      <w:color w:val="000000" w:themeColor="text1"/>
                      <w:sz w:val="21"/>
                      <w:szCs w:val="21"/>
                      <w14:textFill>
                        <w14:solidFill>
                          <w14:schemeClr w14:val="tx1"/>
                        </w14:solidFill>
                      </w14:textFill>
                    </w:rPr>
                    <w:t>严重的建设项目，禁止改建增加排污量的建设项目。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w:t>
                  </w:r>
                  <w:r>
                    <w:rPr>
                      <w:rFonts w:hint="default" w:ascii="Times New Roman" w:hAnsi="Times New Roman" w:eastAsia="宋体" w:cs="Times New Roman"/>
                      <w:color w:val="000000" w:themeColor="text1"/>
                      <w:sz w:val="21"/>
                      <w:szCs w:val="24"/>
                      <w14:textFill>
                        <w14:solidFill>
                          <w14:schemeClr w14:val="tx1"/>
                        </w14:solidFill>
                      </w14:textFill>
                    </w:rPr>
                    <w:t>本项目</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为</w:t>
                  </w:r>
                  <w:r>
                    <w:rPr>
                      <w:rFonts w:hint="default" w:ascii="Times New Roman" w:hAnsi="Times New Roman" w:cs="Times New Roman"/>
                      <w:color w:val="000000" w:themeColor="text1"/>
                      <w:sz w:val="21"/>
                      <w:szCs w:val="24"/>
                      <w:lang w:eastAsia="zh-CN"/>
                      <w14:textFill>
                        <w14:solidFill>
                          <w14:schemeClr w14:val="tx1"/>
                        </w14:solidFill>
                      </w14:textFill>
                    </w:rPr>
                    <w:t>防洪治理</w:t>
                  </w:r>
                  <w:r>
                    <w:rPr>
                      <w:rFonts w:hint="default" w:ascii="Times New Roman" w:hAnsi="Times New Roman" w:eastAsia="宋体" w:cs="Times New Roman"/>
                      <w:color w:val="000000" w:themeColor="text1"/>
                      <w:sz w:val="21"/>
                      <w:szCs w:val="24"/>
                      <w14:textFill>
                        <w14:solidFill>
                          <w14:schemeClr w14:val="tx1"/>
                        </w14:solidFill>
                      </w14:textFill>
                    </w:rPr>
                    <w:t>工程，</w:t>
                  </w:r>
                  <w:r>
                    <w:rPr>
                      <w:rFonts w:hint="eastAsia" w:cs="Times New Roman"/>
                      <w:color w:val="000000" w:themeColor="text1"/>
                      <w:sz w:val="21"/>
                      <w:szCs w:val="24"/>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4"/>
                      <w14:textFill>
                        <w14:solidFill>
                          <w14:schemeClr w14:val="tx1"/>
                        </w14:solidFill>
                      </w14:textFill>
                    </w:rPr>
                    <w:t>涉及</w:t>
                  </w:r>
                  <w:r>
                    <w:rPr>
                      <w:rFonts w:hint="eastAsia" w:cs="Times New Roman"/>
                      <w:color w:val="000000" w:themeColor="text1"/>
                      <w:sz w:val="21"/>
                      <w:szCs w:val="24"/>
                      <w:lang w:val="en-US" w:eastAsia="zh-CN"/>
                      <w14:textFill>
                        <w14:solidFill>
                          <w14:schemeClr w14:val="tx1"/>
                        </w14:solidFill>
                      </w14:textFill>
                    </w:rPr>
                    <w:t>饮用水水源</w:t>
                  </w:r>
                  <w:r>
                    <w:rPr>
                      <w:rFonts w:hint="default" w:ascii="Times New Roman" w:hAnsi="Times New Roman" w:eastAsia="宋体" w:cs="Times New Roman"/>
                      <w:color w:val="000000" w:themeColor="text1"/>
                      <w:sz w:val="21"/>
                      <w:szCs w:val="24"/>
                      <w14:textFill>
                        <w14:solidFill>
                          <w14:schemeClr w14:val="tx1"/>
                        </w14:solidFill>
                      </w14:textFill>
                    </w:rPr>
                    <w:t>保护区</w:t>
                  </w:r>
                  <w:r>
                    <w:rPr>
                      <w:rFonts w:hint="default" w:ascii="Times New Roman" w:hAnsi="Times New Roman" w:cs="Times New Roman"/>
                      <w:color w:val="000000" w:themeColor="text1"/>
                      <w:szCs w:val="21"/>
                      <w14:textFill>
                        <w14:solidFill>
                          <w14:schemeClr w14:val="tx1"/>
                        </w14:solidFill>
                      </w14:textFill>
                    </w:rPr>
                    <w:t>，不</w:t>
                  </w:r>
                  <w:r>
                    <w:rPr>
                      <w:rFonts w:hint="default" w:ascii="Times New Roman" w:hAnsi="Times New Roman" w:cs="Times New Roman"/>
                      <w:color w:val="000000" w:themeColor="text1"/>
                      <w:szCs w:val="21"/>
                      <w:lang w:val="en-US" w:eastAsia="zh-CN"/>
                      <w14:textFill>
                        <w14:solidFill>
                          <w14:schemeClr w14:val="tx1"/>
                        </w14:solidFill>
                      </w14:textFill>
                    </w:rPr>
                    <w:t>属于</w:t>
                  </w:r>
                  <w:r>
                    <w:rPr>
                      <w:rFonts w:hint="default" w:ascii="Times New Roman" w:hAnsi="Times New Roman" w:cs="Times New Roman"/>
                      <w:color w:val="000000" w:themeColor="text1"/>
                      <w:sz w:val="21"/>
                      <w:szCs w:val="21"/>
                      <w14:textFill>
                        <w14:solidFill>
                          <w14:schemeClr w14:val="tx1"/>
                        </w14:solidFill>
                      </w14:textFill>
                    </w:rPr>
                    <w:t>对</w:t>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"https://huanbao.bjx.com.cn/topics/shuitiwuran/" \t "https://huanbao.bjx.com.cn/news/20220610/_blank"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color w:val="000000" w:themeColor="text1"/>
                      <w:sz w:val="21"/>
                      <w:szCs w:val="21"/>
                      <w14:textFill>
                        <w14:solidFill>
                          <w14:schemeClr w14:val="tx1"/>
                        </w14:solidFill>
                      </w14:textFill>
                    </w:rPr>
                    <w:t>水体污染</w:t>
                  </w:r>
                  <w:r>
                    <w:rPr>
                      <w:rFonts w:hint="default" w:ascii="Times New Roman" w:hAnsi="Times New Roman" w:cs="Times New Roman"/>
                      <w:color w:val="000000" w:themeColor="text1"/>
                      <w:sz w:val="21"/>
                      <w:szCs w:val="21"/>
                      <w14:textFill>
                        <w14:solidFill>
                          <w14:schemeClr w14:val="tx1"/>
                        </w14:solidFill>
                      </w14:textFill>
                    </w:rPr>
                    <w:fldChar w:fldCharType="end"/>
                  </w:r>
                  <w:r>
                    <w:rPr>
                      <w:rFonts w:hint="default" w:ascii="Times New Roman" w:hAnsi="Times New Roman" w:cs="Times New Roman"/>
                      <w:color w:val="000000" w:themeColor="text1"/>
                      <w:sz w:val="21"/>
                      <w:szCs w:val="21"/>
                      <w14:textFill>
                        <w14:solidFill>
                          <w14:schemeClr w14:val="tx1"/>
                        </w14:solidFill>
                      </w14:textFill>
                    </w:rPr>
                    <w:t>严重的建设项目</w:t>
                  </w:r>
                  <w:r>
                    <w:rPr>
                      <w:rFonts w:hint="default" w:ascii="Times New Roman" w:hAnsi="Times New Roman" w:cs="Times New Roman"/>
                      <w:color w:val="000000" w:themeColor="text1"/>
                      <w:szCs w:val="21"/>
                      <w14:textFill>
                        <w14:solidFill>
                          <w14:schemeClr w14:val="tx1"/>
                        </w14:solidFill>
                      </w14:textFill>
                    </w:rPr>
                    <w:t>。</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第十条饮用水水源二级保护区的岸线和河段范围内，除应遵守准保护区规定外，禁止新建、改建、扩建排放污染物的投资建设项目；禁止从事采石（砂）、对水体有污染的水产养殖等活动。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本项目</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为</w:t>
                  </w:r>
                  <w:r>
                    <w:rPr>
                      <w:rFonts w:hint="default" w:ascii="Times New Roman" w:hAnsi="Times New Roman" w:cs="Times New Roman"/>
                      <w:color w:val="000000" w:themeColor="text1"/>
                      <w:sz w:val="21"/>
                      <w:szCs w:val="24"/>
                      <w:lang w:eastAsia="zh-CN"/>
                      <w14:textFill>
                        <w14:solidFill>
                          <w14:schemeClr w14:val="tx1"/>
                        </w14:solidFill>
                      </w14:textFill>
                    </w:rPr>
                    <w:t>防洪治理</w:t>
                  </w:r>
                  <w:r>
                    <w:rPr>
                      <w:rFonts w:hint="default" w:ascii="Times New Roman" w:hAnsi="Times New Roman" w:eastAsia="宋体" w:cs="Times New Roman"/>
                      <w:color w:val="000000" w:themeColor="text1"/>
                      <w:sz w:val="21"/>
                      <w:szCs w:val="24"/>
                      <w14:textFill>
                        <w14:solidFill>
                          <w14:schemeClr w14:val="tx1"/>
                        </w14:solidFill>
                      </w14:textFill>
                    </w:rPr>
                    <w:t>工程，</w:t>
                  </w:r>
                  <w:r>
                    <w:rPr>
                      <w:rFonts w:hint="eastAsia" w:cs="Times New Roman"/>
                      <w:color w:val="000000" w:themeColor="text1"/>
                      <w:sz w:val="21"/>
                      <w:szCs w:val="24"/>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4"/>
                      <w14:textFill>
                        <w14:solidFill>
                          <w14:schemeClr w14:val="tx1"/>
                        </w14:solidFill>
                      </w14:textFill>
                    </w:rPr>
                    <w:t>涉及</w:t>
                  </w:r>
                  <w:r>
                    <w:rPr>
                      <w:rFonts w:hint="eastAsia" w:cs="Times New Roman"/>
                      <w:color w:val="000000" w:themeColor="text1"/>
                      <w:sz w:val="21"/>
                      <w:szCs w:val="24"/>
                      <w:lang w:val="en-US" w:eastAsia="zh-CN"/>
                      <w14:textFill>
                        <w14:solidFill>
                          <w14:schemeClr w14:val="tx1"/>
                        </w14:solidFill>
                      </w14:textFill>
                    </w:rPr>
                    <w:t>饮用水水源</w:t>
                  </w:r>
                  <w:r>
                    <w:rPr>
                      <w:rFonts w:hint="default" w:ascii="Times New Roman" w:hAnsi="Times New Roman" w:eastAsia="宋体" w:cs="Times New Roman"/>
                      <w:color w:val="000000" w:themeColor="text1"/>
                      <w:sz w:val="21"/>
                      <w:szCs w:val="24"/>
                      <w14:textFill>
                        <w14:solidFill>
                          <w14:schemeClr w14:val="tx1"/>
                        </w14:solidFill>
                      </w14:textFill>
                    </w:rPr>
                    <w:t>保护区</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营运期不排放污染物，</w:t>
                  </w:r>
                  <w:r>
                    <w:rPr>
                      <w:rFonts w:hint="default" w:ascii="Times New Roman" w:hAnsi="Times New Roman" w:cs="Times New Roman"/>
                      <w:color w:val="000000" w:themeColor="text1"/>
                      <w:szCs w:val="21"/>
                      <w14:textFill>
                        <w14:solidFill>
                          <w14:schemeClr w14:val="tx1"/>
                        </w14:solidFill>
                      </w14:textFill>
                    </w:rPr>
                    <w:t>不涉及采石（砂）、水产养殖。</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一条饮用水水源一级保护区的岸线和河段范围内，除应遵守二级保护区规定外，禁止新建、改建、扩建与供（取）水设施和保护水源无关的项目，以及网箱养殖、畜禽养殖、旅游等可能污染饮用水水体的投资建设项目。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本项目</w:t>
                  </w:r>
                  <w:r>
                    <w:rPr>
                      <w:rFonts w:hint="default" w:ascii="Times New Roman" w:hAnsi="Times New Roman" w:eastAsia="宋体" w:cs="Times New Roman"/>
                      <w:color w:val="000000" w:themeColor="text1"/>
                      <w:sz w:val="21"/>
                      <w:szCs w:val="24"/>
                      <w:lang w:val="en-US" w:eastAsia="zh-CN"/>
                      <w14:textFill>
                        <w14:solidFill>
                          <w14:schemeClr w14:val="tx1"/>
                        </w14:solidFill>
                      </w14:textFill>
                    </w:rPr>
                    <w:t>为</w:t>
                  </w:r>
                  <w:r>
                    <w:rPr>
                      <w:rFonts w:hint="default" w:ascii="Times New Roman" w:hAnsi="Times New Roman" w:cs="Times New Roman"/>
                      <w:color w:val="000000" w:themeColor="text1"/>
                      <w:sz w:val="21"/>
                      <w:szCs w:val="24"/>
                      <w:lang w:eastAsia="zh-CN"/>
                      <w14:textFill>
                        <w14:solidFill>
                          <w14:schemeClr w14:val="tx1"/>
                        </w14:solidFill>
                      </w14:textFill>
                    </w:rPr>
                    <w:t>防洪治理</w:t>
                  </w:r>
                  <w:r>
                    <w:rPr>
                      <w:rFonts w:hint="default" w:ascii="Times New Roman" w:hAnsi="Times New Roman" w:eastAsia="宋体" w:cs="Times New Roman"/>
                      <w:color w:val="000000" w:themeColor="text1"/>
                      <w:sz w:val="21"/>
                      <w:szCs w:val="24"/>
                      <w14:textFill>
                        <w14:solidFill>
                          <w14:schemeClr w14:val="tx1"/>
                        </w14:solidFill>
                      </w14:textFill>
                    </w:rPr>
                    <w:t>工程，</w:t>
                  </w:r>
                  <w:r>
                    <w:rPr>
                      <w:rFonts w:hint="eastAsia" w:cs="Times New Roman"/>
                      <w:color w:val="000000" w:themeColor="text1"/>
                      <w:sz w:val="21"/>
                      <w:szCs w:val="24"/>
                      <w:lang w:val="en-US" w:eastAsia="zh-CN"/>
                      <w14:textFill>
                        <w14:solidFill>
                          <w14:schemeClr w14:val="tx1"/>
                        </w14:solidFill>
                      </w14:textFill>
                    </w:rPr>
                    <w:t>不</w:t>
                  </w:r>
                  <w:r>
                    <w:rPr>
                      <w:rFonts w:hint="default" w:ascii="Times New Roman" w:hAnsi="Times New Roman" w:eastAsia="宋体" w:cs="Times New Roman"/>
                      <w:color w:val="000000" w:themeColor="text1"/>
                      <w:sz w:val="21"/>
                      <w:szCs w:val="24"/>
                      <w14:textFill>
                        <w14:solidFill>
                          <w14:schemeClr w14:val="tx1"/>
                        </w14:solidFill>
                      </w14:textFill>
                    </w:rPr>
                    <w:t>涉及</w:t>
                  </w:r>
                  <w:r>
                    <w:rPr>
                      <w:rFonts w:hint="eastAsia" w:cs="Times New Roman"/>
                      <w:color w:val="000000" w:themeColor="text1"/>
                      <w:sz w:val="21"/>
                      <w:szCs w:val="24"/>
                      <w:lang w:val="en-US" w:eastAsia="zh-CN"/>
                      <w14:textFill>
                        <w14:solidFill>
                          <w14:schemeClr w14:val="tx1"/>
                        </w14:solidFill>
                      </w14:textFill>
                    </w:rPr>
                    <w:t>饮用水水源</w:t>
                  </w:r>
                  <w:r>
                    <w:rPr>
                      <w:rFonts w:hint="default" w:ascii="Times New Roman" w:hAnsi="Times New Roman" w:eastAsia="宋体" w:cs="Times New Roman"/>
                      <w:color w:val="000000" w:themeColor="text1"/>
                      <w:sz w:val="21"/>
                      <w:szCs w:val="24"/>
                      <w14:textFill>
                        <w14:solidFill>
                          <w14:schemeClr w14:val="tx1"/>
                        </w14:solidFill>
                      </w14:textFill>
                    </w:rPr>
                    <w:t>保护区</w:t>
                  </w:r>
                  <w:r>
                    <w:rPr>
                      <w:rFonts w:hint="default" w:ascii="Times New Roman" w:hAnsi="Times New Roman" w:cs="Times New Roman"/>
                      <w:color w:val="000000" w:themeColor="text1"/>
                      <w:szCs w:val="21"/>
                      <w14:textFill>
                        <w14:solidFill>
                          <w14:schemeClr w14:val="tx1"/>
                        </w14:solidFill>
                      </w14:textFill>
                    </w:rPr>
                    <w:t>，不涉及可能污染饮用水水体的投资建设项目。</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第十二条禁止在水产种质资源保护区岸线和河段范围内新建围湖造田、围湖造地或挖沙采石等投资建设项目。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本项目为防洪治理工程，项目实施范围不涉及水产种质资源保护区以及围湖造田、围湖造地、挖沙采石等投资建设项目。</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本项目为防洪治理工程，项目实施影响范围不涉及国家湿地公园以及野生动物栖息地</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项目采用</w:t>
                  </w:r>
                  <w:r>
                    <w:rPr>
                      <w:rFonts w:hint="eastAsia" w:ascii="Times New Roman" w:hAnsi="Times New Roman" w:eastAsia="宋体" w:cs="Times New Roman"/>
                      <w:color w:val="auto"/>
                      <w:kern w:val="0"/>
                      <w:sz w:val="21"/>
                      <w:szCs w:val="21"/>
                      <w:lang w:val="en-US" w:eastAsia="zh-CN" w:bidi="ar-SA"/>
                    </w:rPr>
                    <w:t>分段填筑纵向围堰束窄河段河床的方式进行施工导流</w:t>
                  </w:r>
                  <w:r>
                    <w:rPr>
                      <w:rFonts w:hint="eastAsia" w:cs="Times New Roman"/>
                      <w:color w:val="auto"/>
                      <w:kern w:val="0"/>
                      <w:sz w:val="21"/>
                      <w:szCs w:val="21"/>
                      <w:lang w:val="en-US" w:eastAsia="zh-CN" w:bidi="ar-SA"/>
                    </w:rPr>
                    <w:t>，施工时河道不断流，对鱼类</w:t>
                  </w:r>
                  <w:r>
                    <w:rPr>
                      <w:rFonts w:hint="default" w:ascii="Times New Roman" w:hAnsi="Times New Roman" w:cs="Times New Roman"/>
                      <w:color w:val="000000" w:themeColor="text1"/>
                      <w:szCs w:val="21"/>
                      <w14:textFill>
                        <w14:solidFill>
                          <w14:schemeClr w14:val="tx1"/>
                        </w14:solidFill>
                      </w14:textFill>
                    </w:rPr>
                    <w:t>洄游通道</w:t>
                  </w:r>
                  <w:r>
                    <w:rPr>
                      <w:rFonts w:hint="eastAsia" w:cs="Times New Roman"/>
                      <w:color w:val="000000" w:themeColor="text1"/>
                      <w:szCs w:val="21"/>
                      <w:lang w:val="en-US" w:eastAsia="zh-CN"/>
                      <w14:textFill>
                        <w14:solidFill>
                          <w14:schemeClr w14:val="tx1"/>
                        </w14:solidFill>
                      </w14:textFill>
                    </w:rPr>
                    <w:t>影响不大</w:t>
                  </w:r>
                  <w:r>
                    <w:rPr>
                      <w:rFonts w:hint="default" w:ascii="Times New Roman" w:hAnsi="Times New Roman" w:cs="Times New Roman"/>
                      <w:color w:val="000000" w:themeColor="text1"/>
                      <w:szCs w:val="21"/>
                      <w14:textFill>
                        <w14:solidFill>
                          <w14:schemeClr w14:val="tx1"/>
                        </w14:solidFill>
                      </w14:textFill>
                    </w:rPr>
                    <w:t>。</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本项目为防洪治理工程，属于事关公共安全及公众利益的防洪护岸、河道治理，严格按要求建设防洪堤防和河道治理。</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第十五条禁止在《全国重要江河湖泊水功能区划》划定的河段及湖泊保护区、保留区内投资建设不利于水资源及自然生态保护的项目。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本项目实施范围不涉及《全国重要江河湖泊水功能区划》划定的河段及湖泊保护区、保留区。</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第十六条禁止在长江流域江河、湖泊新设、改设或者扩大排污口，经有管辖权的生态环境主管部门或者长江流域生态环境监督管理机构同意的除外。</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本项目为防洪治理工程，无排污口。</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第十七条禁止在长江、大渡河、岷江、赤水河、沱江、嘉陵江、乌江、汉江和51个（四川省45个、重庆市6个）水生生物保护区开展生产性捕捞。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本项目为防洪治理工程，不涉及捕捞。</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第十八条禁止在长江干支流、重要湖泊岸线一公里范围内新建、扩建化工园区和化工项目。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本项目为防洪治理工程，不涉及新建、扩建化工园和化工项目。</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第十九条禁止在长江干流岸线三公里范围内和重要支流岸线一公里范围内新建、改建、扩建尾矿库、冶炼渣库、磷石膏库，以提升安全、生态环境保护水平为目的的改建除外。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本项目为防洪治理工程，不涉及尾矿库、冶炼渣库和磷石膏库。</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第二十条禁止在生态保护红线区域、永久基本农田集中区域和其他需要特别保护的区域内选址建设尾矿库、冶炼渣库、磷石膏库。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本项目为防洪治理工程，不涉及尾矿库、冶炼渣库和磷石膏库。</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第二十一条禁止在合规园区外新建、扩建钢铁、石化、化工、焦化、建材、有色、制浆造纸等高污染项目。</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本项目为防洪治理工程，不涉及钢铁、石化、化工、焦化、建材、有色、制浆造纸等高污染项目。</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第二十二条禁止新建、扩建不符合国家石化、现代煤化工等产业布局规划的项目。</w:t>
                  </w:r>
                </w:p>
                <w:p>
                  <w:pPr>
                    <w:pStyle w:val="12"/>
                    <w:spacing w:before="0" w:after="0"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（一）严格控制新增炼油项目，未列入《石化产业规划布局方案（修订版）》的新增炼油产能一律不得建设。 </w:t>
                  </w:r>
                </w:p>
                <w:p>
                  <w:pPr>
                    <w:pStyle w:val="12"/>
                    <w:spacing w:before="0" w:after="0" w:line="240" w:lineRule="auto"/>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（二）新建煤制烯烃、煤制芳烃项目必须列入《现代煤化工产业创新发展布局方案》，必须符合《现代煤化工建设项目环境准入条件（试行）》要求。</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本项目为防洪治理工程，不涉及国家石化、现代煤化工等产业布局规划的项目。</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 </w:t>
                  </w:r>
                </w:p>
              </w:tc>
              <w:tc>
                <w:tcPr>
                  <w:tcW w:w="3186"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本项目为防洪治理工程，不涉及法律法规和相关政策明令禁止的落后产能项目。</w:t>
                  </w:r>
                </w:p>
              </w:tc>
              <w:tc>
                <w:tcPr>
                  <w:tcW w:w="939" w:type="dxa"/>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tcBorders>
                    <w:bottom w:val="single" w:color="auto" w:sz="4" w:space="0"/>
                  </w:tcBorders>
                  <w:vAlign w:val="center"/>
                </w:tcPr>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第二十四条禁止新建、扩建不符合国家产能置换要求的严重过剩产能行业的项目。对于不符合国家产能置换要求的严重过剩产能行业，不得以其他任何名义、任何方式备案新增产能项目。 </w:t>
                  </w:r>
                </w:p>
              </w:tc>
              <w:tc>
                <w:tcPr>
                  <w:tcW w:w="3186" w:type="dxa"/>
                  <w:tcBorders>
                    <w:bottom w:val="single" w:color="auto" w:sz="4" w:space="0"/>
                  </w:tcBorders>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本项目为防洪治理工程，不涉及国家产能置换要求的严重过剩产能行业的项目。</w:t>
                  </w:r>
                </w:p>
              </w:tc>
              <w:tc>
                <w:tcPr>
                  <w:tcW w:w="939" w:type="dxa"/>
                  <w:tcBorders>
                    <w:bottom w:val="single" w:color="auto" w:sz="4" w:space="0"/>
                  </w:tcBorders>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448" w:type="dxa"/>
                  <w:tcBorders>
                    <w:bottom w:val="single" w:color="auto" w:sz="12" w:space="0"/>
                  </w:tcBorders>
                  <w:vAlign w:val="center"/>
                </w:tcPr>
                <w:p>
                  <w:pPr>
                    <w:pStyle w:val="12"/>
                    <w:spacing w:before="0" w:after="0"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第二十五条禁止建设以下燃油汽车投资项目（不在中国境内销售产品的投资项目除外）： </w:t>
                  </w:r>
                </w:p>
                <w:p>
                  <w:pPr>
                    <w:pStyle w:val="12"/>
                    <w:spacing w:before="0" w:after="0"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（一）新建独立燃油汽车企业； </w:t>
                  </w:r>
                </w:p>
                <w:p>
                  <w:pPr>
                    <w:pStyle w:val="12"/>
                    <w:spacing w:before="0" w:after="0"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（二）现有汽车企业跨乘用车、商用车类别建设燃油汽车生产能力； </w:t>
                  </w:r>
                </w:p>
                <w:p>
                  <w:pPr>
                    <w:pStyle w:val="12"/>
                    <w:spacing w:before="0" w:after="0" w:line="24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（三）外省现有燃油汽车企业整体搬迁至本省（列入国家级区域发展规划或不改变企业股权结构的项目除外）； </w:t>
                  </w:r>
                </w:p>
                <w:p>
                  <w:pPr>
                    <w:pStyle w:val="12"/>
                    <w:spacing w:before="0" w:after="0" w:line="240" w:lineRule="auto"/>
                    <w:ind w:firstLine="420" w:firstLineChars="20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（四）对行业管理部门特别公示的燃油汽车企业进行投资（企业原有股东投资或将该企业转为非独立法人的投资项目除外）。 </w:t>
                  </w:r>
                </w:p>
              </w:tc>
              <w:tc>
                <w:tcPr>
                  <w:tcW w:w="3186" w:type="dxa"/>
                  <w:tcBorders>
                    <w:bottom w:val="single" w:color="auto" w:sz="12" w:space="0"/>
                  </w:tcBorders>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本项目为防洪治理工程，不涉及燃油汽车投资项目。</w:t>
                  </w:r>
                </w:p>
              </w:tc>
              <w:tc>
                <w:tcPr>
                  <w:tcW w:w="939" w:type="dxa"/>
                  <w:tcBorders>
                    <w:bottom w:val="single" w:color="auto" w:sz="12" w:space="0"/>
                  </w:tcBorders>
                  <w:vAlign w:val="center"/>
                </w:tcPr>
                <w:p>
                  <w:pPr>
                    <w:adjustRightInd w:val="0"/>
                    <w:snapToGrid w:val="0"/>
                    <w:spacing w:line="276" w:lineRule="auto"/>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pPr>
              <w:adjustRightInd w:val="0"/>
              <w:snapToGrid w:val="0"/>
              <w:spacing w:line="360" w:lineRule="auto"/>
              <w:ind w:firstLine="480" w:firstLineChars="200"/>
              <w:rPr>
                <w:rFonts w:hint="default" w:ascii="Times New Roman" w:hAnsi="Times New Roman" w:cs="Times New Roman"/>
                <w:bCs/>
                <w:color w:val="FF0000"/>
                <w:sz w:val="24"/>
              </w:rPr>
            </w:pPr>
            <w:r>
              <w:rPr>
                <w:rFonts w:hint="default" w:ascii="Times New Roman" w:hAnsi="Times New Roman" w:cs="Times New Roman"/>
                <w:bCs/>
                <w:color w:val="000000" w:themeColor="text1"/>
                <w:sz w:val="24"/>
                <w14:textFill>
                  <w14:solidFill>
                    <w14:schemeClr w14:val="tx1"/>
                  </w14:solidFill>
                </w14:textFill>
              </w:rPr>
              <w:t>综上，本项目建设符合</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四川省、重庆市长江经济带发展负面清单实施细则（试行，2022年版）</w:t>
            </w: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的相关要求。</w:t>
            </w:r>
          </w:p>
          <w:p>
            <w:pPr>
              <w:numPr>
                <w:ilvl w:val="0"/>
                <w:numId w:val="0"/>
              </w:numPr>
              <w:adjustRightInd w:val="0"/>
              <w:snapToGrid w:val="0"/>
              <w:spacing w:line="360" w:lineRule="auto"/>
              <w:rPr>
                <w:rFonts w:hint="eastAsia"/>
                <w:b/>
                <w:bCs/>
                <w:color w:val="000000" w:themeColor="text1"/>
                <w:sz w:val="24"/>
                <w:lang w:val="en-US" w:eastAsia="zh-CN" w:bidi="zh-TW"/>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五</w:t>
            </w:r>
            <w:r>
              <w:rPr>
                <w:rFonts w:hint="default" w:ascii="Times New Roman" w:hAnsi="Times New Roman" w:cs="Times New Roman"/>
                <w:b/>
                <w:bCs/>
                <w:color w:val="000000" w:themeColor="text1"/>
                <w:sz w:val="24"/>
                <w14:textFill>
                  <w14:solidFill>
                    <w14:schemeClr w14:val="tx1"/>
                  </w14:solidFill>
                </w14:textFill>
              </w:rPr>
              <w:t>、</w:t>
            </w:r>
            <w:r>
              <w:rPr>
                <w:rFonts w:hint="eastAsia"/>
                <w:b/>
                <w:bCs/>
                <w:color w:val="000000" w:themeColor="text1"/>
                <w:sz w:val="24"/>
                <w:lang w:val="en-US" w:eastAsia="zh-CN" w:bidi="zh-TW"/>
                <w14:textFill>
                  <w14:solidFill>
                    <w14:schemeClr w14:val="tx1"/>
                  </w14:solidFill>
                </w14:textFill>
              </w:rPr>
              <w:t>项目与《水利建设项目（河湖整治与防洪除涝工程）环境评价文件审批原则》（试行）符合性分析</w:t>
            </w:r>
          </w:p>
          <w:p>
            <w:pPr>
              <w:autoSpaceDE w:val="0"/>
              <w:autoSpaceDN w:val="0"/>
              <w:adjustRightInd w:val="0"/>
              <w:snapToGrid w:val="0"/>
              <w:spacing w:line="360" w:lineRule="auto"/>
              <w:ind w:firstLine="480" w:firstLineChars="20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本项目与</w:t>
            </w:r>
            <w:r>
              <w:rPr>
                <w:rFonts w:hint="eastAsia"/>
                <w:color w:val="000000" w:themeColor="text1"/>
                <w:kern w:val="0"/>
                <w:sz w:val="24"/>
                <w:lang w:val="en-US" w:eastAsia="zh-CN"/>
                <w14:textFill>
                  <w14:solidFill>
                    <w14:schemeClr w14:val="tx1"/>
                  </w14:solidFill>
                </w14:textFill>
              </w:rPr>
              <w:t>《水利建设项目（河湖整治与防洪除涝工程）环境应评价文件审批原则》（试行）</w:t>
            </w:r>
            <w:r>
              <w:rPr>
                <w:color w:val="000000" w:themeColor="text1"/>
                <w:kern w:val="0"/>
                <w:sz w:val="24"/>
                <w14:textFill>
                  <w14:solidFill>
                    <w14:schemeClr w14:val="tx1"/>
                  </w14:solidFill>
                </w14:textFill>
              </w:rPr>
              <w:t>符合性分析如下。</w:t>
            </w:r>
          </w:p>
          <w:p>
            <w:pPr>
              <w:pStyle w:val="65"/>
              <w:keepNext/>
              <w:numPr>
                <w:ilvl w:val="0"/>
                <w:numId w:val="6"/>
              </w:num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本项目与</w:t>
            </w:r>
            <w:r>
              <w:rPr>
                <w:rFonts w:hint="eastAsia"/>
                <w:b/>
                <w:color w:val="000000" w:themeColor="text1"/>
                <w:szCs w:val="21"/>
                <w:lang w:val="en-US" w:eastAsia="zh-CN"/>
                <w14:textFill>
                  <w14:solidFill>
                    <w14:schemeClr w14:val="tx1"/>
                  </w14:solidFill>
                </w14:textFill>
              </w:rPr>
              <w:t>《水利建设项目（河湖整治与防洪除涝工程）环境应评价文件审批原则》（试行）</w:t>
            </w:r>
            <w:r>
              <w:rPr>
                <w:b/>
                <w:color w:val="000000" w:themeColor="text1"/>
                <w:szCs w:val="21"/>
                <w14:textFill>
                  <w14:solidFill>
                    <w14:schemeClr w14:val="tx1"/>
                  </w14:solidFill>
                </w14:textFill>
              </w:rPr>
              <w:t>符合性分析</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1"/>
              <w:gridCol w:w="4526"/>
              <w:gridCol w:w="2945"/>
              <w:gridCol w:w="9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文件</w:t>
                  </w:r>
                </w:p>
              </w:tc>
              <w:tc>
                <w:tcPr>
                  <w:tcW w:w="2413" w:type="pc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内容</w:t>
                  </w:r>
                </w:p>
              </w:tc>
              <w:tc>
                <w:tcPr>
                  <w:tcW w:w="1570" w:type="pc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本项目</w:t>
                  </w:r>
                </w:p>
              </w:tc>
              <w:tc>
                <w:tcPr>
                  <w:tcW w:w="497" w:type="pct"/>
                  <w:vAlign w:val="center"/>
                </w:tcPr>
                <w:p>
                  <w:pPr>
                    <w:widowControl/>
                    <w:jc w:val="center"/>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restart"/>
                  <w:vAlign w:val="center"/>
                </w:tcPr>
                <w:p>
                  <w:pPr>
                    <w:pStyle w:val="85"/>
                    <w:widowControl/>
                    <w:spacing w:line="240" w:lineRule="auto"/>
                    <w:ind w:firstLine="0" w:firstLineChars="0"/>
                    <w:jc w:val="center"/>
                    <w:rPr>
                      <w:rFonts w:eastAsia="宋体"/>
                      <w:color w:val="FF0000"/>
                      <w:sz w:val="21"/>
                    </w:rPr>
                  </w:pPr>
                  <w:r>
                    <w:rPr>
                      <w:rFonts w:hint="eastAsia" w:eastAsia="宋体"/>
                      <w:color w:val="000000" w:themeColor="text1"/>
                      <w:sz w:val="21"/>
                      <w:lang w:val="en-US" w:eastAsia="zh-CN"/>
                      <w14:textFill>
                        <w14:solidFill>
                          <w14:schemeClr w14:val="tx1"/>
                        </w14:solidFill>
                      </w14:textFill>
                    </w:rPr>
                    <w:t>《水利建设项目（河湖整治与防洪除涝工程）环境应评价文件审批原则》（试行）</w:t>
                  </w:r>
                </w:p>
              </w:tc>
              <w:tc>
                <w:tcPr>
                  <w:tcW w:w="2413" w:type="pct"/>
                  <w:vAlign w:val="center"/>
                </w:tcPr>
                <w:p>
                  <w:pPr>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第一条本原则适用于河湖整治与防洪除涝工程环境影响评价文件的审批，工程建设内容包括疏浚、堤防建设、闸坝闸站建设、岸线治理、水系连通、蓄（滞）洪区建设、排涝治理等（引调水、防洪水库等水利枢纽工程除外）。其他类似工程可参照执行。</w:t>
                  </w:r>
                </w:p>
              </w:tc>
              <w:tc>
                <w:tcPr>
                  <w:tcW w:w="1570" w:type="pct"/>
                  <w:vAlign w:val="center"/>
                </w:tcPr>
                <w:p>
                  <w:pPr>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本项目为防洪治理工程，</w:t>
                  </w:r>
                  <w:r>
                    <w:rPr>
                      <w:rFonts w:hint="eastAsia"/>
                      <w:color w:val="000000" w:themeColor="text1"/>
                      <w:kern w:val="0"/>
                      <w:szCs w:val="21"/>
                      <w:lang w:val="en-US" w:eastAsia="zh-CN"/>
                      <w14:textFill>
                        <w14:solidFill>
                          <w14:schemeClr w14:val="tx1"/>
                        </w14:solidFill>
                      </w14:textFill>
                    </w:rPr>
                    <w:t>适用本原则</w:t>
                  </w:r>
                  <w:r>
                    <w:rPr>
                      <w:color w:val="000000" w:themeColor="text1"/>
                      <w:kern w:val="0"/>
                      <w:szCs w:val="21"/>
                      <w14:textFill>
                        <w14:solidFill>
                          <w14:schemeClr w14:val="tx1"/>
                        </w14:solidFill>
                      </w14:textFill>
                    </w:rPr>
                    <w:t>。</w:t>
                  </w:r>
                </w:p>
              </w:tc>
              <w:tc>
                <w:tcPr>
                  <w:tcW w:w="497" w:type="pct"/>
                  <w:vAlign w:val="center"/>
                </w:tcPr>
                <w:p>
                  <w:pPr>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第二条项目符合环境保护相关法律法规和政策要求，与主体功能区规划、生态功能区划、水环境功能区划、水功能区划、生态环境保护规划、流域综合规划、防洪规划等相协调，满足相关规划环评要求。工程涉及岸线调整（治导线变化）、裁弯取直、围垦水面和占用河湖滩地等建设内容的，充分论证了方案环境可行性，最大程度保持了河湖自然形态，最大限度维护了河湖健康、生态系统功能和生物多样性。</w:t>
                  </w:r>
                </w:p>
              </w:tc>
              <w:tc>
                <w:tcPr>
                  <w:tcW w:w="1570" w:type="pct"/>
                  <w:vAlign w:val="center"/>
                </w:tcPr>
                <w:p>
                  <w:pPr>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本项目符</w:t>
                  </w:r>
                  <w:r>
                    <w:rPr>
                      <w:rFonts w:hint="eastAsia"/>
                      <w:color w:val="000000" w:themeColor="text1"/>
                      <w:kern w:val="0"/>
                      <w:sz w:val="21"/>
                      <w:szCs w:val="21"/>
                      <w:lang w:val="en-US" w:eastAsia="zh-CN"/>
                      <w14:textFill>
                        <w14:solidFill>
                          <w14:schemeClr w14:val="tx1"/>
                        </w14:solidFill>
                      </w14:textFill>
                    </w:rPr>
                    <w:t>合《</w:t>
                  </w:r>
                  <w:r>
                    <w:rPr>
                      <w:rFonts w:hint="default" w:ascii="Times New Roman" w:hAnsi="Times New Roman" w:eastAsia="宋体" w:cs="Times New Roman"/>
                      <w:color w:val="000000" w:themeColor="text1"/>
                      <w:sz w:val="21"/>
                      <w:szCs w:val="21"/>
                      <w14:textFill>
                        <w14:solidFill>
                          <w14:schemeClr w14:val="tx1"/>
                        </w14:solidFill>
                      </w14:textFill>
                    </w:rPr>
                    <w:t>四川省涪江流域综合规划</w:t>
                  </w:r>
                  <w:r>
                    <w:rPr>
                      <w:rFonts w:hint="eastAsia"/>
                      <w:color w:val="000000" w:themeColor="text1"/>
                      <w:kern w:val="0"/>
                      <w:sz w:val="21"/>
                      <w:szCs w:val="21"/>
                      <w:lang w:val="en-US"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项</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目</w:t>
                  </w:r>
                  <w:r>
                    <w:rPr>
                      <w:rFonts w:hint="default" w:ascii="Times New Roman" w:hAnsi="Times New Roman" w:eastAsia="宋体" w:cs="Times New Roman"/>
                      <w:color w:val="000000" w:themeColor="text1"/>
                      <w:sz w:val="21"/>
                      <w:szCs w:val="21"/>
                      <w14:textFill>
                        <w14:solidFill>
                          <w14:schemeClr w14:val="tx1"/>
                        </w14:solidFill>
                      </w14:textFill>
                    </w:rPr>
                    <w:t>沿现状岸线进行布置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不涉</w:t>
                  </w:r>
                  <w:r>
                    <w:rPr>
                      <w:rFonts w:hint="eastAsia"/>
                      <w:color w:val="000000" w:themeColor="text1"/>
                      <w:kern w:val="0"/>
                      <w:szCs w:val="21"/>
                      <w:lang w:val="en-US" w:eastAsia="zh-CN"/>
                      <w14:textFill>
                        <w14:solidFill>
                          <w14:schemeClr w14:val="tx1"/>
                        </w14:solidFill>
                      </w14:textFill>
                    </w:rPr>
                    <w:t>及</w:t>
                  </w:r>
                  <w:r>
                    <w:rPr>
                      <w:color w:val="000000" w:themeColor="text1"/>
                      <w:kern w:val="0"/>
                      <w:szCs w:val="21"/>
                      <w14:textFill>
                        <w14:solidFill>
                          <w14:schemeClr w14:val="tx1"/>
                        </w14:solidFill>
                      </w14:textFill>
                    </w:rPr>
                    <w:t>岸线调整（治导线变化）、裁弯取直、围垦水面</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部分堤防建设在河滩地上，设计论证可行，能够维护河湖健康、生态系统功能和生物多样性。</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第三条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1570" w:type="pct"/>
                  <w:vAlign w:val="center"/>
                </w:tcPr>
                <w:p>
                  <w:pPr>
                    <w:jc w:val="left"/>
                    <w:rPr>
                      <w:rFonts w:hint="default" w:eastAsia="宋体"/>
                      <w:color w:val="000000" w:themeColor="text1"/>
                      <w:kern w:val="0"/>
                      <w:szCs w:val="21"/>
                      <w:lang w:val="en-US" w:eastAsia="zh-CN"/>
                      <w14:textFill>
                        <w14:solidFill>
                          <w14:schemeClr w14:val="tx1"/>
                        </w14:solidFill>
                      </w14:textFill>
                    </w:rPr>
                  </w:pPr>
                  <w:r>
                    <w:rPr>
                      <w:color w:val="000000" w:themeColor="text1"/>
                      <w:kern w:val="0"/>
                      <w:szCs w:val="21"/>
                      <w14:textFill>
                        <w14:solidFill>
                          <w14:schemeClr w14:val="tx1"/>
                        </w14:solidFill>
                      </w14:textFill>
                    </w:rPr>
                    <w:t>本项目</w:t>
                  </w:r>
                  <w:r>
                    <w:rPr>
                      <w:rFonts w:hint="eastAsia"/>
                      <w:color w:val="000000" w:themeColor="text1"/>
                      <w:kern w:val="0"/>
                      <w:szCs w:val="21"/>
                      <w:lang w:val="en-US" w:eastAsia="zh-CN"/>
                      <w14:textFill>
                        <w14:solidFill>
                          <w14:schemeClr w14:val="tx1"/>
                        </w14:solidFill>
                      </w14:textFill>
                    </w:rPr>
                    <w:t>工程及施工布置不涉及占用</w:t>
                  </w:r>
                  <w:r>
                    <w:rPr>
                      <w:color w:val="000000" w:themeColor="text1"/>
                      <w:kern w:val="0"/>
                      <w:szCs w:val="21"/>
                      <w14:textFill>
                        <w14:solidFill>
                          <w14:schemeClr w14:val="tx1"/>
                        </w14:solidFill>
                      </w14:textFill>
                    </w:rPr>
                    <w:t>自然保护区、风景名胜区、世界文化和自然遗产地以及其他生态保护红线</w:t>
                  </w:r>
                  <w:r>
                    <w:rPr>
                      <w:rFonts w:hint="eastAsia"/>
                      <w:color w:val="000000" w:themeColor="text1"/>
                      <w:kern w:val="0"/>
                      <w:szCs w:val="21"/>
                      <w:lang w:val="en-US" w:eastAsia="zh-CN"/>
                      <w14:textFill>
                        <w14:solidFill>
                          <w14:schemeClr w14:val="tx1"/>
                        </w14:solidFill>
                      </w14:textFill>
                    </w:rPr>
                    <w:t>等</w:t>
                  </w:r>
                  <w:r>
                    <w:rPr>
                      <w:color w:val="000000" w:themeColor="text1"/>
                      <w:kern w:val="0"/>
                      <w:szCs w:val="21"/>
                      <w14:textFill>
                        <w14:solidFill>
                          <w14:schemeClr w14:val="tx1"/>
                        </w14:solidFill>
                      </w14:textFill>
                    </w:rPr>
                    <w:t>禁止占用的区域</w:t>
                  </w:r>
                  <w:r>
                    <w:rPr>
                      <w:rFonts w:hint="eastAsia"/>
                      <w:color w:val="000000" w:themeColor="text1"/>
                      <w:kern w:val="0"/>
                      <w:szCs w:val="21"/>
                      <w:lang w:eastAsia="zh-CN"/>
                      <w14:textFill>
                        <w14:solidFill>
                          <w14:schemeClr w14:val="tx1"/>
                        </w14:solidFill>
                      </w14:textFill>
                    </w:rPr>
                    <w:t>；</w:t>
                  </w:r>
                  <w:r>
                    <w:rPr>
                      <w:rFonts w:hint="eastAsia"/>
                      <w:color w:val="000000" w:themeColor="text1"/>
                      <w:kern w:val="0"/>
                      <w:szCs w:val="21"/>
                      <w:lang w:val="en-US" w:eastAsia="zh-CN"/>
                      <w14:textFill>
                        <w14:solidFill>
                          <w14:schemeClr w14:val="tx1"/>
                        </w14:solidFill>
                      </w14:textFill>
                    </w:rPr>
                    <w:t>不涉及</w:t>
                  </w:r>
                  <w:r>
                    <w:rPr>
                      <w:color w:val="000000" w:themeColor="text1"/>
                      <w:kern w:val="0"/>
                      <w:szCs w:val="21"/>
                      <w14:textFill>
                        <w14:solidFill>
                          <w14:schemeClr w14:val="tx1"/>
                        </w14:solidFill>
                      </w14:textFill>
                    </w:rPr>
                    <w:t>饮用水水源保护区</w:t>
                  </w:r>
                  <w:r>
                    <w:rPr>
                      <w:rFonts w:hint="eastAsia"/>
                      <w:color w:val="000000" w:themeColor="text1"/>
                      <w:kern w:val="0"/>
                      <w:szCs w:val="21"/>
                      <w:lang w:val="en-US" w:eastAsia="zh-CN"/>
                      <w14:textFill>
                        <w14:solidFill>
                          <w14:schemeClr w14:val="tx1"/>
                        </w14:solidFill>
                      </w14:textFill>
                    </w:rPr>
                    <w:t>。</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numPr>
                      <w:ilvl w:val="0"/>
                      <w:numId w:val="0"/>
                    </w:numPr>
                    <w:jc w:val="left"/>
                    <w:rPr>
                      <w:rFonts w:hint="eastAsia"/>
                      <w:color w:val="000000" w:themeColor="text1"/>
                      <w:kern w:val="0"/>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第四条</w:t>
                  </w:r>
                  <w:r>
                    <w:rPr>
                      <w:color w:val="000000" w:themeColor="text1"/>
                      <w:kern w:val="0"/>
                      <w:szCs w:val="21"/>
                      <w14:textFill>
                        <w14:solidFill>
                          <w14:schemeClr w14:val="tx1"/>
                        </w14:solidFill>
                      </w14:textFill>
                    </w:rPr>
                    <w:t>项目实施改变水动力条件或水文过程且对水质产生不利影响的，提出了工程优化调整、科学调度、实施区域流域水污染防治等措施。对地下水环境产生不利影响或次生环境影响的，提出了优化工程设计、导排、防护等针对性的防治措施</w:t>
                  </w:r>
                  <w:r>
                    <w:rPr>
                      <w:rFonts w:hint="eastAsia"/>
                      <w:color w:val="000000" w:themeColor="text1"/>
                      <w:kern w:val="0"/>
                      <w:szCs w:val="21"/>
                      <w:lang w:eastAsia="zh-CN"/>
                      <w14:textFill>
                        <w14:solidFill>
                          <w14:schemeClr w14:val="tx1"/>
                        </w14:solidFill>
                      </w14:textFill>
                    </w:rPr>
                    <w:t>。</w:t>
                  </w:r>
                </w:p>
                <w:p>
                  <w:pPr>
                    <w:numPr>
                      <w:ilvl w:val="0"/>
                      <w:numId w:val="0"/>
                    </w:numPr>
                    <w:jc w:val="left"/>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在采取上述措施后，对水环境的不利影响能够得到缓解和控制，居民用水安全能够得到保障，相关区域不会出现显著的土壤潜育化、沼泽化、盐碱化等次生环境问题。</w:t>
                  </w:r>
                </w:p>
              </w:tc>
              <w:tc>
                <w:tcPr>
                  <w:tcW w:w="1570" w:type="pct"/>
                  <w:vAlign w:val="center"/>
                </w:tcPr>
                <w:p>
                  <w:pPr>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本项目实施不会改变水动力条件或水文过程，在做好隔油沉淀池防渗后，不会对地下水环境产生影响。</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第五条项目对鱼类等水生生物的洄游通道及</w:t>
                  </w:r>
                  <w:r>
                    <w:rPr>
                      <w:rFonts w:hint="eastAsia" w:ascii="宋体" w:hAnsi="宋体" w:eastAsia="宋体" w:cs="宋体"/>
                      <w:color w:val="000000" w:themeColor="text1"/>
                      <w:kern w:val="0"/>
                      <w:szCs w:val="21"/>
                      <w14:textFill>
                        <w14:solidFill>
                          <w14:schemeClr w14:val="tx1"/>
                        </w14:solidFill>
                      </w14:textFill>
                    </w:rPr>
                    <w:t>“三场”</w:t>
                  </w:r>
                  <w:r>
                    <w:rPr>
                      <w:color w:val="000000" w:themeColor="text1"/>
                      <w:kern w:val="0"/>
                      <w:szCs w:val="21"/>
                      <w14:textFill>
                        <w14:solidFill>
                          <w14:schemeClr w14:val="tx1"/>
                        </w14:solidFill>
                      </w14:textFill>
                    </w:rPr>
                    <w:t>等重要生境、物种多样性及资源量等产生不利影响的，提出了下泄生态流量、恢复鱼类洄游通道、采用生态友好型护岸（坡、底）、生态修复、增殖放流等措施。在采取上述措施后，对水生生物的不利影响能够得到缓解和控制，不会造成原有珍稀濒危保护、区域特有或重要经济水生生物在相关河段消失，不会对相关河段水生生态系统造成重大不利影响。</w:t>
                  </w:r>
                </w:p>
              </w:tc>
              <w:tc>
                <w:tcPr>
                  <w:tcW w:w="1570" w:type="pct"/>
                  <w:vAlign w:val="center"/>
                </w:tcPr>
                <w:p>
                  <w:pPr>
                    <w:jc w:val="left"/>
                    <w:rPr>
                      <w:rFonts w:hint="eastAsia" w:eastAsia="宋体"/>
                      <w:color w:val="000000" w:themeColor="text1"/>
                      <w:kern w:val="0"/>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本项目所在河堤堤防基础的修建可能扰动水体，在采取报告提出的枯水期（11月~次年3月份）施工，且</w:t>
                  </w:r>
                  <w:r>
                    <w:rPr>
                      <w:rFonts w:hint="eastAsia" w:cs="Times New Roman"/>
                      <w:color w:val="000000" w:themeColor="text1"/>
                      <w:szCs w:val="21"/>
                      <w:lang w:val="en-US" w:eastAsia="zh-CN"/>
                      <w14:textFill>
                        <w14:solidFill>
                          <w14:schemeClr w14:val="tx1"/>
                        </w14:solidFill>
                      </w14:textFill>
                    </w:rPr>
                    <w:t>项目采用</w:t>
                  </w:r>
                  <w:r>
                    <w:rPr>
                      <w:rFonts w:hint="eastAsia" w:ascii="Times New Roman" w:hAnsi="Times New Roman" w:eastAsia="宋体" w:cs="Times New Roman"/>
                      <w:color w:val="auto"/>
                      <w:kern w:val="0"/>
                      <w:sz w:val="21"/>
                      <w:szCs w:val="21"/>
                      <w:lang w:val="en-US" w:eastAsia="zh-CN" w:bidi="ar-SA"/>
                    </w:rPr>
                    <w:t>分段填筑纵向围堰束窄河段河床的方式进行施工导流</w:t>
                  </w:r>
                  <w:r>
                    <w:rPr>
                      <w:rFonts w:hint="eastAsia" w:cs="Times New Roman"/>
                      <w:color w:val="auto"/>
                      <w:kern w:val="0"/>
                      <w:sz w:val="21"/>
                      <w:szCs w:val="21"/>
                      <w:lang w:val="en-US" w:eastAsia="zh-CN" w:bidi="ar-SA"/>
                    </w:rPr>
                    <w:t>，施工时河道不断流，过程中</w:t>
                  </w:r>
                  <w:r>
                    <w:rPr>
                      <w:rFonts w:hint="eastAsia"/>
                      <w:color w:val="000000" w:themeColor="text1"/>
                      <w:kern w:val="0"/>
                      <w:szCs w:val="21"/>
                      <w:lang w:val="en-US" w:eastAsia="zh-CN"/>
                      <w14:textFill>
                        <w14:solidFill>
                          <w14:schemeClr w14:val="tx1"/>
                        </w14:solidFill>
                      </w14:textFill>
                    </w:rPr>
                    <w:t>最大限度的减少底泥扰动的情况下，</w:t>
                  </w:r>
                  <w:r>
                    <w:rPr>
                      <w:rFonts w:hint="eastAsia" w:cs="Times New Roman"/>
                      <w:color w:val="auto"/>
                      <w:kern w:val="0"/>
                      <w:sz w:val="21"/>
                      <w:szCs w:val="21"/>
                      <w:lang w:val="en-US" w:eastAsia="zh-CN" w:bidi="ar-SA"/>
                    </w:rPr>
                    <w:t>施工结束后进行生态护坡，</w:t>
                  </w:r>
                  <w:r>
                    <w:rPr>
                      <w:rFonts w:hint="eastAsia"/>
                      <w:color w:val="000000" w:themeColor="text1"/>
                      <w:kern w:val="0"/>
                      <w:szCs w:val="21"/>
                      <w:lang w:val="en-US" w:eastAsia="zh-CN"/>
                      <w14:textFill>
                        <w14:solidFill>
                          <w14:schemeClr w14:val="tx1"/>
                        </w14:solidFill>
                      </w14:textFill>
                    </w:rPr>
                    <w:t>可以最大限度降低对</w:t>
                  </w:r>
                  <w:r>
                    <w:rPr>
                      <w:color w:val="000000" w:themeColor="text1"/>
                      <w:kern w:val="0"/>
                      <w:szCs w:val="21"/>
                      <w14:textFill>
                        <w14:solidFill>
                          <w14:schemeClr w14:val="tx1"/>
                        </w14:solidFill>
                      </w14:textFill>
                    </w:rPr>
                    <w:t>鱼类等水生生物的洄游通道及</w:t>
                  </w:r>
                  <w:r>
                    <w:rPr>
                      <w:rFonts w:hint="eastAsia" w:ascii="宋体" w:hAnsi="宋体" w:eastAsia="宋体" w:cs="宋体"/>
                      <w:color w:val="000000" w:themeColor="text1"/>
                      <w:kern w:val="0"/>
                      <w:szCs w:val="21"/>
                      <w14:textFill>
                        <w14:solidFill>
                          <w14:schemeClr w14:val="tx1"/>
                        </w14:solidFill>
                      </w14:textFill>
                    </w:rPr>
                    <w:t>“三场”</w:t>
                  </w:r>
                  <w:r>
                    <w:rPr>
                      <w:rFonts w:hint="eastAsia"/>
                      <w:color w:val="000000" w:themeColor="text1"/>
                      <w:kern w:val="0"/>
                      <w:szCs w:val="21"/>
                      <w:lang w:val="en-US" w:eastAsia="zh-CN"/>
                      <w14:textFill>
                        <w14:solidFill>
                          <w14:schemeClr w14:val="tx1"/>
                        </w14:solidFill>
                      </w14:textFill>
                    </w:rPr>
                    <w:t>的影响。</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第六条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w:t>
                  </w:r>
                </w:p>
                <w:p>
                  <w:pPr>
                    <w:jc w:val="left"/>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在采取上述措施后，对湿地以及陆生动植物的不利影响能够得到缓解和控制，与区域景观相协调，不会造成原有珍稀濒危保护动植物在相关区域消失，不会对陆生生态系统造成重大不利影响。</w:t>
                  </w:r>
                </w:p>
              </w:tc>
              <w:tc>
                <w:tcPr>
                  <w:tcW w:w="1570" w:type="pct"/>
                  <w:vAlign w:val="center"/>
                </w:tcPr>
                <w:p>
                  <w:pPr>
                    <w:jc w:val="left"/>
                    <w:rPr>
                      <w:rFonts w:hint="default" w:eastAsia="宋体"/>
                      <w:color w:val="000000" w:themeColor="text1"/>
                      <w:kern w:val="0"/>
                      <w:szCs w:val="21"/>
                      <w:lang w:val="en-US" w:eastAsia="zh-CN"/>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lang w:val="en-US" w:eastAsia="zh-CN"/>
                      <w14:textFill>
                        <w14:solidFill>
                          <w14:schemeClr w14:val="tx1"/>
                        </w14:solidFill>
                      </w14:textFill>
                    </w:rPr>
                    <w:t>不涉及湿地生态系统，不会对河湖生态缓冲带造成不利影响，项目不涉及珍稀濒危保护植物、不涉及陆生珍稀濒危保护动物及其生境产生不利影响。</w:t>
                  </w:r>
                  <w:r>
                    <w:rPr>
                      <w:rFonts w:hint="default" w:ascii="Times New Roman" w:hAnsi="Times New Roman" w:eastAsia="宋体" w:cs="Times New Roman"/>
                      <w:color w:val="000000" w:themeColor="text1"/>
                      <w:sz w:val="21"/>
                      <w:szCs w:val="24"/>
                      <w14:textFill>
                        <w14:solidFill>
                          <w14:schemeClr w14:val="tx1"/>
                        </w14:solidFill>
                      </w14:textFill>
                    </w:rPr>
                    <w:t>本项目建设过程按要求进行环境保护，施工期采取围挡方式进行保护</w:t>
                  </w:r>
                  <w:r>
                    <w:rPr>
                      <w:rFonts w:hint="eastAsia" w:cs="Times New Roman"/>
                      <w:color w:val="000000" w:themeColor="text1"/>
                      <w:sz w:val="21"/>
                      <w:szCs w:val="24"/>
                      <w:lang w:eastAsia="zh-CN"/>
                      <w14:textFill>
                        <w14:solidFill>
                          <w14:schemeClr w14:val="tx1"/>
                        </w14:solidFill>
                      </w14:textFill>
                    </w:rPr>
                    <w:t>，</w:t>
                  </w:r>
                  <w:r>
                    <w:rPr>
                      <w:rFonts w:hint="eastAsia" w:cs="Times New Roman"/>
                      <w:color w:val="000000" w:themeColor="text1"/>
                      <w:sz w:val="21"/>
                      <w:szCs w:val="24"/>
                      <w:lang w:val="en-US" w:eastAsia="zh-CN"/>
                      <w14:textFill>
                        <w14:solidFill>
                          <w14:schemeClr w14:val="tx1"/>
                        </w14:solidFill>
                      </w14:textFill>
                    </w:rPr>
                    <w:t>运行期河堤融入周围景观，不会对现有景点产生影响。</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numPr>
                      <w:ilvl w:val="0"/>
                      <w:numId w:val="0"/>
                    </w:numPr>
                    <w:ind w:leftChars="0"/>
                    <w:jc w:val="left"/>
                    <w:rPr>
                      <w:color w:val="000000" w:themeColor="text1"/>
                      <w:kern w:val="0"/>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第七条</w:t>
                  </w:r>
                  <w:r>
                    <w:rPr>
                      <w:color w:val="000000" w:themeColor="text1"/>
                      <w:kern w:val="0"/>
                      <w:szCs w:val="21"/>
                      <w14:textFill>
                        <w14:solidFill>
                          <w14:schemeClr w14:val="tx1"/>
                        </w14:solidFill>
                      </w14:textFill>
                    </w:rPr>
                    <w:t>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p>
                <w:p>
                  <w:pPr>
                    <w:numPr>
                      <w:ilvl w:val="0"/>
                      <w:numId w:val="0"/>
                    </w:numPr>
                    <w:ind w:leftChars="0"/>
                    <w:jc w:val="left"/>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在采取上述措施后，施工期的不利环境影响能够得到缓解和控制，不会对周围环境和敏感保护目标造成重大不利影响。</w:t>
                  </w:r>
                </w:p>
              </w:tc>
              <w:tc>
                <w:tcPr>
                  <w:tcW w:w="1570" w:type="pct"/>
                  <w:vAlign w:val="center"/>
                </w:tcPr>
                <w:p>
                  <w:pPr>
                    <w:numPr>
                      <w:ilvl w:val="0"/>
                      <w:numId w:val="0"/>
                    </w:numPr>
                    <w:ind w:leftChars="0"/>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本报告提出了相应水土保持措施，项目不涉及饮用用水水源保护区，</w:t>
                  </w:r>
                  <w:r>
                    <w:rPr>
                      <w:color w:val="000000" w:themeColor="text1"/>
                      <w:kern w:val="0"/>
                      <w:szCs w:val="21"/>
                      <w14:textFill>
                        <w14:solidFill>
                          <w14:schemeClr w14:val="tx1"/>
                        </w14:solidFill>
                      </w14:textFill>
                    </w:rPr>
                    <w:t>涉水施工对鱼类等水生生物及其重要生境造成不利影响的，提出了施工方案优化、控制施工噪声等措施；</w:t>
                  </w:r>
                  <w:r>
                    <w:rPr>
                      <w:rFonts w:hint="eastAsia"/>
                      <w:color w:val="000000" w:themeColor="text1"/>
                      <w:kern w:val="0"/>
                      <w:szCs w:val="21"/>
                      <w:lang w:val="en-US" w:eastAsia="zh-CN"/>
                      <w14:textFill>
                        <w14:solidFill>
                          <w14:schemeClr w14:val="tx1"/>
                        </w14:solidFill>
                      </w14:textFill>
                    </w:rPr>
                    <w:t>项目不涉及</w:t>
                  </w:r>
                  <w:r>
                    <w:rPr>
                      <w:color w:val="000000" w:themeColor="text1"/>
                      <w:kern w:val="0"/>
                      <w:szCs w:val="21"/>
                      <w14:textFill>
                        <w14:solidFill>
                          <w14:schemeClr w14:val="tx1"/>
                        </w14:solidFill>
                      </w14:textFill>
                    </w:rPr>
                    <w:t>清淤、疏浚。</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第八条项目移民安置的选址和建设方式具有环境合理性，提出了生态保护、污水处理、固体废物处置等措施。针对蓄滞洪区的环境污染、新增占地涉及污染场地等，提出了环境管理对策建议。</w:t>
                  </w:r>
                </w:p>
              </w:tc>
              <w:tc>
                <w:tcPr>
                  <w:tcW w:w="1570" w:type="pct"/>
                  <w:vAlign w:val="center"/>
                </w:tcPr>
                <w:p>
                  <w:pPr>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本项目不涉及移民安置。</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第九条项目存在河湖水质污染、富营养化或外来物种入侵等环境风险的，提出了针对性的风险防范措施以及环境应急预案编制、建立必要的应急联动机制等要求。</w:t>
                  </w:r>
                </w:p>
              </w:tc>
              <w:tc>
                <w:tcPr>
                  <w:tcW w:w="1570" w:type="pct"/>
                  <w:vAlign w:val="center"/>
                </w:tcPr>
                <w:p>
                  <w:pPr>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本项目不涉及河湖水质污染、富营养化或外来物种入侵等环境风险，对施工期隔油沉淀池破损泄漏、暴雨及洪水等环境风险提出了防范措施。</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第十条改、扩建项目在全面梳理了与项目有关的现有工程环境问题基础上，提出了与项目相适应的</w:t>
                  </w:r>
                  <w:r>
                    <w:rPr>
                      <w:rFonts w:hint="eastAsia" w:ascii="宋体" w:hAnsi="宋体" w:eastAsia="宋体" w:cs="宋体"/>
                      <w:color w:val="000000" w:themeColor="text1"/>
                      <w:kern w:val="0"/>
                      <w:szCs w:val="21"/>
                      <w14:textFill>
                        <w14:solidFill>
                          <w14:schemeClr w14:val="tx1"/>
                        </w14:solidFill>
                      </w14:textFill>
                    </w:rPr>
                    <w:t>“以新带老”</w:t>
                  </w:r>
                  <w:r>
                    <w:rPr>
                      <w:color w:val="000000" w:themeColor="text1"/>
                      <w:kern w:val="0"/>
                      <w:szCs w:val="21"/>
                      <w14:textFill>
                        <w14:solidFill>
                          <w14:schemeClr w14:val="tx1"/>
                        </w14:solidFill>
                      </w14:textFill>
                    </w:rPr>
                    <w:t>措施。</w:t>
                  </w:r>
                </w:p>
              </w:tc>
              <w:tc>
                <w:tcPr>
                  <w:tcW w:w="1570" w:type="pct"/>
                  <w:vAlign w:val="center"/>
                </w:tcPr>
                <w:p>
                  <w:pPr>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本项目为新建项目。</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color w:val="000000" w:themeColor="text1"/>
                      <w:kern w:val="0"/>
                      <w:szCs w:val="21"/>
                      <w14:textFill>
                        <w14:solidFill>
                          <w14:schemeClr w14:val="tx1"/>
                        </w14:solidFill>
                      </w14:textFill>
                    </w:rPr>
                    <w:t>第十一条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1570" w:type="pct"/>
                  <w:vAlign w:val="center"/>
                </w:tcPr>
                <w:p>
                  <w:pPr>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本项目已按相关导则及规定制定了环境监测计划。</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第十二条对环境保护措施进行了深入论证，建设单位主体责任、投资估算、时间节点、预期效果明确，确保科学有效、安全可行、绿色协调。</w:t>
                  </w:r>
                </w:p>
              </w:tc>
              <w:tc>
                <w:tcPr>
                  <w:tcW w:w="1570" w:type="pct"/>
                  <w:vAlign w:val="center"/>
                </w:tcPr>
                <w:p>
                  <w:pPr>
                    <w:jc w:val="left"/>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本次评价深入论证了环境保护措施，明确了建设</w:t>
                  </w:r>
                  <w:r>
                    <w:rPr>
                      <w:color w:val="000000" w:themeColor="text1"/>
                      <w:kern w:val="0"/>
                      <w:szCs w:val="21"/>
                      <w14:textFill>
                        <w14:solidFill>
                          <w14:schemeClr w14:val="tx1"/>
                        </w14:solidFill>
                      </w14:textFill>
                    </w:rPr>
                    <w:t>单位主体责任、投资估算、时间节点、预期效果</w:t>
                  </w:r>
                  <w:r>
                    <w:rPr>
                      <w:rFonts w:hint="eastAsia"/>
                      <w:color w:val="000000" w:themeColor="text1"/>
                      <w:kern w:val="0"/>
                      <w:szCs w:val="21"/>
                      <w:lang w:eastAsia="zh-CN"/>
                      <w14:textFill>
                        <w14:solidFill>
                          <w14:schemeClr w14:val="tx1"/>
                        </w14:solidFill>
                      </w14:textFill>
                    </w:rPr>
                    <w:t>，</w:t>
                  </w:r>
                  <w:r>
                    <w:rPr>
                      <w:color w:val="000000" w:themeColor="text1"/>
                      <w:kern w:val="0"/>
                      <w:szCs w:val="21"/>
                      <w14:textFill>
                        <w14:solidFill>
                          <w14:schemeClr w14:val="tx1"/>
                        </w14:solidFill>
                      </w14:textFill>
                    </w:rPr>
                    <w:t>确保科学有效、安全可行、绿色协调。</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第十三条按相关规定开展了信息公开和公众参与。</w:t>
                  </w:r>
                </w:p>
              </w:tc>
              <w:tc>
                <w:tcPr>
                  <w:tcW w:w="1570" w:type="pct"/>
                  <w:vAlign w:val="center"/>
                </w:tcPr>
                <w:p>
                  <w:pPr>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本项目按规定编制环境影响报告表，无需开展公众参与调查。</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17" w:type="pct"/>
                  <w:vMerge w:val="continue"/>
                  <w:vAlign w:val="center"/>
                </w:tcPr>
                <w:p>
                  <w:pPr>
                    <w:pStyle w:val="85"/>
                    <w:widowControl/>
                    <w:spacing w:line="240" w:lineRule="auto"/>
                    <w:ind w:firstLine="0" w:firstLineChars="0"/>
                    <w:jc w:val="center"/>
                    <w:rPr>
                      <w:rFonts w:hint="eastAsia" w:eastAsia="宋体"/>
                      <w:color w:val="FF0000"/>
                      <w:sz w:val="21"/>
                      <w:lang w:val="en-US" w:eastAsia="zh-CN"/>
                    </w:rPr>
                  </w:pPr>
                </w:p>
              </w:tc>
              <w:tc>
                <w:tcPr>
                  <w:tcW w:w="2413" w:type="pct"/>
                  <w:vAlign w:val="center"/>
                </w:tcPr>
                <w:p>
                  <w:pPr>
                    <w:jc w:val="left"/>
                    <w:rPr>
                      <w:rFonts w:hint="eastAsia" w:eastAsia="宋体"/>
                      <w:color w:val="000000" w:themeColor="text1"/>
                      <w:kern w:val="0"/>
                      <w:szCs w:val="21"/>
                      <w:lang w:eastAsia="zh-CN"/>
                      <w14:textFill>
                        <w14:solidFill>
                          <w14:schemeClr w14:val="tx1"/>
                        </w14:solidFill>
                      </w14:textFill>
                    </w:rPr>
                  </w:pPr>
                  <w:r>
                    <w:rPr>
                      <w:color w:val="000000" w:themeColor="text1"/>
                      <w:kern w:val="0"/>
                      <w:szCs w:val="21"/>
                      <w14:textFill>
                        <w14:solidFill>
                          <w14:schemeClr w14:val="tx1"/>
                        </w14:solidFill>
                      </w14:textFill>
                    </w:rPr>
                    <w:t>第十四条环境影响评价文件编制规范，符合相关管理规定和环评技术标准要求</w:t>
                  </w:r>
                  <w:r>
                    <w:rPr>
                      <w:rFonts w:hint="eastAsia"/>
                      <w:color w:val="000000" w:themeColor="text1"/>
                      <w:kern w:val="0"/>
                      <w:szCs w:val="21"/>
                      <w:lang w:eastAsia="zh-CN"/>
                      <w14:textFill>
                        <w14:solidFill>
                          <w14:schemeClr w14:val="tx1"/>
                        </w14:solidFill>
                      </w14:textFill>
                    </w:rPr>
                    <w:t>。</w:t>
                  </w:r>
                </w:p>
              </w:tc>
              <w:tc>
                <w:tcPr>
                  <w:tcW w:w="1570" w:type="pct"/>
                  <w:vAlign w:val="center"/>
                </w:tcPr>
                <w:p>
                  <w:pPr>
                    <w:jc w:val="left"/>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本报告编制规范，符合相关管理规定和环评技术标准要求。</w:t>
                  </w:r>
                </w:p>
              </w:tc>
              <w:tc>
                <w:tcPr>
                  <w:tcW w:w="497" w:type="pct"/>
                  <w:vAlign w:val="center"/>
                </w:tcPr>
                <w:p>
                  <w:pPr>
                    <w:jc w:val="center"/>
                    <w:rPr>
                      <w:rFonts w:hint="eastAsia"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符合</w:t>
                  </w:r>
                </w:p>
              </w:tc>
            </w:tr>
          </w:tbl>
          <w:p>
            <w:pPr>
              <w:adjustRightInd w:val="0"/>
              <w:snapToGrid w:val="0"/>
              <w:spacing w:line="360" w:lineRule="auto"/>
              <w:rPr>
                <w:rFonts w:hint="default" w:ascii="Times New Roman" w:hAnsi="Times New Roman" w:cs="Times New Roman"/>
                <w:b/>
                <w:bCs/>
                <w:color w:val="000000" w:themeColor="text1"/>
                <w:sz w:val="24"/>
                <w:lang w:bidi="zh-TW"/>
                <w14:textFill>
                  <w14:solidFill>
                    <w14:schemeClr w14:val="tx1"/>
                  </w14:solidFill>
                </w14:textFill>
              </w:rPr>
            </w:pPr>
            <w:r>
              <w:rPr>
                <w:rFonts w:hint="eastAsia" w:cs="Times New Roman"/>
                <w:b/>
                <w:bCs/>
                <w:color w:val="000000" w:themeColor="text1"/>
                <w:sz w:val="24"/>
                <w:lang w:val="en-US" w:eastAsia="zh-CN" w:bidi="zh-TW"/>
                <w14:textFill>
                  <w14:solidFill>
                    <w14:schemeClr w14:val="tx1"/>
                  </w14:solidFill>
                </w14:textFill>
              </w:rPr>
              <w:t>六</w:t>
            </w:r>
            <w:r>
              <w:rPr>
                <w:rFonts w:hint="default" w:ascii="Times New Roman" w:hAnsi="Times New Roman" w:cs="Times New Roman"/>
                <w:b/>
                <w:bCs/>
                <w:color w:val="000000" w:themeColor="text1"/>
                <w:sz w:val="24"/>
                <w:lang w:bidi="zh-TW"/>
                <w14:textFill>
                  <w14:solidFill>
                    <w14:schemeClr w14:val="tx1"/>
                  </w14:solidFill>
                </w14:textFill>
              </w:rPr>
              <w:t>、</w:t>
            </w:r>
            <w:r>
              <w:rPr>
                <w:rFonts w:hint="default" w:ascii="Times New Roman" w:hAnsi="Times New Roman" w:cs="Times New Roman"/>
                <w:b/>
                <w:bCs/>
                <w:color w:val="000000" w:themeColor="text1"/>
                <w:sz w:val="24"/>
                <w:lang w:val="en-US" w:eastAsia="zh-CN" w:bidi="zh-TW"/>
                <w14:textFill>
                  <w14:solidFill>
                    <w14:schemeClr w14:val="tx1"/>
                  </w14:solidFill>
                </w14:textFill>
              </w:rPr>
              <w:t>产业政策符合性分析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color w:val="000000" w:themeColor="text1"/>
                <w:sz w:val="24"/>
                <w:lang w:val="en-US" w:eastAsia="zh-CN"/>
                <w14:textFill>
                  <w14:solidFill>
                    <w14:schemeClr w14:val="tx1"/>
                  </w14:solidFill>
                </w14:textFill>
              </w:rPr>
            </w:pPr>
            <w:r>
              <w:rPr>
                <w:rFonts w:hint="default" w:ascii="Times New Roman" w:hAnsi="Times New Roman" w:cs="Times New Roman"/>
                <w:b w:val="0"/>
                <w:bCs/>
                <w:color w:val="000000" w:themeColor="text1"/>
                <w:sz w:val="24"/>
                <w:lang w:val="en-US" w:eastAsia="zh-CN"/>
                <w14:textFill>
                  <w14:solidFill>
                    <w14:schemeClr w14:val="tx1"/>
                  </w14:solidFill>
                </w14:textFill>
              </w:rPr>
              <w:t>本项目为防洪治理项目，根据</w:t>
            </w:r>
            <w:r>
              <w:rPr>
                <w:rFonts w:hint="eastAsia" w:ascii="宋体" w:hAnsi="宋体" w:eastAsia="宋体" w:cs="宋体"/>
                <w:color w:val="000000" w:themeColor="text1"/>
                <w:kern w:val="0"/>
                <w:sz w:val="24"/>
                <w:szCs w:val="24"/>
                <w:lang w:val="en-US" w:eastAsia="zh-CN" w:bidi="ar"/>
                <w14:textFill>
                  <w14:solidFill>
                    <w14:schemeClr w14:val="tx1"/>
                  </w14:solidFill>
                </w14:textFill>
              </w:rPr>
              <w:t>《产业结构调整指导目录（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2024</w:t>
            </w:r>
            <w:r>
              <w:rPr>
                <w:rFonts w:hint="eastAsia" w:ascii="宋体" w:hAnsi="宋体" w:eastAsia="宋体" w:cs="宋体"/>
                <w:color w:val="000000" w:themeColor="text1"/>
                <w:kern w:val="0"/>
                <w:sz w:val="24"/>
                <w:szCs w:val="24"/>
                <w:lang w:val="en-US" w:eastAsia="zh-CN" w:bidi="ar"/>
                <w14:textFill>
                  <w14:solidFill>
                    <w14:schemeClr w14:val="tx1"/>
                  </w14:solidFill>
                </w14:textFill>
              </w:rPr>
              <w:t>年本）》（中华人民共和国国家发展和改革委员会令 第</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号），本项目属于第一类鼓励类中“二、水利 </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宋体" w:hAnsi="宋体" w:eastAsia="宋体" w:cs="宋体"/>
                <w:color w:val="000000" w:themeColor="text1"/>
                <w:kern w:val="0"/>
                <w:sz w:val="24"/>
                <w:szCs w:val="24"/>
                <w:lang w:val="en-US" w:eastAsia="zh-CN" w:bidi="ar"/>
                <w14:textFill>
                  <w14:solidFill>
                    <w14:schemeClr w14:val="tx1"/>
                  </w14:solidFill>
                </w14:textFill>
              </w:rPr>
              <w:t>、防洪提升工程中的江河湖海地方建设及河道治理工程、江河湖库清淤疏浚工程”</w:t>
            </w:r>
            <w:r>
              <w:rPr>
                <w:rFonts w:hint="default" w:ascii="Times New Roman" w:hAnsi="Times New Roman" w:cs="Times New Roman"/>
                <w:b w:val="0"/>
                <w:bCs/>
                <w:color w:val="000000" w:themeColor="text1"/>
                <w:sz w:val="24"/>
                <w:lang w:val="en-US" w:eastAsia="zh-CN"/>
                <w14:textFill>
                  <w14:solidFill>
                    <w14:schemeClr w14:val="tx1"/>
                  </w14:solidFill>
                </w14:textFill>
              </w:rPr>
              <w:t>，项目建设符合国家现行产业政策。</w:t>
            </w:r>
          </w:p>
          <w:p>
            <w:pPr>
              <w:widowControl/>
              <w:tabs>
                <w:tab w:val="left" w:pos="7472"/>
              </w:tabs>
              <w:adjustRightInd w:val="0"/>
              <w:spacing w:line="360" w:lineRule="auto"/>
              <w:textAlignment w:val="baseline"/>
              <w:rPr>
                <w:rFonts w:hint="default" w:ascii="Times New Roman" w:hAnsi="Times New Roman" w:cs="Times New Roman"/>
                <w:b/>
                <w:bCs/>
                <w:color w:val="000000" w:themeColor="text1"/>
                <w:kern w:val="24"/>
                <w:sz w:val="24"/>
                <w:lang w:val="en-US" w:eastAsia="zh-CN"/>
                <w14:textFill>
                  <w14:solidFill>
                    <w14:schemeClr w14:val="tx1"/>
                  </w14:solidFill>
                </w14:textFill>
              </w:rPr>
            </w:pPr>
            <w:r>
              <w:rPr>
                <w:rFonts w:hint="eastAsia" w:cs="Times New Roman"/>
                <w:b/>
                <w:bCs/>
                <w:color w:val="000000" w:themeColor="text1"/>
                <w:kern w:val="24"/>
                <w:sz w:val="24"/>
                <w:lang w:val="en-US" w:eastAsia="zh-CN"/>
                <w14:textFill>
                  <w14:solidFill>
                    <w14:schemeClr w14:val="tx1"/>
                  </w14:solidFill>
                </w14:textFill>
              </w:rPr>
              <w:t>七</w:t>
            </w:r>
            <w:r>
              <w:rPr>
                <w:rFonts w:hint="default" w:ascii="Times New Roman" w:hAnsi="Times New Roman" w:cs="Times New Roman"/>
                <w:b/>
                <w:bCs/>
                <w:color w:val="000000" w:themeColor="text1"/>
                <w:kern w:val="24"/>
                <w:sz w:val="24"/>
                <w:lang w:val="en-US" w:eastAsia="zh-CN"/>
                <w14:textFill>
                  <w14:solidFill>
                    <w14:schemeClr w14:val="tx1"/>
                  </w14:solidFill>
                </w14:textFill>
              </w:rPr>
              <w:t>、项目用地符合性分析</w:t>
            </w:r>
          </w:p>
          <w:p>
            <w:pPr>
              <w:widowControl/>
              <w:tabs>
                <w:tab w:val="left" w:pos="7472"/>
              </w:tabs>
              <w:adjustRightInd w:val="0"/>
              <w:spacing w:line="360" w:lineRule="auto"/>
              <w:ind w:firstLine="480" w:firstLineChars="200"/>
              <w:textAlignment w:val="baseline"/>
              <w:rPr>
                <w:rFonts w:hint="default" w:ascii="Times New Roman" w:hAnsi="Times New Roman" w:cs="Times New Roman"/>
                <w:color w:val="FF0000"/>
                <w:kern w:val="0"/>
                <w:sz w:val="24"/>
              </w:rPr>
            </w:pPr>
            <w:r>
              <w:rPr>
                <w:rFonts w:hint="default" w:ascii="Times New Roman" w:hAnsi="Times New Roman" w:cs="Times New Roman"/>
                <w:color w:val="000000" w:themeColor="text1"/>
                <w:kern w:val="24"/>
                <w:sz w:val="24"/>
                <w:lang w:val="en-US" w:eastAsia="zh-CN"/>
                <w14:textFill>
                  <w14:solidFill>
                    <w14:schemeClr w14:val="tx1"/>
                  </w14:solidFill>
                </w14:textFill>
              </w:rPr>
              <w:t>本项目主要对</w:t>
            </w:r>
            <w:r>
              <w:rPr>
                <w:rFonts w:hint="eastAsia" w:cs="Times New Roman"/>
                <w:color w:val="000000" w:themeColor="text1"/>
                <w:kern w:val="24"/>
                <w:sz w:val="24"/>
                <w:lang w:val="en-US" w:eastAsia="zh-CN"/>
                <w14:textFill>
                  <w14:solidFill>
                    <w14:schemeClr w14:val="tx1"/>
                  </w14:solidFill>
                </w14:textFill>
              </w:rPr>
              <w:t>芝溪河明月镇延长段</w:t>
            </w:r>
            <w:r>
              <w:rPr>
                <w:rFonts w:hint="default" w:ascii="Times New Roman" w:hAnsi="Times New Roman" w:cs="Times New Roman"/>
                <w:color w:val="000000" w:themeColor="text1"/>
                <w:kern w:val="24"/>
                <w:sz w:val="24"/>
                <w:lang w:val="en-US" w:eastAsia="zh-CN"/>
                <w14:textFill>
                  <w14:solidFill>
                    <w14:schemeClr w14:val="tx1"/>
                  </w14:solidFill>
                </w14:textFill>
              </w:rPr>
              <w:t>进行河道堤防建设，新建堤防段涉及占用耕地、林地、水域及水利设施用地</w:t>
            </w:r>
            <w:r>
              <w:rPr>
                <w:rFonts w:hint="eastAsia" w:cs="Times New Roman"/>
                <w:color w:val="000000" w:themeColor="text1"/>
                <w:kern w:val="24"/>
                <w:sz w:val="24"/>
                <w:lang w:val="en-US" w:eastAsia="zh-CN"/>
                <w14:textFill>
                  <w14:solidFill>
                    <w14:schemeClr w14:val="tx1"/>
                  </w14:solidFill>
                </w14:textFill>
              </w:rPr>
              <w:t>和其他</w:t>
            </w:r>
            <w:r>
              <w:rPr>
                <w:rFonts w:hint="default" w:ascii="Times New Roman" w:hAnsi="Times New Roman" w:cs="Times New Roman"/>
                <w:color w:val="000000" w:themeColor="text1"/>
                <w:kern w:val="24"/>
                <w:sz w:val="24"/>
                <w:lang w:val="en-US" w:eastAsia="zh-CN"/>
                <w14:textFill>
                  <w14:solidFill>
                    <w14:schemeClr w14:val="tx1"/>
                  </w14:solidFill>
                </w14:textFill>
              </w:rPr>
              <w:t>用地等，经核实，本项目实施河段永久占地和临时占地均不涉及占用基本农田。同时，项目临时占地及永久占地均不涉及生态红线，不涉及自然保护区、</w:t>
            </w:r>
            <w:r>
              <w:rPr>
                <w:rFonts w:hint="eastAsia" w:cs="Times New Roman"/>
                <w:color w:val="000000" w:themeColor="text1"/>
                <w:kern w:val="24"/>
                <w:sz w:val="24"/>
                <w:lang w:val="en-US" w:eastAsia="zh-CN"/>
                <w14:textFill>
                  <w14:solidFill>
                    <w14:schemeClr w14:val="tx1"/>
                  </w14:solidFill>
                </w14:textFill>
              </w:rPr>
              <w:t>风景名胜区</w:t>
            </w:r>
            <w:r>
              <w:rPr>
                <w:rFonts w:hint="default" w:ascii="Times New Roman" w:hAnsi="Times New Roman" w:cs="Times New Roman"/>
                <w:color w:val="000000" w:themeColor="text1"/>
                <w:kern w:val="24"/>
                <w:sz w:val="24"/>
                <w:lang w:val="en-US" w:eastAsia="zh-CN"/>
                <w14:textFill>
                  <w14:solidFill>
                    <w14:schemeClr w14:val="tx1"/>
                  </w14:solidFill>
                </w14:textFill>
              </w:rPr>
              <w:t>等敏感目标。</w:t>
            </w:r>
          </w:p>
        </w:tc>
      </w:tr>
    </w:tbl>
    <w:p>
      <w:pPr>
        <w:spacing w:line="360" w:lineRule="auto"/>
        <w:outlineLvl w:val="0"/>
        <w:rPr>
          <w:rFonts w:hint="default" w:ascii="Times New Roman" w:hAnsi="Times New Roman" w:eastAsia="黑体" w:cs="Times New Roman"/>
          <w:color w:val="FF0000"/>
          <w:sz w:val="30"/>
        </w:rPr>
        <w:sectPr>
          <w:pgSz w:w="11906" w:h="16838"/>
          <w:pgMar w:top="1701" w:right="1531" w:bottom="1701" w:left="1531" w:header="851" w:footer="1077" w:gutter="0"/>
          <w:cols w:space="720" w:num="1"/>
          <w:docGrid w:linePitch="312" w:charSpace="0"/>
        </w:sectPr>
      </w:pPr>
    </w:p>
    <w:p>
      <w:pPr>
        <w:pStyle w:val="32"/>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二、建设内容</w:t>
      </w:r>
    </w:p>
    <w:tbl>
      <w:tblPr>
        <w:tblStyle w:val="37"/>
        <w:tblW w:w="101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8"/>
        <w:gridCol w:w="95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28" w:type="dxa"/>
            <w:vAlign w:val="center"/>
          </w:tcPr>
          <w:p>
            <w:pPr>
              <w:adjustRightInd w:val="0"/>
              <w:snapToGrid w:val="0"/>
              <w:jc w:val="center"/>
              <w:rPr>
                <w:rFonts w:hint="default" w:ascii="Times New Roman" w:hAnsi="Times New Roman" w:cs="Times New Roman"/>
                <w:color w:val="FF0000"/>
                <w:sz w:val="24"/>
              </w:rPr>
            </w:pPr>
            <w:r>
              <w:rPr>
                <w:rFonts w:hint="default" w:ascii="Times New Roman" w:hAnsi="Times New Roman" w:cs="Times New Roman"/>
                <w:color w:val="auto"/>
                <w:kern w:val="0"/>
                <w:sz w:val="24"/>
              </w:rPr>
              <w:t>地理位置</w:t>
            </w:r>
          </w:p>
        </w:tc>
        <w:tc>
          <w:tcPr>
            <w:tcW w:w="959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本项目位于</w:t>
            </w:r>
            <w:r>
              <w:rPr>
                <w:rFonts w:hint="eastAsia" w:cs="Times New Roman"/>
                <w:color w:val="auto"/>
                <w:kern w:val="0"/>
                <w:sz w:val="24"/>
                <w:szCs w:val="24"/>
                <w:lang w:val="en-US" w:eastAsia="zh-CN"/>
              </w:rPr>
              <w:t>遂宁市蓬溪县明月</w:t>
            </w:r>
            <w:r>
              <w:rPr>
                <w:rFonts w:hint="default" w:ascii="Times New Roman" w:hAnsi="Times New Roman" w:cs="Times New Roman"/>
                <w:color w:val="auto"/>
                <w:kern w:val="0"/>
                <w:sz w:val="24"/>
                <w:szCs w:val="24"/>
                <w:lang w:val="en-US" w:eastAsia="zh-CN"/>
              </w:rPr>
              <w:t>镇，</w:t>
            </w:r>
            <w:r>
              <w:rPr>
                <w:rFonts w:hint="eastAsia" w:ascii="Times New Roman" w:hAnsi="Times New Roman" w:eastAsia="宋体" w:cs="Times New Roman"/>
                <w:color w:val="auto"/>
                <w:kern w:val="0"/>
                <w:sz w:val="24"/>
                <w:szCs w:val="24"/>
                <w:lang w:val="en-US" w:eastAsia="zh-CN"/>
              </w:rPr>
              <w:t>蓬溪县芝溪河明月镇延长段防洪治理工程河道治理综合长度1490.00m，其中新建护岸堤1135.06m，新建护岸堤共4段，分别为：芝溪河左一段护岸长度271.90m，芝溪河左二段护岸长度271.30m，芝溪河左三段护岸长度318.96m，牛家河左岸段护岸长度272.90m，为泥岩石渣填筑的斜坡式护岸堤</w:t>
            </w:r>
            <w:r>
              <w:rPr>
                <w:rFonts w:hint="default" w:ascii="Times New Roman" w:hAnsi="Times New Roman" w:eastAsia="宋体" w:cs="Times New Roman"/>
                <w:color w:val="auto"/>
                <w:kern w:val="0"/>
                <w:sz w:val="24"/>
                <w:szCs w:val="24"/>
                <w:lang w:val="en-US" w:eastAsia="zh-CN"/>
              </w:rPr>
              <w:t>。</w:t>
            </w:r>
          </w:p>
          <w:p>
            <w:pPr>
              <w:adjustRightInd w:val="0"/>
              <w:snapToGrid w:val="0"/>
              <w:spacing w:line="360" w:lineRule="auto"/>
              <w:ind w:firstLine="480" w:firstLineChars="200"/>
              <w:rPr>
                <w:rFonts w:hint="eastAsia" w:cs="Times New Roman"/>
                <w:color w:val="auto"/>
                <w:kern w:val="0"/>
                <w:sz w:val="24"/>
                <w:lang w:val="en-US" w:eastAsia="zh-CN"/>
              </w:rPr>
            </w:pPr>
            <w:r>
              <w:rPr>
                <w:rFonts w:hint="default" w:ascii="Times New Roman" w:hAnsi="Times New Roman" w:cs="Times New Roman"/>
                <w:color w:val="auto"/>
                <w:kern w:val="0"/>
                <w:sz w:val="24"/>
              </w:rPr>
              <w:t>本项目</w:t>
            </w:r>
            <w:r>
              <w:rPr>
                <w:rFonts w:hint="default" w:ascii="Times New Roman" w:hAnsi="Times New Roman" w:cs="Times New Roman"/>
                <w:color w:val="auto"/>
                <w:kern w:val="0"/>
                <w:sz w:val="24"/>
                <w:lang w:val="en-US" w:eastAsia="zh-CN"/>
              </w:rPr>
              <w:t>工程节点坐标见下表</w:t>
            </w:r>
            <w:r>
              <w:rPr>
                <w:rFonts w:hint="eastAsia" w:cs="Times New Roman"/>
                <w:color w:val="auto"/>
                <w:kern w:val="0"/>
                <w:sz w:val="24"/>
                <w:lang w:val="en-US" w:eastAsia="zh-CN"/>
              </w:rPr>
              <w:t>。</w:t>
            </w:r>
          </w:p>
          <w:p>
            <w:pPr>
              <w:pStyle w:val="65"/>
              <w:numPr>
                <w:ilvl w:val="0"/>
                <w:numId w:val="9"/>
              </w:numPr>
              <w:adjustRightInd w:val="0"/>
              <w:snapToGrid w:val="0"/>
              <w:rPr>
                <w:rFonts w:hint="default" w:ascii="Times New Roman" w:hAnsi="Times New Roman" w:cs="Times New Roman"/>
                <w:b/>
                <w:color w:val="auto"/>
                <w:szCs w:val="21"/>
              </w:rPr>
            </w:pPr>
            <w:r>
              <w:rPr>
                <w:rFonts w:hint="default" w:ascii="Times New Roman" w:hAnsi="Times New Roman" w:cs="Times New Roman"/>
                <w:b/>
                <w:color w:val="auto"/>
                <w:szCs w:val="21"/>
              </w:rPr>
              <w:t>项目</w:t>
            </w:r>
            <w:r>
              <w:rPr>
                <w:rFonts w:hint="default" w:ascii="Times New Roman" w:hAnsi="Times New Roman" w:cs="Times New Roman"/>
                <w:b/>
                <w:color w:val="auto"/>
                <w:szCs w:val="21"/>
                <w:lang w:val="en-US" w:eastAsia="zh-CN"/>
              </w:rPr>
              <w:t>工程节点坐标</w:t>
            </w:r>
          </w:p>
          <w:tbl>
            <w:tblPr>
              <w:tblStyle w:val="70"/>
              <w:tblW w:w="5000" w:type="pct"/>
              <w:jc w:val="center"/>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116"/>
              <w:gridCol w:w="832"/>
              <w:gridCol w:w="1296"/>
              <w:gridCol w:w="1287"/>
              <w:gridCol w:w="1913"/>
              <w:gridCol w:w="2037"/>
            </w:tblGrid>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6" w:type="pct"/>
                  <w:vMerge w:val="restart"/>
                  <w:tcBorders>
                    <w:top w:val="single" w:color="auto" w:sz="12" w:space="0"/>
                  </w:tcBorders>
                  <w:vAlign w:val="center"/>
                </w:tcPr>
                <w:p>
                  <w:pPr>
                    <w:spacing w:line="240" w:lineRule="auto"/>
                    <w:jc w:val="center"/>
                    <w:rPr>
                      <w:rFonts w:hint="default" w:ascii="Times New Roman" w:hAnsi="Times New Roman" w:eastAsia="宋体" w:cs="Times New Roman"/>
                      <w:b/>
                      <w:color w:val="auto"/>
                      <w:kern w:val="0"/>
                      <w:sz w:val="21"/>
                      <w:szCs w:val="21"/>
                      <w:lang w:eastAsia="zh-CN" w:bidi="ar"/>
                    </w:rPr>
                  </w:pPr>
                  <w:r>
                    <w:rPr>
                      <w:rFonts w:hint="default" w:ascii="Times New Roman" w:hAnsi="Times New Roman" w:eastAsia="宋体" w:cs="Times New Roman"/>
                      <w:b/>
                      <w:color w:val="auto"/>
                      <w:kern w:val="0"/>
                      <w:sz w:val="21"/>
                      <w:szCs w:val="21"/>
                      <w:lang w:eastAsia="zh-CN" w:bidi="ar"/>
                    </w:rPr>
                    <w:t>工程</w:t>
                  </w:r>
                </w:p>
                <w:p>
                  <w:pPr>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color w:val="auto"/>
                      <w:kern w:val="0"/>
                      <w:sz w:val="21"/>
                      <w:szCs w:val="21"/>
                      <w:lang w:eastAsia="zh-CN" w:bidi="ar"/>
                    </w:rPr>
                    <w:t>措施</w:t>
                  </w:r>
                </w:p>
              </w:tc>
              <w:tc>
                <w:tcPr>
                  <w:tcW w:w="595" w:type="pct"/>
                  <w:vMerge w:val="restart"/>
                  <w:tcBorders>
                    <w:top w:val="single" w:color="auto" w:sz="12" w:space="0"/>
                  </w:tcBorders>
                  <w:vAlign w:val="center"/>
                </w:tcPr>
                <w:p>
                  <w:pPr>
                    <w:spacing w:line="240" w:lineRule="auto"/>
                    <w:jc w:val="center"/>
                    <w:rPr>
                      <w:rFonts w:hint="default" w:ascii="Times New Roman" w:hAnsi="Times New Roman" w:eastAsia="宋体" w:cs="Times New Roman"/>
                      <w:b/>
                      <w:color w:val="auto"/>
                      <w:kern w:val="0"/>
                      <w:sz w:val="21"/>
                      <w:szCs w:val="21"/>
                      <w:lang w:eastAsia="zh-CN" w:bidi="ar"/>
                    </w:rPr>
                  </w:pPr>
                  <w:r>
                    <w:rPr>
                      <w:rFonts w:hint="default" w:ascii="Times New Roman" w:hAnsi="Times New Roman" w:eastAsia="宋体" w:cs="Times New Roman"/>
                      <w:b/>
                      <w:color w:val="auto"/>
                      <w:kern w:val="0"/>
                      <w:sz w:val="21"/>
                      <w:szCs w:val="21"/>
                      <w:lang w:eastAsia="zh-CN" w:bidi="ar"/>
                    </w:rPr>
                    <w:t>工程</w:t>
                  </w:r>
                </w:p>
                <w:p>
                  <w:pPr>
                    <w:spacing w:line="240" w:lineRule="auto"/>
                    <w:jc w:val="center"/>
                    <w:rPr>
                      <w:rFonts w:hint="default" w:ascii="Times New Roman" w:hAnsi="Times New Roman" w:eastAsia="宋体" w:cs="Times New Roman"/>
                      <w:b/>
                      <w:bCs/>
                      <w:color w:val="auto"/>
                      <w:kern w:val="0"/>
                      <w:sz w:val="21"/>
                      <w:szCs w:val="21"/>
                      <w:lang w:val="en-US"/>
                    </w:rPr>
                  </w:pPr>
                  <w:r>
                    <w:rPr>
                      <w:rFonts w:hint="default" w:ascii="Times New Roman" w:hAnsi="Times New Roman" w:eastAsia="宋体" w:cs="Times New Roman"/>
                      <w:b/>
                      <w:color w:val="auto"/>
                      <w:kern w:val="0"/>
                      <w:sz w:val="21"/>
                      <w:szCs w:val="21"/>
                      <w:lang w:eastAsia="zh-CN" w:bidi="ar"/>
                    </w:rPr>
                    <w:t>河段</w:t>
                  </w:r>
                </w:p>
              </w:tc>
              <w:tc>
                <w:tcPr>
                  <w:tcW w:w="443" w:type="pct"/>
                  <w:vMerge w:val="restart"/>
                  <w:tcBorders>
                    <w:top w:val="single" w:color="auto" w:sz="12" w:space="0"/>
                  </w:tcBorders>
                  <w:vAlign w:val="center"/>
                </w:tcPr>
                <w:p>
                  <w:pPr>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color w:val="auto"/>
                      <w:kern w:val="0"/>
                      <w:sz w:val="21"/>
                      <w:szCs w:val="21"/>
                      <w:lang w:eastAsia="zh-CN" w:bidi="ar"/>
                    </w:rPr>
                    <w:t>长度（</w:t>
                  </w:r>
                  <w:r>
                    <w:rPr>
                      <w:rFonts w:hint="default" w:ascii="Times New Roman" w:hAnsi="Times New Roman" w:eastAsia="宋体" w:cs="Times New Roman"/>
                      <w:b/>
                      <w:color w:val="auto"/>
                      <w:kern w:val="0"/>
                      <w:sz w:val="21"/>
                      <w:szCs w:val="21"/>
                      <w:lang w:val="en-US" w:eastAsia="zh-CN" w:bidi="ar"/>
                    </w:rPr>
                    <w:t>km</w:t>
                  </w:r>
                  <w:r>
                    <w:rPr>
                      <w:rFonts w:hint="default" w:ascii="Times New Roman" w:hAnsi="Times New Roman" w:eastAsia="宋体" w:cs="Times New Roman"/>
                      <w:b/>
                      <w:color w:val="auto"/>
                      <w:kern w:val="0"/>
                      <w:sz w:val="21"/>
                      <w:szCs w:val="21"/>
                      <w:lang w:eastAsia="zh-CN" w:bidi="ar"/>
                    </w:rPr>
                    <w:t>）</w:t>
                  </w:r>
                </w:p>
              </w:tc>
              <w:tc>
                <w:tcPr>
                  <w:tcW w:w="1377" w:type="pct"/>
                  <w:gridSpan w:val="2"/>
                  <w:tcBorders>
                    <w:top w:val="single" w:color="auto" w:sz="12" w:space="0"/>
                  </w:tcBorders>
                  <w:vAlign w:val="center"/>
                </w:tcPr>
                <w:p>
                  <w:pPr>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桩号</w:t>
                  </w:r>
                </w:p>
              </w:tc>
              <w:tc>
                <w:tcPr>
                  <w:tcW w:w="1020" w:type="pct"/>
                  <w:vMerge w:val="restart"/>
                  <w:tcBorders>
                    <w:top w:val="single" w:color="auto" w:sz="12" w:space="0"/>
                  </w:tcBorders>
                  <w:vAlign w:val="center"/>
                </w:tcPr>
                <w:p>
                  <w:pPr>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起点坐标</w:t>
                  </w:r>
                </w:p>
              </w:tc>
              <w:tc>
                <w:tcPr>
                  <w:tcW w:w="1086" w:type="pct"/>
                  <w:vMerge w:val="restart"/>
                  <w:tcBorders>
                    <w:top w:val="single" w:color="auto" w:sz="12" w:space="0"/>
                  </w:tcBorders>
                  <w:vAlign w:val="center"/>
                </w:tcPr>
                <w:p>
                  <w:pPr>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终点坐标</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6" w:type="pct"/>
                  <w:vMerge w:val="continue"/>
                  <w:vAlign w:val="center"/>
                </w:tcPr>
                <w:p>
                  <w:pPr>
                    <w:spacing w:line="240" w:lineRule="auto"/>
                    <w:jc w:val="center"/>
                    <w:rPr>
                      <w:rFonts w:hint="default" w:ascii="Times New Roman" w:hAnsi="Times New Roman" w:eastAsia="宋体" w:cs="Times New Roman"/>
                      <w:b/>
                      <w:bCs/>
                      <w:color w:val="auto"/>
                      <w:kern w:val="0"/>
                      <w:sz w:val="21"/>
                      <w:szCs w:val="21"/>
                    </w:rPr>
                  </w:pPr>
                </w:p>
              </w:tc>
              <w:tc>
                <w:tcPr>
                  <w:tcW w:w="595" w:type="pct"/>
                  <w:vMerge w:val="continue"/>
                  <w:vAlign w:val="center"/>
                </w:tcPr>
                <w:p>
                  <w:pPr>
                    <w:spacing w:line="240" w:lineRule="auto"/>
                    <w:jc w:val="center"/>
                    <w:rPr>
                      <w:rFonts w:hint="default" w:ascii="Times New Roman" w:hAnsi="Times New Roman" w:eastAsia="宋体" w:cs="Times New Roman"/>
                      <w:b/>
                      <w:bCs/>
                      <w:color w:val="auto"/>
                      <w:kern w:val="0"/>
                      <w:sz w:val="21"/>
                      <w:szCs w:val="21"/>
                    </w:rPr>
                  </w:pPr>
                </w:p>
              </w:tc>
              <w:tc>
                <w:tcPr>
                  <w:tcW w:w="443" w:type="pct"/>
                  <w:vMerge w:val="continue"/>
                  <w:vAlign w:val="center"/>
                </w:tcPr>
                <w:p>
                  <w:pPr>
                    <w:spacing w:line="240" w:lineRule="auto"/>
                    <w:jc w:val="center"/>
                    <w:rPr>
                      <w:rFonts w:hint="default" w:ascii="Times New Roman" w:hAnsi="Times New Roman" w:eastAsia="宋体" w:cs="Times New Roman"/>
                      <w:b/>
                      <w:bCs/>
                      <w:color w:val="auto"/>
                      <w:kern w:val="0"/>
                      <w:sz w:val="21"/>
                      <w:szCs w:val="21"/>
                    </w:rPr>
                  </w:pPr>
                </w:p>
              </w:tc>
              <w:tc>
                <w:tcPr>
                  <w:tcW w:w="691" w:type="pct"/>
                  <w:vAlign w:val="center"/>
                </w:tcPr>
                <w:p>
                  <w:pPr>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起点</w:t>
                  </w:r>
                </w:p>
              </w:tc>
              <w:tc>
                <w:tcPr>
                  <w:tcW w:w="686" w:type="pct"/>
                  <w:vAlign w:val="center"/>
                </w:tcPr>
                <w:p>
                  <w:pPr>
                    <w:spacing w:line="240" w:lineRule="auto"/>
                    <w:jc w:val="center"/>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b/>
                      <w:bCs/>
                      <w:color w:val="auto"/>
                      <w:kern w:val="0"/>
                      <w:sz w:val="21"/>
                      <w:szCs w:val="21"/>
                      <w:lang w:val="en-US" w:eastAsia="zh-CN"/>
                    </w:rPr>
                    <w:t>终点</w:t>
                  </w:r>
                </w:p>
              </w:tc>
              <w:tc>
                <w:tcPr>
                  <w:tcW w:w="1020" w:type="pct"/>
                  <w:vMerge w:val="continue"/>
                  <w:vAlign w:val="center"/>
                </w:tcPr>
                <w:p>
                  <w:pPr>
                    <w:spacing w:line="240" w:lineRule="auto"/>
                    <w:jc w:val="center"/>
                    <w:rPr>
                      <w:rFonts w:hint="default" w:ascii="Times New Roman" w:hAnsi="Times New Roman" w:eastAsia="宋体" w:cs="Times New Roman"/>
                      <w:b/>
                      <w:bCs/>
                      <w:color w:val="auto"/>
                      <w:kern w:val="0"/>
                      <w:sz w:val="21"/>
                      <w:szCs w:val="21"/>
                    </w:rPr>
                  </w:pPr>
                </w:p>
              </w:tc>
              <w:tc>
                <w:tcPr>
                  <w:tcW w:w="1086" w:type="pct"/>
                  <w:vMerge w:val="continue"/>
                  <w:vAlign w:val="center"/>
                </w:tcPr>
                <w:p>
                  <w:pPr>
                    <w:spacing w:line="240" w:lineRule="auto"/>
                    <w:jc w:val="center"/>
                    <w:rPr>
                      <w:rFonts w:hint="default" w:ascii="Times New Roman" w:hAnsi="Times New Roman" w:eastAsia="宋体" w:cs="Times New Roman"/>
                      <w:b/>
                      <w:bCs/>
                      <w:color w:val="auto"/>
                      <w:kern w:val="0"/>
                      <w:sz w:val="21"/>
                      <w:szCs w:val="21"/>
                    </w:rPr>
                  </w:pP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6" w:type="pct"/>
                  <w:vAlign w:val="center"/>
                </w:tcPr>
                <w:p>
                  <w:pPr>
                    <w:widowControl/>
                    <w:spacing w:line="240" w:lineRule="auto"/>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综合治理河长</w:t>
                  </w:r>
                </w:p>
              </w:tc>
              <w:tc>
                <w:tcPr>
                  <w:tcW w:w="595"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芝溪河明月延长段</w:t>
                  </w:r>
                </w:p>
              </w:tc>
              <w:tc>
                <w:tcPr>
                  <w:tcW w:w="443"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1.49</w:t>
                  </w:r>
                </w:p>
              </w:tc>
              <w:tc>
                <w:tcPr>
                  <w:tcW w:w="691"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zh-CN"/>
                    </w:rPr>
                    <w:t>芝0+000.00</w:t>
                  </w:r>
                </w:p>
              </w:tc>
              <w:tc>
                <w:tcPr>
                  <w:tcW w:w="686"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zh-CN"/>
                    </w:rPr>
                    <w:t>芝1+490.00</w:t>
                  </w:r>
                </w:p>
              </w:tc>
              <w:tc>
                <w:tcPr>
                  <w:tcW w:w="1020" w:type="pct"/>
                  <w:vAlign w:val="center"/>
                </w:tcPr>
                <w:p>
                  <w:pPr>
                    <w:pStyle w:val="24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东经</w:t>
                  </w:r>
                  <w:r>
                    <w:rPr>
                      <w:rFonts w:hint="default" w:ascii="Times New Roman" w:hAnsi="Times New Roman" w:eastAsia="宋体" w:cs="Times New Roman"/>
                      <w:color w:val="auto"/>
                      <w:sz w:val="21"/>
                      <w:szCs w:val="21"/>
                    </w:rPr>
                    <w:t>105°37′12.88″</w:t>
                  </w:r>
                </w:p>
                <w:p>
                  <w:pPr>
                    <w:pStyle w:val="244"/>
                    <w:spacing w:line="240" w:lineRule="auto"/>
                    <w:ind w:firstLine="0" w:firstLineChars="0"/>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北纬</w:t>
                  </w:r>
                  <w:r>
                    <w:rPr>
                      <w:rFonts w:hint="default" w:ascii="Times New Roman" w:hAnsi="Times New Roman" w:eastAsia="宋体" w:cs="Times New Roman"/>
                      <w:color w:val="auto"/>
                      <w:sz w:val="21"/>
                      <w:szCs w:val="21"/>
                    </w:rPr>
                    <w:t>30°44′35.01″</w:t>
                  </w:r>
                </w:p>
              </w:tc>
              <w:tc>
                <w:tcPr>
                  <w:tcW w:w="1086" w:type="pct"/>
                  <w:vAlign w:val="center"/>
                </w:tcPr>
                <w:p>
                  <w:pPr>
                    <w:pStyle w:val="24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东经</w:t>
                  </w:r>
                  <w:r>
                    <w:rPr>
                      <w:rFonts w:hint="default" w:ascii="Times New Roman" w:hAnsi="Times New Roman" w:eastAsia="宋体" w:cs="Times New Roman"/>
                      <w:color w:val="auto"/>
                      <w:sz w:val="21"/>
                      <w:szCs w:val="21"/>
                    </w:rPr>
                    <w:t>105°37′9.38″</w:t>
                  </w:r>
                </w:p>
                <w:p>
                  <w:pPr>
                    <w:pStyle w:val="244"/>
                    <w:spacing w:line="240" w:lineRule="auto"/>
                    <w:ind w:firstLine="0" w:firstLineChars="0"/>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color w:val="auto"/>
                      <w:kern w:val="0"/>
                      <w:sz w:val="21"/>
                      <w:szCs w:val="21"/>
                      <w:u w:val="none"/>
                      <w:lang w:val="en-US" w:eastAsia="zh-CN" w:bidi="ar"/>
                    </w:rPr>
                    <w:t>北纬</w:t>
                  </w:r>
                  <w:r>
                    <w:rPr>
                      <w:rFonts w:hint="default" w:ascii="Times New Roman" w:hAnsi="Times New Roman" w:eastAsia="宋体" w:cs="Times New Roman"/>
                      <w:color w:val="auto"/>
                      <w:sz w:val="21"/>
                      <w:szCs w:val="21"/>
                    </w:rPr>
                    <w:t>30°44′27.57″</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6" w:type="pct"/>
                  <w:vMerge w:val="restart"/>
                  <w:vAlign w:val="center"/>
                </w:tcPr>
                <w:p>
                  <w:pPr>
                    <w:widowControl/>
                    <w:spacing w:line="240" w:lineRule="auto"/>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新建护岸堤</w:t>
                  </w:r>
                </w:p>
              </w:tc>
              <w:tc>
                <w:tcPr>
                  <w:tcW w:w="595"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1、芝溪河左一段</w:t>
                  </w:r>
                </w:p>
              </w:tc>
              <w:tc>
                <w:tcPr>
                  <w:tcW w:w="443" w:type="pct"/>
                  <w:vAlign w:val="center"/>
                </w:tcPr>
                <w:p>
                  <w:pPr>
                    <w:pStyle w:val="244"/>
                    <w:spacing w:line="240" w:lineRule="auto"/>
                    <w:ind w:firstLine="0" w:firstLineChars="0"/>
                    <w:rPr>
                      <w:rFonts w:hint="eastAsia"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0.27</w:t>
                  </w:r>
                  <w:r>
                    <w:rPr>
                      <w:rFonts w:hint="eastAsia" w:ascii="Times New Roman" w:hAnsi="Times New Roman" w:eastAsia="宋体" w:cs="Times New Roman"/>
                      <w:color w:val="auto"/>
                      <w:sz w:val="21"/>
                      <w:szCs w:val="21"/>
                      <w:lang w:val="en-US" w:eastAsia="zh-CN"/>
                    </w:rPr>
                    <w:t>2</w:t>
                  </w:r>
                </w:p>
              </w:tc>
              <w:tc>
                <w:tcPr>
                  <w:tcW w:w="691"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芝左一</w:t>
                  </w:r>
                  <w:r>
                    <w:rPr>
                      <w:rFonts w:hint="default" w:ascii="Times New Roman" w:hAnsi="Times New Roman" w:eastAsia="宋体" w:cs="Times New Roman"/>
                      <w:color w:val="auto"/>
                      <w:sz w:val="21"/>
                      <w:szCs w:val="21"/>
                      <w:lang w:val="zh-CN"/>
                    </w:rPr>
                    <w:t>0+000.00</w:t>
                  </w:r>
                </w:p>
              </w:tc>
              <w:tc>
                <w:tcPr>
                  <w:tcW w:w="686"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芝左一</w:t>
                  </w:r>
                  <w:r>
                    <w:rPr>
                      <w:rFonts w:hint="default" w:ascii="Times New Roman" w:hAnsi="Times New Roman" w:eastAsia="宋体" w:cs="Times New Roman"/>
                      <w:color w:val="auto"/>
                      <w:sz w:val="21"/>
                      <w:szCs w:val="21"/>
                      <w:lang w:val="zh-CN"/>
                    </w:rPr>
                    <w:t>0+271.90</w:t>
                  </w:r>
                </w:p>
              </w:tc>
              <w:tc>
                <w:tcPr>
                  <w:tcW w:w="1020" w:type="pct"/>
                  <w:vAlign w:val="center"/>
                </w:tcPr>
                <w:p>
                  <w:pPr>
                    <w:pStyle w:val="244"/>
                    <w:spacing w:line="240" w:lineRule="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i w:val="0"/>
                      <w:color w:val="auto"/>
                      <w:kern w:val="0"/>
                      <w:sz w:val="21"/>
                      <w:szCs w:val="21"/>
                      <w:u w:val="none"/>
                      <w:lang w:val="en-US" w:eastAsia="zh-CN" w:bidi="ar"/>
                    </w:rPr>
                    <w:t>东经</w:t>
                  </w:r>
                  <w:r>
                    <w:rPr>
                      <w:rFonts w:hint="default" w:ascii="Times New Roman" w:hAnsi="Times New Roman" w:eastAsia="宋体" w:cs="Times New Roman"/>
                      <w:color w:val="auto"/>
                      <w:sz w:val="21"/>
                      <w:szCs w:val="21"/>
                    </w:rPr>
                    <w:t>105°37′13.80″</w:t>
                  </w:r>
                </w:p>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北纬</w:t>
                  </w:r>
                  <w:r>
                    <w:rPr>
                      <w:rFonts w:hint="default" w:ascii="Times New Roman" w:hAnsi="Times New Roman" w:eastAsia="宋体" w:cs="Times New Roman"/>
                      <w:color w:val="auto"/>
                      <w:sz w:val="21"/>
                      <w:szCs w:val="21"/>
                    </w:rPr>
                    <w:t>30°44′22.81″</w:t>
                  </w:r>
                </w:p>
              </w:tc>
              <w:tc>
                <w:tcPr>
                  <w:tcW w:w="1086" w:type="pct"/>
                  <w:vAlign w:val="center"/>
                </w:tcPr>
                <w:p>
                  <w:pPr>
                    <w:pStyle w:val="244"/>
                    <w:spacing w:line="240" w:lineRule="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i w:val="0"/>
                      <w:color w:val="auto"/>
                      <w:kern w:val="0"/>
                      <w:sz w:val="21"/>
                      <w:szCs w:val="21"/>
                      <w:u w:val="none"/>
                      <w:lang w:val="en-US" w:eastAsia="zh-CN" w:bidi="ar"/>
                    </w:rPr>
                    <w:t>东经</w:t>
                  </w:r>
                  <w:r>
                    <w:rPr>
                      <w:rFonts w:hint="default" w:ascii="Times New Roman" w:hAnsi="Times New Roman" w:eastAsia="宋体" w:cs="Times New Roman"/>
                      <w:color w:val="auto"/>
                      <w:sz w:val="21"/>
                      <w:szCs w:val="21"/>
                    </w:rPr>
                    <w:t>105°36′22.67″</w:t>
                  </w:r>
                </w:p>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北纬</w:t>
                  </w:r>
                  <w:r>
                    <w:rPr>
                      <w:rFonts w:hint="default" w:ascii="Times New Roman" w:hAnsi="Times New Roman" w:eastAsia="宋体" w:cs="Times New Roman"/>
                      <w:color w:val="auto"/>
                      <w:sz w:val="21"/>
                      <w:szCs w:val="21"/>
                    </w:rPr>
                    <w:t>30°44′19.70″</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6" w:type="pct"/>
                  <w:vMerge w:val="continue"/>
                  <w:vAlign w:val="center"/>
                </w:tcPr>
                <w:p>
                  <w:pPr>
                    <w:widowControl/>
                    <w:spacing w:line="240" w:lineRule="auto"/>
                    <w:jc w:val="center"/>
                    <w:rPr>
                      <w:rFonts w:hint="default" w:ascii="Times New Roman" w:hAnsi="Times New Roman" w:eastAsia="宋体" w:cs="Times New Roman"/>
                      <w:color w:val="auto"/>
                      <w:kern w:val="0"/>
                      <w:sz w:val="21"/>
                      <w:szCs w:val="21"/>
                      <w:lang w:eastAsia="zh-CN"/>
                    </w:rPr>
                  </w:pPr>
                </w:p>
              </w:tc>
              <w:tc>
                <w:tcPr>
                  <w:tcW w:w="595"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2、芝溪河左二段</w:t>
                  </w:r>
                </w:p>
              </w:tc>
              <w:tc>
                <w:tcPr>
                  <w:tcW w:w="443"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0.271</w:t>
                  </w:r>
                </w:p>
              </w:tc>
              <w:tc>
                <w:tcPr>
                  <w:tcW w:w="691"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芝左二</w:t>
                  </w:r>
                  <w:r>
                    <w:rPr>
                      <w:rFonts w:hint="default" w:ascii="Times New Roman" w:hAnsi="Times New Roman" w:eastAsia="宋体" w:cs="Times New Roman"/>
                      <w:color w:val="auto"/>
                      <w:sz w:val="21"/>
                      <w:szCs w:val="21"/>
                      <w:lang w:val="zh-CN"/>
                    </w:rPr>
                    <w:t>0+000.00</w:t>
                  </w:r>
                </w:p>
              </w:tc>
              <w:tc>
                <w:tcPr>
                  <w:tcW w:w="686"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芝左二</w:t>
                  </w:r>
                  <w:r>
                    <w:rPr>
                      <w:rFonts w:hint="default" w:ascii="Times New Roman" w:hAnsi="Times New Roman" w:eastAsia="宋体" w:cs="Times New Roman"/>
                      <w:color w:val="auto"/>
                      <w:sz w:val="21"/>
                      <w:szCs w:val="21"/>
                      <w:lang w:val="zh-CN"/>
                    </w:rPr>
                    <w:t>0+271.30</w:t>
                  </w:r>
                </w:p>
              </w:tc>
              <w:tc>
                <w:tcPr>
                  <w:tcW w:w="1020" w:type="pct"/>
                  <w:vAlign w:val="center"/>
                </w:tcPr>
                <w:p>
                  <w:pPr>
                    <w:pStyle w:val="244"/>
                    <w:spacing w:line="240" w:lineRule="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i w:val="0"/>
                      <w:color w:val="auto"/>
                      <w:kern w:val="0"/>
                      <w:sz w:val="21"/>
                      <w:szCs w:val="21"/>
                      <w:u w:val="none"/>
                      <w:lang w:val="en-US" w:eastAsia="zh-CN" w:bidi="ar"/>
                    </w:rPr>
                    <w:t>东经</w:t>
                  </w:r>
                  <w:r>
                    <w:rPr>
                      <w:rFonts w:hint="default" w:ascii="Times New Roman" w:hAnsi="Times New Roman" w:eastAsia="宋体" w:cs="Times New Roman"/>
                      <w:color w:val="auto"/>
                      <w:sz w:val="21"/>
                      <w:szCs w:val="21"/>
                    </w:rPr>
                    <w:t>105°36′49.00″</w:t>
                  </w:r>
                </w:p>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北纬</w:t>
                  </w:r>
                  <w:r>
                    <w:rPr>
                      <w:rFonts w:hint="default" w:ascii="Times New Roman" w:hAnsi="Times New Roman" w:eastAsia="宋体" w:cs="Times New Roman"/>
                      <w:color w:val="auto"/>
                      <w:sz w:val="21"/>
                      <w:szCs w:val="21"/>
                    </w:rPr>
                    <w:t>30°44′22.60″</w:t>
                  </w:r>
                </w:p>
              </w:tc>
              <w:tc>
                <w:tcPr>
                  <w:tcW w:w="1086" w:type="pct"/>
                  <w:vAlign w:val="center"/>
                </w:tcPr>
                <w:p>
                  <w:pPr>
                    <w:pStyle w:val="244"/>
                    <w:spacing w:line="240" w:lineRule="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i w:val="0"/>
                      <w:color w:val="auto"/>
                      <w:kern w:val="0"/>
                      <w:sz w:val="21"/>
                      <w:szCs w:val="21"/>
                      <w:u w:val="none"/>
                      <w:lang w:val="en-US" w:eastAsia="zh-CN" w:bidi="ar"/>
                    </w:rPr>
                    <w:t>东经</w:t>
                  </w:r>
                  <w:r>
                    <w:rPr>
                      <w:rFonts w:hint="default" w:ascii="Times New Roman" w:hAnsi="Times New Roman" w:eastAsia="宋体" w:cs="Times New Roman"/>
                      <w:color w:val="auto"/>
                      <w:sz w:val="21"/>
                      <w:szCs w:val="21"/>
                    </w:rPr>
                    <w:t>105°36′40.81″</w:t>
                  </w:r>
                </w:p>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北纬</w:t>
                  </w:r>
                  <w:r>
                    <w:rPr>
                      <w:rFonts w:hint="default" w:ascii="Times New Roman" w:hAnsi="Times New Roman" w:eastAsia="宋体" w:cs="Times New Roman"/>
                      <w:color w:val="auto"/>
                      <w:sz w:val="21"/>
                      <w:szCs w:val="21"/>
                    </w:rPr>
                    <w:t>30°44′20.24″</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6" w:type="pct"/>
                  <w:vMerge w:val="continue"/>
                  <w:vAlign w:val="center"/>
                </w:tcPr>
                <w:p>
                  <w:pPr>
                    <w:widowControl/>
                    <w:spacing w:line="240" w:lineRule="auto"/>
                    <w:jc w:val="center"/>
                    <w:rPr>
                      <w:rFonts w:hint="default" w:ascii="Times New Roman" w:hAnsi="Times New Roman" w:eastAsia="宋体" w:cs="Times New Roman"/>
                      <w:color w:val="auto"/>
                      <w:kern w:val="0"/>
                      <w:sz w:val="21"/>
                      <w:szCs w:val="21"/>
                      <w:lang w:eastAsia="zh-CN"/>
                    </w:rPr>
                  </w:pPr>
                </w:p>
              </w:tc>
              <w:tc>
                <w:tcPr>
                  <w:tcW w:w="595"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3、芝溪河左三段</w:t>
                  </w:r>
                </w:p>
              </w:tc>
              <w:tc>
                <w:tcPr>
                  <w:tcW w:w="443"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0.319</w:t>
                  </w:r>
                </w:p>
              </w:tc>
              <w:tc>
                <w:tcPr>
                  <w:tcW w:w="691"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芝左三</w:t>
                  </w:r>
                  <w:r>
                    <w:rPr>
                      <w:rFonts w:hint="default" w:ascii="Times New Roman" w:hAnsi="Times New Roman" w:eastAsia="宋体" w:cs="Times New Roman"/>
                      <w:color w:val="auto"/>
                      <w:sz w:val="21"/>
                      <w:szCs w:val="21"/>
                      <w:lang w:val="zh-CN"/>
                    </w:rPr>
                    <w:t>0+000.00</w:t>
                  </w:r>
                </w:p>
              </w:tc>
              <w:tc>
                <w:tcPr>
                  <w:tcW w:w="686"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芝左三</w:t>
                  </w:r>
                  <w:r>
                    <w:rPr>
                      <w:rFonts w:hint="default" w:ascii="Times New Roman" w:hAnsi="Times New Roman" w:eastAsia="宋体" w:cs="Times New Roman"/>
                      <w:color w:val="auto"/>
                      <w:sz w:val="21"/>
                      <w:szCs w:val="21"/>
                      <w:lang w:val="zh-CN"/>
                    </w:rPr>
                    <w:t>0+318.96</w:t>
                  </w:r>
                </w:p>
              </w:tc>
              <w:tc>
                <w:tcPr>
                  <w:tcW w:w="1020" w:type="pct"/>
                  <w:vAlign w:val="center"/>
                </w:tcPr>
                <w:p>
                  <w:pPr>
                    <w:pStyle w:val="244"/>
                    <w:spacing w:line="240" w:lineRule="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i w:val="0"/>
                      <w:color w:val="auto"/>
                      <w:kern w:val="0"/>
                      <w:sz w:val="21"/>
                      <w:szCs w:val="21"/>
                      <w:u w:val="none"/>
                      <w:lang w:val="en-US" w:eastAsia="zh-CN" w:bidi="ar"/>
                    </w:rPr>
                    <w:t>东经</w:t>
                  </w:r>
                  <w:r>
                    <w:rPr>
                      <w:rFonts w:hint="default" w:ascii="Times New Roman" w:hAnsi="Times New Roman" w:eastAsia="宋体" w:cs="Times New Roman"/>
                      <w:color w:val="auto"/>
                      <w:sz w:val="21"/>
                      <w:szCs w:val="21"/>
                    </w:rPr>
                    <w:t>105°36′36.66″</w:t>
                  </w:r>
                </w:p>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北纬</w:t>
                  </w:r>
                  <w:r>
                    <w:rPr>
                      <w:rFonts w:hint="default" w:ascii="Times New Roman" w:hAnsi="Times New Roman" w:eastAsia="宋体" w:cs="Times New Roman"/>
                      <w:color w:val="auto"/>
                      <w:sz w:val="21"/>
                      <w:szCs w:val="21"/>
                    </w:rPr>
                    <w:t>30°44′20.75″</w:t>
                  </w:r>
                </w:p>
              </w:tc>
              <w:tc>
                <w:tcPr>
                  <w:tcW w:w="1086" w:type="pct"/>
                  <w:vAlign w:val="center"/>
                </w:tcPr>
                <w:p>
                  <w:pPr>
                    <w:pStyle w:val="244"/>
                    <w:spacing w:line="240" w:lineRule="auto"/>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i w:val="0"/>
                      <w:color w:val="auto"/>
                      <w:kern w:val="0"/>
                      <w:sz w:val="21"/>
                      <w:szCs w:val="21"/>
                      <w:u w:val="none"/>
                      <w:lang w:val="en-US" w:eastAsia="zh-CN" w:bidi="ar"/>
                    </w:rPr>
                    <w:t>东经</w:t>
                  </w:r>
                  <w:r>
                    <w:rPr>
                      <w:rFonts w:hint="default" w:ascii="Times New Roman" w:hAnsi="Times New Roman" w:eastAsia="宋体" w:cs="Times New Roman"/>
                      <w:color w:val="auto"/>
                      <w:sz w:val="21"/>
                      <w:szCs w:val="21"/>
                    </w:rPr>
                    <w:t>105°36′25.58″</w:t>
                  </w:r>
                </w:p>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北纬</w:t>
                  </w:r>
                  <w:r>
                    <w:rPr>
                      <w:rFonts w:hint="default" w:ascii="Times New Roman" w:hAnsi="Times New Roman" w:eastAsia="宋体" w:cs="Times New Roman"/>
                      <w:color w:val="auto"/>
                      <w:sz w:val="21"/>
                      <w:szCs w:val="21"/>
                    </w:rPr>
                    <w:t>30°44′18.45″</w:t>
                  </w:r>
                </w:p>
              </w:tc>
            </w:tr>
            <w:tr>
              <w:tblPrEx>
                <w:tblBorders>
                  <w:top w:val="single" w:color="auto" w:sz="4"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76" w:type="pct"/>
                  <w:vMerge w:val="continue"/>
                  <w:vAlign w:val="center"/>
                </w:tcPr>
                <w:p>
                  <w:pPr>
                    <w:widowControl/>
                    <w:spacing w:line="240" w:lineRule="auto"/>
                    <w:jc w:val="center"/>
                    <w:rPr>
                      <w:rFonts w:hint="default" w:ascii="Times New Roman" w:hAnsi="Times New Roman" w:eastAsia="宋体" w:cs="Times New Roman"/>
                      <w:color w:val="auto"/>
                      <w:kern w:val="0"/>
                      <w:sz w:val="21"/>
                      <w:szCs w:val="21"/>
                      <w:lang w:eastAsia="zh-CN"/>
                    </w:rPr>
                  </w:pPr>
                </w:p>
              </w:tc>
              <w:tc>
                <w:tcPr>
                  <w:tcW w:w="595"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4、牛家河左岸段</w:t>
                  </w:r>
                </w:p>
              </w:tc>
              <w:tc>
                <w:tcPr>
                  <w:tcW w:w="443"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0.273</w:t>
                  </w:r>
                </w:p>
              </w:tc>
              <w:tc>
                <w:tcPr>
                  <w:tcW w:w="691"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牛左0+000.00</w:t>
                  </w:r>
                </w:p>
              </w:tc>
              <w:tc>
                <w:tcPr>
                  <w:tcW w:w="686" w:type="pct"/>
                  <w:vAlign w:val="center"/>
                </w:tcPr>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rPr>
                    <w:t>牛左0+272.90</w:t>
                  </w:r>
                </w:p>
              </w:tc>
              <w:tc>
                <w:tcPr>
                  <w:tcW w:w="1020" w:type="pct"/>
                  <w:vAlign w:val="center"/>
                </w:tcPr>
                <w:p>
                  <w:pPr>
                    <w:pStyle w:val="24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东经</w:t>
                  </w:r>
                  <w:r>
                    <w:rPr>
                      <w:rFonts w:hint="default" w:ascii="Times New Roman" w:hAnsi="Times New Roman" w:eastAsia="宋体" w:cs="Times New Roman"/>
                      <w:color w:val="auto"/>
                      <w:sz w:val="21"/>
                      <w:szCs w:val="21"/>
                    </w:rPr>
                    <w:t>105°36′47.27″</w:t>
                  </w:r>
                </w:p>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北纬</w:t>
                  </w:r>
                  <w:r>
                    <w:rPr>
                      <w:rFonts w:hint="default" w:ascii="Times New Roman" w:hAnsi="Times New Roman" w:eastAsia="宋体" w:cs="Times New Roman"/>
                      <w:color w:val="auto"/>
                      <w:sz w:val="21"/>
                      <w:szCs w:val="21"/>
                    </w:rPr>
                    <w:t>30°44′34.26″</w:t>
                  </w:r>
                </w:p>
              </w:tc>
              <w:tc>
                <w:tcPr>
                  <w:tcW w:w="1086" w:type="pct"/>
                  <w:vAlign w:val="center"/>
                </w:tcPr>
                <w:p>
                  <w:pPr>
                    <w:pStyle w:val="244"/>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东经</w:t>
                  </w:r>
                  <w:r>
                    <w:rPr>
                      <w:rFonts w:hint="default" w:ascii="Times New Roman" w:hAnsi="Times New Roman" w:eastAsia="宋体" w:cs="Times New Roman"/>
                      <w:color w:val="auto"/>
                      <w:sz w:val="21"/>
                      <w:szCs w:val="21"/>
                    </w:rPr>
                    <w:t>105°36′56.58″</w:t>
                  </w:r>
                </w:p>
                <w:p>
                  <w:pPr>
                    <w:pStyle w:val="244"/>
                    <w:spacing w:line="240" w:lineRule="auto"/>
                    <w:ind w:firstLine="0" w:firstLineChars="0"/>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北纬</w:t>
                  </w:r>
                  <w:r>
                    <w:rPr>
                      <w:rFonts w:hint="default" w:ascii="Times New Roman" w:hAnsi="Times New Roman" w:eastAsia="宋体" w:cs="Times New Roman"/>
                      <w:color w:val="auto"/>
                      <w:sz w:val="21"/>
                      <w:szCs w:val="21"/>
                    </w:rPr>
                    <w:t>30°44′31.26″</w:t>
                  </w:r>
                </w:p>
              </w:tc>
            </w:tr>
          </w:tbl>
          <w:p>
            <w:pPr>
              <w:adjustRightInd w:val="0"/>
              <w:snapToGrid w:val="0"/>
              <w:spacing w:line="360" w:lineRule="auto"/>
              <w:ind w:firstLine="480" w:firstLineChars="200"/>
              <w:rPr>
                <w:rFonts w:hint="default" w:ascii="Times New Roman" w:hAnsi="Times New Roman" w:cs="Times New Roman"/>
                <w:color w:val="FF0000"/>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28" w:type="dxa"/>
            <w:vAlign w:val="center"/>
          </w:tcPr>
          <w:p>
            <w:pPr>
              <w:adjustRightInd w:val="0"/>
              <w:snapToGrid w:val="0"/>
              <w:jc w:val="center"/>
              <w:rPr>
                <w:rFonts w:hint="default" w:ascii="Times New Roman" w:hAnsi="Times New Roman" w:cs="Times New Roman"/>
                <w:color w:val="FF0000"/>
                <w:kern w:val="0"/>
                <w:sz w:val="24"/>
              </w:rPr>
            </w:pPr>
            <w:r>
              <w:rPr>
                <w:rFonts w:hint="default" w:ascii="Times New Roman" w:hAnsi="Times New Roman" w:cs="Times New Roman"/>
                <w:color w:val="auto"/>
                <w:kern w:val="0"/>
                <w:sz w:val="24"/>
              </w:rPr>
              <w:t>项目组成及规模</w:t>
            </w:r>
          </w:p>
        </w:tc>
        <w:tc>
          <w:tcPr>
            <w:tcW w:w="9591" w:type="dxa"/>
            <w:vAlign w:val="center"/>
          </w:tcPr>
          <w:p>
            <w:pPr>
              <w:adjustRightInd w:val="0"/>
              <w:snapToGrid w:val="0"/>
              <w:spacing w:line="360" w:lineRule="auto"/>
              <w:rPr>
                <w:rStyle w:val="89"/>
                <w:rFonts w:hint="default" w:ascii="Times New Roman" w:hAnsi="Times New Roman" w:eastAsia="宋体" w:cs="Times New Roman"/>
                <w:b/>
                <w:bCs/>
                <w:color w:val="auto"/>
              </w:rPr>
            </w:pPr>
            <w:r>
              <w:rPr>
                <w:rStyle w:val="89"/>
                <w:rFonts w:hint="default" w:ascii="Times New Roman" w:hAnsi="Times New Roman" w:eastAsia="宋体" w:cs="Times New Roman"/>
                <w:b/>
                <w:bCs/>
                <w:color w:val="auto"/>
              </w:rPr>
              <w:t>一、项目由来</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蓬溪县芝溪河明月镇延长段防洪治理工程位于蓬溪县明月镇，项目区地理位置优越，交通便利，人口集中。但</w:t>
            </w:r>
            <w:r>
              <w:rPr>
                <w:rFonts w:hint="eastAsia" w:ascii="Times New Roman" w:hAnsi="Times New Roman" w:eastAsia="宋体" w:cs="Times New Roman"/>
                <w:color w:val="auto"/>
                <w:sz w:val="24"/>
                <w:szCs w:val="24"/>
              </w:rPr>
              <w:t>河道洪水频发</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加之防洪设施薄弱，芝溪河明月镇河段至今尚未形成防洪封闭，洪涝灾害一度威胁沿河居民生命财产安全，</w:t>
            </w:r>
            <w:r>
              <w:rPr>
                <w:rFonts w:hint="default" w:ascii="Times New Roman" w:hAnsi="Times New Roman" w:eastAsia="宋体" w:cs="Times New Roman"/>
                <w:color w:val="auto"/>
                <w:sz w:val="24"/>
                <w:szCs w:val="24"/>
              </w:rPr>
              <w:t>已严重制约该区国民经济发展。</w:t>
            </w:r>
            <w:r>
              <w:rPr>
                <w:rFonts w:hint="eastAsia" w:ascii="Times New Roman" w:hAnsi="Times New Roman" w:eastAsia="宋体" w:cs="Times New Roman"/>
                <w:color w:val="auto"/>
                <w:sz w:val="24"/>
                <w:szCs w:val="24"/>
              </w:rPr>
              <w:t>随着社会经济的不断发展和人民生活水平的提高，洪灾损失将会成倍增长，损失更为严重。河道治理工程属于民生工程、是</w:t>
            </w:r>
            <w:r>
              <w:rPr>
                <w:rFonts w:hint="default" w:ascii="Times New Roman" w:hAnsi="Times New Roman" w:eastAsia="宋体" w:cs="Times New Roman"/>
                <w:color w:val="auto"/>
                <w:sz w:val="24"/>
                <w:szCs w:val="24"/>
              </w:rPr>
              <w:t>保护人民生命财产安全</w:t>
            </w:r>
            <w:r>
              <w:rPr>
                <w:rFonts w:hint="eastAsia" w:ascii="Times New Roman" w:hAnsi="Times New Roman" w:eastAsia="宋体" w:cs="Times New Roman"/>
                <w:color w:val="auto"/>
                <w:sz w:val="24"/>
                <w:szCs w:val="24"/>
              </w:rPr>
              <w:t>的</w:t>
            </w:r>
            <w:r>
              <w:rPr>
                <w:rFonts w:hint="default" w:ascii="Times New Roman" w:hAnsi="Times New Roman" w:eastAsia="宋体" w:cs="Times New Roman"/>
                <w:color w:val="auto"/>
                <w:sz w:val="24"/>
                <w:szCs w:val="24"/>
              </w:rPr>
              <w:t>重要基础设施，</w:t>
            </w:r>
            <w:r>
              <w:rPr>
                <w:rFonts w:hint="eastAsia" w:ascii="Times New Roman" w:hAnsi="Times New Roman" w:eastAsia="宋体" w:cs="Times New Roman"/>
                <w:color w:val="auto"/>
                <w:sz w:val="24"/>
                <w:szCs w:val="24"/>
              </w:rPr>
              <w:t>工程的实施</w:t>
            </w:r>
            <w:r>
              <w:rPr>
                <w:rFonts w:hint="default" w:ascii="Times New Roman" w:hAnsi="Times New Roman" w:eastAsia="宋体" w:cs="Times New Roman"/>
                <w:color w:val="auto"/>
                <w:sz w:val="24"/>
                <w:szCs w:val="24"/>
              </w:rPr>
              <w:t>将有效地改善当地防洪的现状，</w:t>
            </w:r>
            <w:r>
              <w:rPr>
                <w:rFonts w:hint="eastAsia" w:ascii="Times New Roman" w:hAnsi="Times New Roman" w:eastAsia="宋体" w:cs="Times New Roman"/>
                <w:color w:val="auto"/>
                <w:sz w:val="24"/>
                <w:szCs w:val="24"/>
              </w:rPr>
              <w:t>减少每年防洪抢险临时性、重复性的投入，并且将</w:t>
            </w:r>
            <w:r>
              <w:rPr>
                <w:rFonts w:hint="default" w:ascii="Times New Roman" w:hAnsi="Times New Roman" w:eastAsia="宋体" w:cs="Times New Roman"/>
                <w:color w:val="auto"/>
                <w:sz w:val="24"/>
                <w:szCs w:val="24"/>
              </w:rPr>
              <w:t>改善生态环境，减少</w:t>
            </w:r>
            <w:r>
              <w:rPr>
                <w:rFonts w:hint="eastAsia" w:ascii="Times New Roman" w:hAnsi="Times New Roman" w:eastAsia="宋体" w:cs="Times New Roman"/>
                <w:color w:val="auto"/>
                <w:sz w:val="24"/>
                <w:szCs w:val="24"/>
              </w:rPr>
              <w:t>水土流失，对</w:t>
            </w:r>
            <w:r>
              <w:rPr>
                <w:rFonts w:hint="default" w:ascii="Times New Roman" w:hAnsi="Times New Roman" w:eastAsia="宋体" w:cs="Times New Roman"/>
                <w:color w:val="auto"/>
                <w:sz w:val="24"/>
                <w:szCs w:val="24"/>
              </w:rPr>
              <w:t>促进当地经济社会的持续发展</w:t>
            </w:r>
            <w:r>
              <w:rPr>
                <w:rFonts w:hint="eastAsia" w:ascii="Times New Roman" w:hAnsi="Times New Roman" w:eastAsia="宋体" w:cs="Times New Roman"/>
                <w:color w:val="auto"/>
                <w:sz w:val="24"/>
                <w:szCs w:val="24"/>
              </w:rPr>
              <w:t>有着极大的推动作用，是保护人民生命财产安全的需要；同时也是修补和</w:t>
            </w:r>
            <w:r>
              <w:rPr>
                <w:rFonts w:hint="default" w:ascii="Times New Roman" w:hAnsi="Times New Roman" w:eastAsia="宋体" w:cs="Times New Roman"/>
                <w:color w:val="auto"/>
                <w:sz w:val="24"/>
                <w:szCs w:val="24"/>
              </w:rPr>
              <w:t>完善</w:t>
            </w:r>
            <w:r>
              <w:rPr>
                <w:rFonts w:hint="eastAsia" w:ascii="Times New Roman" w:hAnsi="Times New Roman" w:eastAsia="宋体" w:cs="Times New Roman"/>
                <w:color w:val="auto"/>
                <w:sz w:val="24"/>
                <w:szCs w:val="24"/>
              </w:rPr>
              <w:t>当地的</w:t>
            </w:r>
            <w:r>
              <w:rPr>
                <w:rFonts w:hint="default" w:ascii="Times New Roman" w:hAnsi="Times New Roman" w:eastAsia="宋体" w:cs="Times New Roman"/>
                <w:color w:val="auto"/>
                <w:sz w:val="24"/>
                <w:szCs w:val="24"/>
              </w:rPr>
              <w:t>防洪体系，</w:t>
            </w:r>
            <w:r>
              <w:rPr>
                <w:rFonts w:hint="eastAsia" w:ascii="Times New Roman" w:hAnsi="Times New Roman" w:eastAsia="宋体" w:cs="Times New Roman"/>
                <w:color w:val="auto"/>
                <w:sz w:val="24"/>
                <w:szCs w:val="24"/>
              </w:rPr>
              <w:t>保护和</w:t>
            </w:r>
            <w:r>
              <w:rPr>
                <w:rFonts w:hint="default" w:ascii="Times New Roman" w:hAnsi="Times New Roman" w:eastAsia="宋体" w:cs="Times New Roman"/>
                <w:color w:val="auto"/>
                <w:sz w:val="24"/>
                <w:szCs w:val="24"/>
              </w:rPr>
              <w:t>促进城</w:t>
            </w:r>
            <w:r>
              <w:rPr>
                <w:rFonts w:hint="eastAsia" w:ascii="Times New Roman" w:hAnsi="Times New Roman" w:eastAsia="宋体" w:cs="Times New Roman"/>
                <w:color w:val="auto"/>
                <w:sz w:val="24"/>
                <w:szCs w:val="24"/>
              </w:rPr>
              <w:t>镇</w:t>
            </w:r>
            <w:r>
              <w:rPr>
                <w:rFonts w:hint="default" w:ascii="Times New Roman" w:hAnsi="Times New Roman" w:eastAsia="宋体" w:cs="Times New Roman"/>
                <w:color w:val="auto"/>
                <w:sz w:val="24"/>
                <w:szCs w:val="24"/>
              </w:rPr>
              <w:t>社会经济和城</w:t>
            </w:r>
            <w:r>
              <w:rPr>
                <w:rFonts w:hint="eastAsia" w:ascii="Times New Roman" w:hAnsi="Times New Roman" w:eastAsia="宋体" w:cs="Times New Roman"/>
                <w:color w:val="auto"/>
                <w:sz w:val="24"/>
                <w:szCs w:val="24"/>
              </w:rPr>
              <w:t>镇</w:t>
            </w:r>
            <w:r>
              <w:rPr>
                <w:rFonts w:hint="default" w:ascii="Times New Roman" w:hAnsi="Times New Roman" w:eastAsia="宋体" w:cs="Times New Roman"/>
                <w:color w:val="auto"/>
                <w:sz w:val="24"/>
                <w:szCs w:val="24"/>
              </w:rPr>
              <w:t>建设的发展</w:t>
            </w:r>
            <w:r>
              <w:rPr>
                <w:rFonts w:hint="eastAsia" w:ascii="Times New Roman" w:hAnsi="Times New Roman" w:eastAsia="宋体" w:cs="Times New Roman"/>
                <w:color w:val="auto"/>
                <w:sz w:val="24"/>
                <w:szCs w:val="24"/>
              </w:rPr>
              <w:t>前提。</w:t>
            </w:r>
            <w:r>
              <w:rPr>
                <w:rFonts w:hint="default" w:ascii="Times New Roman" w:hAnsi="Times New Roman" w:eastAsia="宋体" w:cs="Times New Roman"/>
                <w:color w:val="auto"/>
                <w:sz w:val="24"/>
                <w:szCs w:val="24"/>
              </w:rPr>
              <w:t>因此，为保护规划区内社会经济和人民生命财产安全，维护正常的生产、生活秩序</w:t>
            </w:r>
            <w:r>
              <w:rPr>
                <w:rFonts w:hint="eastAsia" w:ascii="Times New Roman" w:hAnsi="Times New Roman" w:eastAsia="宋体" w:cs="Times New Roman"/>
                <w:color w:val="auto"/>
                <w:sz w:val="24"/>
                <w:szCs w:val="24"/>
              </w:rPr>
              <w:t>，促进明月镇经济平稳发展，应</w:t>
            </w:r>
            <w:r>
              <w:rPr>
                <w:rFonts w:hint="default" w:ascii="Times New Roman" w:hAnsi="Times New Roman" w:eastAsia="宋体" w:cs="Times New Roman"/>
                <w:color w:val="auto"/>
                <w:sz w:val="24"/>
                <w:szCs w:val="24"/>
              </w:rPr>
              <w:t>尽快完善规划区防洪保安体系，</w:t>
            </w:r>
            <w:r>
              <w:rPr>
                <w:rFonts w:hint="eastAsia" w:ascii="Times New Roman" w:hAnsi="Times New Roman" w:eastAsia="宋体" w:cs="Times New Roman"/>
                <w:color w:val="auto"/>
                <w:sz w:val="24"/>
                <w:szCs w:val="24"/>
              </w:rPr>
              <w:t>提高防洪能力，本工程的建设十分必要且迫在眉睫。</w:t>
            </w:r>
          </w:p>
          <w:p>
            <w:pPr>
              <w:adjustRightInd w:val="0"/>
              <w:snapToGrid w:val="0"/>
              <w:spacing w:line="360" w:lineRule="auto"/>
              <w:rPr>
                <w:rStyle w:val="89"/>
                <w:rFonts w:hint="default" w:ascii="Times New Roman" w:hAnsi="Times New Roman" w:eastAsia="宋体" w:cs="Times New Roman"/>
                <w:b/>
                <w:bCs/>
                <w:color w:val="auto"/>
                <w:lang w:val="en-US" w:eastAsia="zh-CN"/>
              </w:rPr>
            </w:pPr>
            <w:r>
              <w:rPr>
                <w:rStyle w:val="89"/>
                <w:rFonts w:hint="default" w:ascii="Times New Roman" w:hAnsi="Times New Roman" w:eastAsia="宋体" w:cs="Times New Roman"/>
                <w:b/>
                <w:bCs/>
                <w:color w:val="auto"/>
              </w:rPr>
              <w:t>二、项目</w:t>
            </w:r>
            <w:r>
              <w:rPr>
                <w:rStyle w:val="89"/>
                <w:rFonts w:hint="default" w:ascii="Times New Roman" w:hAnsi="Times New Roman" w:eastAsia="宋体" w:cs="Times New Roman"/>
                <w:b/>
                <w:bCs/>
                <w:color w:val="auto"/>
                <w:lang w:val="en-US" w:eastAsia="zh-CN"/>
              </w:rPr>
              <w:t>组成</w:t>
            </w:r>
            <w:r>
              <w:rPr>
                <w:rStyle w:val="89"/>
                <w:rFonts w:hint="default" w:ascii="Times New Roman" w:hAnsi="Times New Roman" w:eastAsia="宋体" w:cs="Times New Roman"/>
                <w:b/>
                <w:bCs/>
                <w:color w:val="auto"/>
              </w:rPr>
              <w:t>及</w:t>
            </w:r>
            <w:r>
              <w:rPr>
                <w:rStyle w:val="89"/>
                <w:rFonts w:hint="default" w:ascii="Times New Roman" w:hAnsi="Times New Roman" w:eastAsia="宋体" w:cs="Times New Roman"/>
                <w:b/>
                <w:bCs/>
                <w:color w:val="auto"/>
                <w:lang w:val="en-US" w:eastAsia="zh-CN"/>
              </w:rPr>
              <w:t>主要环境问题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宋体"/>
                <w:color w:val="000000" w:themeColor="text1"/>
                <w:sz w:val="24"/>
                <w:szCs w:val="24"/>
                <w:lang w:eastAsia="zh-CN"/>
                <w14:textFill>
                  <w14:solidFill>
                    <w14:schemeClr w14:val="tx1"/>
                  </w14:solidFill>
                </w14:textFill>
              </w:rPr>
            </w:pPr>
            <w:bookmarkStart w:id="2" w:name="_Hlk150367954"/>
            <w:r>
              <w:rPr>
                <w:rFonts w:hint="eastAsia"/>
                <w:color w:val="000000" w:themeColor="text1"/>
                <w:sz w:val="24"/>
                <w:szCs w:val="24"/>
                <w14:textFill>
                  <w14:solidFill>
                    <w14:schemeClr w14:val="tx1"/>
                  </w14:solidFill>
                </w14:textFill>
              </w:rPr>
              <w:t>蓬溪县芝溪河明月镇延长段防洪治理工程</w:t>
            </w:r>
            <w:bookmarkEnd w:id="2"/>
            <w:r>
              <w:rPr>
                <w:rFonts w:hint="eastAsia"/>
                <w:color w:val="000000" w:themeColor="text1"/>
                <w:sz w:val="24"/>
                <w:szCs w:val="24"/>
                <w14:textFill>
                  <w14:solidFill>
                    <w14:schemeClr w14:val="tx1"/>
                  </w14:solidFill>
                </w14:textFill>
              </w:rPr>
              <w:t>河道治理综合长度1490.00m，其中新建护岸堤1135.06m，新建护岸堤共4段，分别为：芝溪河左一段护岸长度271.90m，芝溪河左二段护岸长度271.30m，芝溪河左三段护岸长度318.96m，牛家河左岸段护岸长度272.90m，为泥岩石渣填筑的斜坡式护岸堤</w:t>
            </w:r>
            <w:r>
              <w:rPr>
                <w:rFonts w:hint="eastAsia"/>
                <w:color w:val="000000" w:themeColor="text1"/>
                <w:sz w:val="24"/>
                <w:szCs w:val="24"/>
                <w:lang w:eastAsia="zh-CN"/>
                <w14:textFill>
                  <w14:solidFill>
                    <w14:schemeClr w14:val="tx1"/>
                  </w14:solidFill>
                </w14:textFill>
              </w:rPr>
              <w:t>。</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项目组成及可能产生</w:t>
            </w:r>
            <w:r>
              <w:rPr>
                <w:rFonts w:hint="eastAsia" w:cs="Times New Roman"/>
                <w:bCs/>
                <w:color w:val="auto"/>
                <w:sz w:val="24"/>
                <w:lang w:val="en-US" w:eastAsia="zh-CN"/>
              </w:rPr>
              <w:t>的</w:t>
            </w:r>
            <w:r>
              <w:rPr>
                <w:rFonts w:hint="default" w:ascii="Times New Roman" w:hAnsi="Times New Roman" w:cs="Times New Roman"/>
                <w:bCs/>
                <w:color w:val="auto"/>
                <w:sz w:val="24"/>
              </w:rPr>
              <w:t>环境问题见下表。</w:t>
            </w:r>
          </w:p>
          <w:p>
            <w:pPr>
              <w:pStyle w:val="65"/>
              <w:numPr>
                <w:ilvl w:val="0"/>
                <w:numId w:val="9"/>
              </w:numPr>
              <w:adjustRightInd w:val="0"/>
              <w:snapToGrid w:val="0"/>
              <w:rPr>
                <w:rFonts w:hint="default" w:ascii="Times New Roman" w:hAnsi="Times New Roman" w:cs="Times New Roman"/>
                <w:b/>
                <w:color w:val="auto"/>
                <w:szCs w:val="21"/>
                <w:shd w:val="clear" w:color="auto" w:fill="auto"/>
              </w:rPr>
            </w:pPr>
            <w:r>
              <w:rPr>
                <w:rFonts w:hint="default" w:ascii="Times New Roman" w:hAnsi="Times New Roman" w:cs="Times New Roman"/>
                <w:b/>
                <w:color w:val="auto"/>
                <w:szCs w:val="21"/>
                <w:shd w:val="clear" w:color="auto" w:fill="auto"/>
              </w:rPr>
              <w:t>项目组成表及主要环境问题</w:t>
            </w:r>
          </w:p>
          <w:tbl>
            <w:tblPr>
              <w:tblStyle w:val="3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6"/>
              <w:gridCol w:w="763"/>
              <w:gridCol w:w="5155"/>
              <w:gridCol w:w="957"/>
              <w:gridCol w:w="895"/>
              <w:gridCol w:w="7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435" w:type="pct"/>
                  <w:vAlign w:val="center"/>
                </w:tcPr>
                <w:p>
                  <w:pPr>
                    <w:pStyle w:val="238"/>
                    <w:adjustRightInd w:val="0"/>
                    <w:snapToGrid w:val="0"/>
                    <w:spacing w:before="48" w:beforeLines="20" w:after="48" w:afterLines="20" w:line="240" w:lineRule="auto"/>
                    <w:rPr>
                      <w:rFonts w:hint="default" w:ascii="Times New Roman" w:hAnsi="Times New Roman" w:cs="Times New Roman"/>
                      <w:b/>
                      <w:bCs/>
                      <w:color w:val="auto"/>
                    </w:rPr>
                  </w:pPr>
                  <w:bookmarkStart w:id="3" w:name="OLE_LINK121"/>
                  <w:bookmarkStart w:id="4" w:name="OLE_LINK122"/>
                  <w:r>
                    <w:rPr>
                      <w:rFonts w:hint="default" w:ascii="Times New Roman" w:hAnsi="Times New Roman" w:cs="Times New Roman"/>
                      <w:b/>
                      <w:bCs/>
                      <w:color w:val="auto"/>
                    </w:rPr>
                    <w:t>名称</w:t>
                  </w:r>
                </w:p>
              </w:tc>
              <w:tc>
                <w:tcPr>
                  <w:tcW w:w="3159" w:type="pct"/>
                  <w:gridSpan w:val="2"/>
                  <w:vAlign w:val="center"/>
                </w:tcPr>
                <w:p>
                  <w:pPr>
                    <w:pStyle w:val="238"/>
                    <w:adjustRightInd w:val="0"/>
                    <w:snapToGrid w:val="0"/>
                    <w:spacing w:before="48" w:beforeLines="20" w:after="48" w:afterLines="20" w:line="240" w:lineRule="auto"/>
                    <w:ind w:firstLine="420"/>
                    <w:rPr>
                      <w:rFonts w:hint="default" w:ascii="Times New Roman" w:hAnsi="Times New Roman" w:cs="Times New Roman"/>
                      <w:b/>
                      <w:bCs/>
                      <w:color w:val="auto"/>
                    </w:rPr>
                  </w:pPr>
                  <w:r>
                    <w:rPr>
                      <w:rFonts w:hint="default" w:ascii="Times New Roman" w:hAnsi="Times New Roman" w:cs="Times New Roman"/>
                      <w:b/>
                      <w:bCs/>
                      <w:color w:val="auto"/>
                    </w:rPr>
                    <w:t>项目内容及规模</w:t>
                  </w:r>
                </w:p>
              </w:tc>
              <w:tc>
                <w:tcPr>
                  <w:tcW w:w="510" w:type="pct"/>
                  <w:vAlign w:val="center"/>
                </w:tcPr>
                <w:p>
                  <w:pPr>
                    <w:pStyle w:val="238"/>
                    <w:adjustRightInd w:val="0"/>
                    <w:snapToGrid w:val="0"/>
                    <w:spacing w:before="48" w:beforeLines="20" w:after="48" w:afterLines="20" w:line="240" w:lineRule="auto"/>
                    <w:rPr>
                      <w:rFonts w:hint="default" w:ascii="Times New Roman" w:hAnsi="Times New Roman" w:cs="Times New Roman"/>
                      <w:b/>
                      <w:bCs/>
                      <w:color w:val="auto"/>
                    </w:rPr>
                  </w:pPr>
                  <w:r>
                    <w:rPr>
                      <w:rFonts w:hint="default" w:ascii="Times New Roman" w:hAnsi="Times New Roman" w:cs="Times New Roman"/>
                      <w:b/>
                      <w:bCs/>
                      <w:color w:val="auto"/>
                    </w:rPr>
                    <w:t>施工期</w:t>
                  </w:r>
                </w:p>
              </w:tc>
              <w:tc>
                <w:tcPr>
                  <w:tcW w:w="477" w:type="pct"/>
                </w:tcPr>
                <w:p>
                  <w:pPr>
                    <w:pStyle w:val="238"/>
                    <w:adjustRightInd w:val="0"/>
                    <w:snapToGrid w:val="0"/>
                    <w:spacing w:before="48" w:beforeLines="20" w:after="48" w:afterLines="20" w:line="240" w:lineRule="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运营</w:t>
                  </w:r>
                  <w:r>
                    <w:rPr>
                      <w:rFonts w:hint="default" w:ascii="Times New Roman" w:hAnsi="Times New Roman" w:cs="Times New Roman"/>
                      <w:b/>
                      <w:bCs/>
                      <w:color w:val="auto"/>
                    </w:rPr>
                    <w:t>期</w:t>
                  </w:r>
                </w:p>
              </w:tc>
              <w:tc>
                <w:tcPr>
                  <w:tcW w:w="416" w:type="pct"/>
                  <w:vAlign w:val="center"/>
                </w:tcPr>
                <w:p>
                  <w:pPr>
                    <w:pStyle w:val="238"/>
                    <w:adjustRightInd w:val="0"/>
                    <w:snapToGrid w:val="0"/>
                    <w:spacing w:before="48" w:beforeLines="20" w:after="48" w:afterLines="20" w:line="240" w:lineRule="auto"/>
                    <w:rPr>
                      <w:rFonts w:hint="default" w:ascii="Times New Roman" w:hAnsi="Times New Roman" w:cs="Times New Roman"/>
                      <w:b/>
                      <w:bCs/>
                      <w:color w:val="auto"/>
                    </w:rPr>
                  </w:pPr>
                  <w:r>
                    <w:rPr>
                      <w:rFonts w:hint="default" w:ascii="Times New Roman" w:hAnsi="Times New Roman" w:cs="Times New Roman"/>
                      <w:b/>
                      <w:bCs/>
                      <w:color w:val="auto"/>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主体工程</w:t>
                  </w:r>
                </w:p>
              </w:tc>
              <w:tc>
                <w:tcPr>
                  <w:tcW w:w="40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防洪</w:t>
                  </w:r>
                </w:p>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工程</w:t>
                  </w:r>
                </w:p>
              </w:tc>
              <w:tc>
                <w:tcPr>
                  <w:tcW w:w="2751" w:type="pct"/>
                  <w:vAlign w:val="center"/>
                </w:tcPr>
                <w:p>
                  <w:pPr>
                    <w:keepNext w:val="0"/>
                    <w:keepLines w:val="0"/>
                    <w:pageBreakBefore w:val="0"/>
                    <w:widowControl w:val="0"/>
                    <w:kinsoku/>
                    <w:wordWrap/>
                    <w:overflowPunct/>
                    <w:topLinePunct w:val="0"/>
                    <w:autoSpaceDE/>
                    <w:autoSpaceDN/>
                    <w:bidi w:val="0"/>
                    <w:spacing w:line="240" w:lineRule="auto"/>
                    <w:ind w:firstLine="0"/>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rPr>
                    <w:t>河道治理综合长度1490.00m，</w:t>
                  </w:r>
                  <w:r>
                    <w:rPr>
                      <w:rFonts w:hint="default" w:ascii="Times New Roman" w:hAnsi="Times New Roman" w:cs="Times New Roman"/>
                      <w:color w:val="auto"/>
                      <w:kern w:val="0"/>
                      <w:sz w:val="21"/>
                      <w:szCs w:val="21"/>
                      <w:lang w:val="en-US" w:eastAsia="zh-CN"/>
                    </w:rPr>
                    <w:t>新建</w:t>
                  </w:r>
                  <w:r>
                    <w:rPr>
                      <w:rFonts w:hint="default" w:ascii="Times New Roman" w:hAnsi="Times New Roman" w:cs="Times New Roman"/>
                      <w:color w:val="auto"/>
                      <w:sz w:val="21"/>
                      <w:szCs w:val="21"/>
                    </w:rPr>
                    <w:t>4段护岸堤，长度合计1135.06m</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对芝溪河明月镇河段左岸新建护岸堤。芝溪河左一段护岸长度271.90m（桩号为：芝左一0+000.00～芝左一0+271.90），上游起始于望江楼桥（105°37′13.80″，30°44′35.01″），止于下游已建护岸堤（105°37′9.38″，30°44′27.57″），为泥岩石渣填筑的复合式斜坡护岸堤。</w:t>
                  </w:r>
                </w:p>
                <w:p>
                  <w:pPr>
                    <w:keepNext w:val="0"/>
                    <w:keepLines w:val="0"/>
                    <w:pageBreakBefore w:val="0"/>
                    <w:widowControl w:val="0"/>
                    <w:kinsoku/>
                    <w:wordWrap/>
                    <w:overflowPunct/>
                    <w:topLinePunct w:val="0"/>
                    <w:autoSpaceDE/>
                    <w:autoSpaceDN/>
                    <w:bidi w:val="0"/>
                    <w:spacing w:line="240" w:lineRule="auto"/>
                    <w:ind w:firstLine="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芝溪河左二段护岸长度271.30m（桩号为：芝左二0+000.00～芝左二0+271.30），上游起点接已建护岸堤（105°36′49.00″，30°44′22.60″），止于河五沟小桥处（105°36′40.81″，30°44′20.24″），为斜坡式护岸堤。</w:t>
                  </w:r>
                </w:p>
                <w:p>
                  <w:pPr>
                    <w:keepNext w:val="0"/>
                    <w:keepLines w:val="0"/>
                    <w:pageBreakBefore w:val="0"/>
                    <w:widowControl w:val="0"/>
                    <w:kinsoku/>
                    <w:wordWrap/>
                    <w:overflowPunct/>
                    <w:topLinePunct w:val="0"/>
                    <w:autoSpaceDE/>
                    <w:autoSpaceDN/>
                    <w:bidi w:val="0"/>
                    <w:spacing w:line="240" w:lineRule="auto"/>
                    <w:ind w:firstLine="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芝溪河左三段护岸长度318.96m（桩号为：芝左三0+000.00～芝左三0+318.96），上游起点接已建堡坎（105°36′36.66″，30°44′20.75″），止于污水处理厂泵站旁山体（105°36′25.58″，30°44′18.45″），为斜坡式护岸堤。</w:t>
                  </w:r>
                </w:p>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default" w:ascii="Times New Roman" w:hAnsi="Times New Roman" w:cs="Times New Roman"/>
                      <w:color w:val="FF0000"/>
                      <w:szCs w:val="21"/>
                    </w:rPr>
                  </w:pPr>
                  <w:r>
                    <w:rPr>
                      <w:rFonts w:hint="default" w:ascii="Times New Roman" w:hAnsi="Times New Roman" w:cs="Times New Roman"/>
                      <w:color w:val="auto"/>
                      <w:sz w:val="21"/>
                      <w:szCs w:val="21"/>
                    </w:rPr>
                    <w:t>牛家河左岸段护岸长度272.90m（桩号为：牛左0+000.00～牛左0+272.90），起于牛家河前锋桥上游260m处石河堰左岸岸坡（105°36′47.27″，30°44′34.26″），止于前锋桥桥墩（105°36′56.58″，30°44′31.26″）</w:t>
                  </w:r>
                  <w:r>
                    <w:rPr>
                      <w:rFonts w:hint="eastAsia" w:ascii="Times New Roman" w:hAnsi="Times New Roman" w:cs="Times New Roman"/>
                      <w:color w:val="auto"/>
                      <w:sz w:val="21"/>
                      <w:szCs w:val="21"/>
                      <w:lang w:eastAsia="zh-CN"/>
                    </w:rPr>
                    <w:t>。</w:t>
                  </w:r>
                </w:p>
              </w:tc>
              <w:tc>
                <w:tcPr>
                  <w:tcW w:w="510" w:type="pct"/>
                  <w:vMerge w:val="restar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FF0000"/>
                      <w:lang w:val="en-US" w:eastAsia="zh-CN"/>
                    </w:rPr>
                  </w:pPr>
                  <w:r>
                    <w:rPr>
                      <w:rFonts w:hint="default" w:ascii="Times New Roman" w:hAnsi="Times New Roman" w:cs="Times New Roman"/>
                      <w:color w:val="auto"/>
                    </w:rPr>
                    <w:t>施工废水</w:t>
                  </w:r>
                  <w:r>
                    <w:rPr>
                      <w:rFonts w:hint="eastAsia" w:ascii="Times New Roman" w:hAnsi="Times New Roman" w:cs="Times New Roman"/>
                      <w:color w:val="auto"/>
                      <w:lang w:eastAsia="zh-CN"/>
                    </w:rPr>
                    <w:t>、</w:t>
                  </w:r>
                  <w:r>
                    <w:rPr>
                      <w:rFonts w:hint="default" w:ascii="Times New Roman" w:hAnsi="Times New Roman" w:cs="Times New Roman"/>
                      <w:color w:val="auto"/>
                    </w:rPr>
                    <w:t>施工扬尘</w:t>
                  </w:r>
                  <w:r>
                    <w:rPr>
                      <w:rFonts w:hint="eastAsia" w:ascii="Times New Roman" w:hAnsi="Times New Roman" w:cs="Times New Roman"/>
                      <w:color w:val="auto"/>
                      <w:lang w:eastAsia="zh-CN"/>
                    </w:rPr>
                    <w:t>、</w:t>
                  </w:r>
                  <w:r>
                    <w:rPr>
                      <w:rFonts w:hint="default" w:ascii="Times New Roman" w:hAnsi="Times New Roman" w:cs="Times New Roman"/>
                      <w:color w:val="auto"/>
                    </w:rPr>
                    <w:t>施工固废</w:t>
                  </w:r>
                  <w:r>
                    <w:rPr>
                      <w:rFonts w:hint="eastAsia" w:ascii="Times New Roman" w:hAnsi="Times New Roman" w:cs="Times New Roman"/>
                      <w:color w:val="auto"/>
                      <w:lang w:eastAsia="zh-CN"/>
                    </w:rPr>
                    <w:t>、</w:t>
                  </w:r>
                  <w:r>
                    <w:rPr>
                      <w:rFonts w:hint="default" w:ascii="Times New Roman" w:hAnsi="Times New Roman" w:cs="Times New Roman"/>
                      <w:color w:val="auto"/>
                    </w:rPr>
                    <w:t>施工噪声</w:t>
                  </w:r>
                  <w:r>
                    <w:rPr>
                      <w:rFonts w:hint="eastAsia" w:ascii="Times New Roman" w:hAnsi="Times New Roman" w:cs="Times New Roman"/>
                      <w:color w:val="auto"/>
                      <w:lang w:eastAsia="zh-CN"/>
                    </w:rPr>
                    <w:t>、</w:t>
                  </w:r>
                  <w:r>
                    <w:rPr>
                      <w:rFonts w:hint="default" w:ascii="Times New Roman" w:hAnsi="Times New Roman" w:cs="Times New Roman"/>
                      <w:color w:val="auto"/>
                    </w:rPr>
                    <w:t>植被破坏</w:t>
                  </w:r>
                  <w:r>
                    <w:rPr>
                      <w:rFonts w:hint="eastAsia" w:ascii="Times New Roman" w:hAnsi="Times New Roman" w:cs="Times New Roman"/>
                      <w:color w:val="auto"/>
                      <w:lang w:eastAsia="zh-CN"/>
                    </w:rPr>
                    <w:t>、</w:t>
                  </w:r>
                  <w:r>
                    <w:rPr>
                      <w:rFonts w:hint="default" w:ascii="Times New Roman" w:hAnsi="Times New Roman" w:cs="Times New Roman"/>
                      <w:color w:val="auto"/>
                    </w:rPr>
                    <w:t>水土流失</w:t>
                  </w:r>
                </w:p>
              </w:tc>
              <w:tc>
                <w:tcPr>
                  <w:tcW w:w="47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restar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附属工程</w:t>
                  </w:r>
                </w:p>
              </w:tc>
              <w:tc>
                <w:tcPr>
                  <w:tcW w:w="407" w:type="pct"/>
                  <w:vAlign w:val="center"/>
                </w:tcPr>
                <w:p>
                  <w:pPr>
                    <w:pStyle w:val="238"/>
                    <w:adjustRightInd w:val="0"/>
                    <w:snapToGrid w:val="0"/>
                    <w:spacing w:before="48" w:beforeLines="20" w:after="48" w:afterLines="20" w:line="240" w:lineRule="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lang w:val="en-US" w:eastAsia="zh-CN"/>
                    </w:rPr>
                    <w:t>穿堤建筑物</w:t>
                  </w:r>
                </w:p>
              </w:tc>
              <w:tc>
                <w:tcPr>
                  <w:tcW w:w="2751" w:type="pct"/>
                  <w:vAlign w:val="center"/>
                </w:tcPr>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本工程共布设</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处穿堤涵管和1处穿堤箱涵。由于排涝流量较小，拟采用穿堤涵管自流排水，涵管采用管径</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m的承插式预制砼管；排洪流量较大</w:t>
                  </w:r>
                  <w:r>
                    <w:rPr>
                      <w:rFonts w:hint="eastAsia"/>
                      <w:color w:val="000000" w:themeColor="text1"/>
                      <w:lang w:val="en-US" w:eastAsia="zh-CN"/>
                      <w14:textFill>
                        <w14:solidFill>
                          <w14:schemeClr w14:val="tx1"/>
                        </w14:solidFill>
                      </w14:textFill>
                    </w:rPr>
                    <w:t>的位置</w:t>
                  </w:r>
                  <w:r>
                    <w:rPr>
                      <w:rFonts w:hint="eastAsia"/>
                      <w:color w:val="000000" w:themeColor="text1"/>
                      <w14:textFill>
                        <w14:solidFill>
                          <w14:schemeClr w14:val="tx1"/>
                        </w14:solidFill>
                      </w14:textFill>
                    </w:rPr>
                    <w:t>，为与原排洪沟衔接，拟定C</w:t>
                  </w:r>
                  <w:r>
                    <w:rPr>
                      <w:color w:val="000000" w:themeColor="text1"/>
                      <w14:textFill>
                        <w14:solidFill>
                          <w14:schemeClr w14:val="tx1"/>
                        </w14:solidFill>
                      </w14:textFill>
                    </w:rPr>
                    <w:t>30钢筋砼</w:t>
                  </w:r>
                  <w:r>
                    <w:rPr>
                      <w:rFonts w:hint="eastAsia"/>
                      <w:color w:val="000000" w:themeColor="text1"/>
                      <w14:textFill>
                        <w14:solidFill>
                          <w14:schemeClr w14:val="tx1"/>
                        </w14:solidFill>
                      </w14:textFill>
                    </w:rPr>
                    <w:t>箱涵结构排洪。</w:t>
                  </w:r>
                </w:p>
                <w:p>
                  <w:pPr>
                    <w:spacing w:line="240" w:lineRule="auto"/>
                    <w:rPr>
                      <w:rFonts w:hint="eastAsia" w:ascii="Times New Roman" w:hAnsi="Times New Roman" w:eastAsia="宋体" w:cs="Times New Roman"/>
                      <w:color w:val="auto"/>
                      <w:kern w:val="2"/>
                      <w:sz w:val="21"/>
                      <w:szCs w:val="21"/>
                      <w:lang w:val="en-US" w:eastAsia="zh-CN" w:bidi="ar-SA"/>
                    </w:rPr>
                  </w:pPr>
                  <w:r>
                    <w:rPr>
                      <w:rFonts w:hint="eastAsia"/>
                      <w:color w:val="000000" w:themeColor="text1"/>
                      <w14:textFill>
                        <w14:solidFill>
                          <w14:schemeClr w14:val="tx1"/>
                        </w14:solidFill>
                      </w14:textFill>
                    </w:rPr>
                    <w:t>为防止洪水倒灌，穿堤涵管出口处设置拍门。当河道水位较低时拍门自动打开排水，当河道水位较高时拍门关闭防止倒灌。</w:t>
                  </w:r>
                </w:p>
              </w:tc>
              <w:tc>
                <w:tcPr>
                  <w:tcW w:w="510"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p>
              </w:tc>
              <w:tc>
                <w:tcPr>
                  <w:tcW w:w="477" w:type="pct"/>
                  <w:vAlign w:val="center"/>
                </w:tcPr>
                <w:p>
                  <w:pPr>
                    <w:pStyle w:val="238"/>
                    <w:adjustRightInd w:val="0"/>
                    <w:snapToGrid w:val="0"/>
                    <w:spacing w:before="48" w:beforeLines="20" w:after="48" w:afterLines="20"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416"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下河步梯</w:t>
                  </w:r>
                </w:p>
              </w:tc>
              <w:tc>
                <w:tcPr>
                  <w:tcW w:w="27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eastAsia" w:ascii="Times New Roman" w:hAnsi="Times New Roman" w:eastAsia="宋体" w:cs="Times New Roman"/>
                      <w:color w:val="auto"/>
                      <w:sz w:val="21"/>
                      <w:szCs w:val="21"/>
                      <w:lang w:eastAsia="zh-CN"/>
                    </w:rPr>
                  </w:pPr>
                  <w:r>
                    <w:rPr>
                      <w:rFonts w:hint="eastAsia"/>
                      <w:color w:val="000000" w:themeColor="text1"/>
                      <w14:textFill>
                        <w14:solidFill>
                          <w14:schemeClr w14:val="tx1"/>
                        </w14:solidFill>
                      </w14:textFill>
                    </w:rPr>
                    <w:t>本次</w:t>
                  </w:r>
                  <w:r>
                    <w:rPr>
                      <w:rFonts w:hint="eastAsia"/>
                      <w:color w:val="000000" w:themeColor="text1"/>
                      <w:lang w:val="en-US" w:eastAsia="zh-CN"/>
                      <w14:textFill>
                        <w14:solidFill>
                          <w14:schemeClr w14:val="tx1"/>
                        </w14:solidFill>
                      </w14:textFill>
                    </w:rPr>
                    <w:t>工程</w:t>
                  </w:r>
                  <w:r>
                    <w:rPr>
                      <w:rFonts w:hint="eastAsia"/>
                      <w:color w:val="000000" w:themeColor="text1"/>
                      <w14:textFill>
                        <w14:solidFill>
                          <w14:schemeClr w14:val="tx1"/>
                        </w14:solidFill>
                      </w14:textFill>
                    </w:rPr>
                    <w:t>每段护岸堤均设置一处下河梯步，且在望江楼桥处增设一处梯步，共设置5处</w:t>
                  </w:r>
                  <w:r>
                    <w:rPr>
                      <w:rFonts w:hint="eastAsia"/>
                      <w:color w:val="000000" w:themeColor="text1"/>
                      <w:lang w:eastAsia="zh-CN"/>
                      <w14:textFill>
                        <w14:solidFill>
                          <w14:schemeClr w14:val="tx1"/>
                        </w14:solidFill>
                      </w14:textFill>
                    </w:rPr>
                    <w:t>。</w:t>
                  </w:r>
                </w:p>
              </w:tc>
              <w:tc>
                <w:tcPr>
                  <w:tcW w:w="510"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p>
              </w:tc>
              <w:tc>
                <w:tcPr>
                  <w:tcW w:w="477" w:type="pct"/>
                  <w:vAlign w:val="center"/>
                </w:tcPr>
                <w:p>
                  <w:pPr>
                    <w:pStyle w:val="238"/>
                    <w:adjustRightInd w:val="0"/>
                    <w:snapToGrid w:val="0"/>
                    <w:spacing w:before="48" w:beforeLines="20" w:after="48" w:afterLines="20"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416" w:type="pct"/>
                  <w:vAlign w:val="center"/>
                </w:tcPr>
                <w:p>
                  <w:pPr>
                    <w:pStyle w:val="238"/>
                    <w:adjustRightInd w:val="0"/>
                    <w:snapToGrid w:val="0"/>
                    <w:spacing w:before="48" w:beforeLines="20" w:after="48" w:afterLines="20"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rPr>
                      <w:rFonts w:hint="eastAsia" w:ascii="Times New Roman" w:hAnsi="Times New Roman" w:cs="Times New Roman"/>
                      <w:color w:val="auto"/>
                      <w:lang w:val="en-US" w:eastAsia="zh-CN"/>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污水管网</w:t>
                  </w:r>
                </w:p>
              </w:tc>
              <w:tc>
                <w:tcPr>
                  <w:tcW w:w="2751"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textAlignment w:val="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由于堤防修建，侵占原污水管，需对污水管进行调整</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改迁污水管在原址处平移到合适位置，管道中心线高程与原管道中心线高程保持一致。新建污水管采用PE管，主管在转弯及平直30m间隔设置C20砼镇墩，同时根据污水管现状布置</w:t>
                  </w:r>
                  <w:r>
                    <w:rPr>
                      <w:color w:val="000000" w:themeColor="text1"/>
                      <w14:textFill>
                        <w14:solidFill>
                          <w14:schemeClr w14:val="tx1"/>
                        </w14:solidFill>
                      </w14:textFill>
                    </w:rPr>
                    <w:t>15</w:t>
                  </w:r>
                  <w:r>
                    <w:rPr>
                      <w:rFonts w:hint="eastAsia"/>
                      <w:color w:val="000000" w:themeColor="text1"/>
                      <w14:textFill>
                        <w14:solidFill>
                          <w14:schemeClr w14:val="tx1"/>
                        </w14:solidFill>
                      </w14:textFill>
                    </w:rPr>
                    <w:t>座检查井</w:t>
                  </w:r>
                  <w:r>
                    <w:rPr>
                      <w:rFonts w:hint="eastAsia"/>
                      <w:color w:val="000000" w:themeColor="text1"/>
                      <w:lang w:eastAsia="zh-CN"/>
                      <w14:textFill>
                        <w14:solidFill>
                          <w14:schemeClr w14:val="tx1"/>
                        </w14:solidFill>
                      </w14:textFill>
                    </w:rPr>
                    <w:t>。</w:t>
                  </w:r>
                </w:p>
              </w:tc>
              <w:tc>
                <w:tcPr>
                  <w:tcW w:w="510"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p>
              </w:tc>
              <w:tc>
                <w:tcPr>
                  <w:tcW w:w="477" w:type="pct"/>
                  <w:vAlign w:val="center"/>
                </w:tcPr>
                <w:p>
                  <w:pPr>
                    <w:pStyle w:val="238"/>
                    <w:adjustRightInd w:val="0"/>
                    <w:snapToGrid w:val="0"/>
                    <w:spacing w:before="48" w:beforeLines="20" w:after="48" w:afterLines="20"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416"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改建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restart"/>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r>
                    <w:rPr>
                      <w:rFonts w:hint="default" w:ascii="Times New Roman" w:hAnsi="Times New Roman" w:cs="Times New Roman"/>
                      <w:color w:val="auto"/>
                    </w:rPr>
                    <w:t>临时工程</w:t>
                  </w:r>
                </w:p>
              </w:tc>
              <w:tc>
                <w:tcPr>
                  <w:tcW w:w="40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施工</w:t>
                  </w:r>
                </w:p>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道路</w:t>
                  </w:r>
                </w:p>
              </w:tc>
              <w:tc>
                <w:tcPr>
                  <w:tcW w:w="2751" w:type="pct"/>
                  <w:vAlign w:val="center"/>
                </w:tcPr>
                <w:p>
                  <w:pPr>
                    <w:numPr>
                      <w:ilvl w:val="0"/>
                      <w:numId w:val="0"/>
                    </w:numPr>
                    <w:adjustRightInd w:val="0"/>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lang w:eastAsia="zh-CN"/>
                    </w:rPr>
                    <w:t>施工区场内</w:t>
                  </w:r>
                  <w:r>
                    <w:rPr>
                      <w:rFonts w:hint="default" w:ascii="Times New Roman" w:hAnsi="Times New Roman" w:cs="Times New Roman"/>
                      <w:color w:val="auto"/>
                      <w:szCs w:val="21"/>
                    </w:rPr>
                    <w:t>有沿河岸线的村道，交通路网完善，基本能够满足场内施工要求。</w:t>
                  </w:r>
                  <w:r>
                    <w:rPr>
                      <w:rFonts w:hint="eastAsia" w:cs="Times New Roman"/>
                      <w:color w:val="auto"/>
                      <w:szCs w:val="21"/>
                      <w:lang w:val="en-US" w:eastAsia="zh-CN"/>
                    </w:rPr>
                    <w:t>施工时</w:t>
                  </w:r>
                  <w:r>
                    <w:rPr>
                      <w:rFonts w:hint="default" w:ascii="Times New Roman" w:hAnsi="Times New Roman" w:cs="Times New Roman"/>
                      <w:color w:val="auto"/>
                      <w:szCs w:val="21"/>
                    </w:rPr>
                    <w:t>需在每段堤防工程区修建长度500m左右，宽4.0m的施工临时便道。</w:t>
                  </w:r>
                </w:p>
              </w:tc>
              <w:tc>
                <w:tcPr>
                  <w:tcW w:w="510" w:type="pct"/>
                  <w:vMerge w:val="continue"/>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p>
              </w:tc>
              <w:tc>
                <w:tcPr>
                  <w:tcW w:w="47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eastAsia" w:ascii="Times New Roman" w:hAnsi="Times New Roman" w:cs="Times New Roman"/>
                      <w:color w:val="auto"/>
                      <w:lang w:val="en-US" w:eastAsia="zh-CN"/>
                    </w:rPr>
                    <w:t>设备</w:t>
                  </w:r>
                  <w:r>
                    <w:rPr>
                      <w:rFonts w:hint="default" w:ascii="Times New Roman" w:hAnsi="Times New Roman" w:cs="Times New Roman"/>
                      <w:color w:val="auto"/>
                    </w:rPr>
                    <w:t>维修</w:t>
                  </w: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本工程施工机械及设备大修委托</w:t>
                  </w:r>
                  <w:r>
                    <w:rPr>
                      <w:rFonts w:hint="eastAsia" w:ascii="Times New Roman" w:hAnsi="Times New Roman" w:cs="Times New Roman"/>
                      <w:color w:val="auto"/>
                      <w:lang w:val="en-US" w:eastAsia="zh-CN"/>
                    </w:rPr>
                    <w:t>明月</w:t>
                  </w:r>
                  <w:r>
                    <w:rPr>
                      <w:rFonts w:hint="default" w:ascii="Times New Roman" w:hAnsi="Times New Roman" w:cs="Times New Roman"/>
                      <w:color w:val="auto"/>
                      <w:lang w:val="en-US" w:eastAsia="zh-CN"/>
                    </w:rPr>
                    <w:t>镇</w:t>
                  </w:r>
                  <w:r>
                    <w:rPr>
                      <w:rFonts w:hint="default" w:ascii="Times New Roman" w:hAnsi="Times New Roman" w:cs="Times New Roman"/>
                      <w:color w:val="auto"/>
                    </w:rPr>
                    <w:t>机械及汽车修理企业，施工现场不设大型机械修配厂和汽车保养站。</w:t>
                  </w:r>
                </w:p>
              </w:tc>
              <w:tc>
                <w:tcPr>
                  <w:tcW w:w="510"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p>
              </w:tc>
              <w:tc>
                <w:tcPr>
                  <w:tcW w:w="47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混凝土拌合系统</w:t>
                  </w: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混凝土拌和站按照工区设置一台0.4m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混凝土拌和机，共设1座混凝土拌和站。</w:t>
                  </w:r>
                </w:p>
              </w:tc>
              <w:tc>
                <w:tcPr>
                  <w:tcW w:w="510" w:type="pct"/>
                  <w:vMerge w:val="continue"/>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p>
              </w:tc>
              <w:tc>
                <w:tcPr>
                  <w:tcW w:w="477"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416"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施工场地</w:t>
                  </w: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根据堤防工程的分布，为便于施工管理，本堤防工程设置1个施工场地，位于芝左二0+080.00</w:t>
                  </w:r>
                  <w:r>
                    <w:rPr>
                      <w:rFonts w:hint="default" w:ascii="Times New Roman" w:hAnsi="Times New Roman" w:cs="Times New Roman"/>
                      <w:color w:val="auto"/>
                      <w:lang w:val="en-US" w:eastAsia="zh-CN"/>
                    </w:rPr>
                    <w:t>处</w:t>
                  </w:r>
                  <w:r>
                    <w:rPr>
                      <w:rFonts w:hint="default" w:ascii="Times New Roman" w:hAnsi="Times New Roman" w:cs="Times New Roman"/>
                      <w:color w:val="auto"/>
                    </w:rPr>
                    <w:t>，占地面积约</w:t>
                  </w:r>
                  <w:r>
                    <w:rPr>
                      <w:rFonts w:hint="default" w:ascii="Times New Roman" w:hAnsi="Times New Roman" w:cs="Times New Roman"/>
                      <w:color w:val="auto"/>
                      <w:lang w:val="en-US" w:eastAsia="zh-CN"/>
                    </w:rPr>
                    <w:t>80</w:t>
                  </w:r>
                  <w:r>
                    <w:rPr>
                      <w:rFonts w:hint="default" w:ascii="Times New Roman" w:hAnsi="Times New Roman" w:cs="Times New Roman"/>
                      <w:color w:val="auto"/>
                    </w:rPr>
                    <w:t>0m</w:t>
                  </w:r>
                  <w:r>
                    <w:rPr>
                      <w:rFonts w:hint="default" w:ascii="Times New Roman" w:hAnsi="Times New Roman" w:cs="Times New Roman"/>
                      <w:color w:val="auto"/>
                      <w:vertAlign w:val="superscript"/>
                    </w:rPr>
                    <w:t>2</w:t>
                  </w:r>
                  <w:r>
                    <w:rPr>
                      <w:rFonts w:hint="default" w:ascii="Times New Roman" w:hAnsi="Times New Roman" w:cs="Times New Roman"/>
                      <w:color w:val="auto"/>
                    </w:rPr>
                    <w:t>，场地内主要设置</w:t>
                  </w:r>
                  <w:r>
                    <w:rPr>
                      <w:rFonts w:hint="default" w:ascii="Times New Roman" w:hAnsi="Times New Roman" w:cs="Times New Roman"/>
                      <w:color w:val="auto"/>
                      <w:lang w:val="en-US" w:eastAsia="zh-CN"/>
                    </w:rPr>
                    <w:t>1个综合仓库、1个钢木材加工房、1个机械设备停放场、1</w:t>
                  </w:r>
                  <w:r>
                    <w:rPr>
                      <w:rFonts w:hint="eastAsia" w:ascii="Times New Roman" w:hAnsi="Times New Roman" w:cs="Times New Roman"/>
                      <w:color w:val="auto"/>
                      <w:lang w:val="en-US" w:eastAsia="zh-CN"/>
                    </w:rPr>
                    <w:t>个混凝土拌合站和预制场</w:t>
                  </w:r>
                  <w:r>
                    <w:rPr>
                      <w:rFonts w:hint="default" w:ascii="Times New Roman" w:hAnsi="Times New Roman" w:cs="Times New Roman"/>
                      <w:color w:val="auto"/>
                    </w:rPr>
                    <w:t>以及</w:t>
                  </w:r>
                  <w:r>
                    <w:rPr>
                      <w:rFonts w:hint="eastAsia" w:ascii="Times New Roman" w:hAnsi="Times New Roman" w:cs="Times New Roman"/>
                      <w:color w:val="auto"/>
                      <w:lang w:val="en-US" w:eastAsia="zh-CN"/>
                    </w:rPr>
                    <w:t>水泥库</w:t>
                  </w:r>
                  <w:r>
                    <w:rPr>
                      <w:rFonts w:hint="default" w:ascii="Times New Roman" w:hAnsi="Times New Roman" w:cs="Times New Roman"/>
                      <w:color w:val="auto"/>
                    </w:rPr>
                    <w:t>。</w:t>
                  </w:r>
                </w:p>
              </w:tc>
              <w:tc>
                <w:tcPr>
                  <w:tcW w:w="510" w:type="pct"/>
                  <w:vMerge w:val="continue"/>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FF0000"/>
                      <w:lang w:val="en-US" w:eastAsia="zh-CN"/>
                    </w:rPr>
                  </w:pPr>
                </w:p>
              </w:tc>
              <w:tc>
                <w:tcPr>
                  <w:tcW w:w="47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导流方式</w:t>
                  </w:r>
                </w:p>
              </w:tc>
              <w:tc>
                <w:tcPr>
                  <w:tcW w:w="2751" w:type="pct"/>
                  <w:vAlign w:val="center"/>
                </w:tcPr>
                <w:p>
                  <w:pPr>
                    <w:spacing w:line="240" w:lineRule="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kern w:val="0"/>
                      <w:sz w:val="21"/>
                      <w:szCs w:val="21"/>
                      <w:lang w:val="en-US" w:eastAsia="zh-CN" w:bidi="ar-SA"/>
                    </w:rPr>
                    <w:t>本工程施工导流方式为分段填筑纵向围堰束窄河段河床的方式进行施工导流，施工导流围堰采用开挖的石填筑围堰</w:t>
                  </w:r>
                  <w:r>
                    <w:rPr>
                      <w:rFonts w:hint="default" w:ascii="Times New Roman" w:hAnsi="Times New Roman" w:eastAsia="宋体" w:cs="Times New Roman"/>
                      <w:color w:val="auto"/>
                      <w:kern w:val="0"/>
                      <w:sz w:val="21"/>
                      <w:szCs w:val="21"/>
                      <w:lang w:val="en-US" w:eastAsia="zh-CN" w:bidi="ar-SA"/>
                    </w:rPr>
                    <w:t>。</w:t>
                  </w:r>
                </w:p>
              </w:tc>
              <w:tc>
                <w:tcPr>
                  <w:tcW w:w="510"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p>
              </w:tc>
              <w:tc>
                <w:tcPr>
                  <w:tcW w:w="477"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416"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临时堆料场</w:t>
                  </w: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本项目</w:t>
                  </w:r>
                  <w:r>
                    <w:rPr>
                      <w:rFonts w:hint="eastAsia" w:ascii="Times New Roman" w:hAnsi="Times New Roman" w:cs="Times New Roman"/>
                      <w:color w:val="auto"/>
                      <w:lang w:val="en-US" w:eastAsia="zh-CN"/>
                    </w:rPr>
                    <w:t>不设置</w:t>
                  </w:r>
                  <w:r>
                    <w:rPr>
                      <w:rFonts w:hint="default" w:ascii="Times New Roman" w:hAnsi="Times New Roman" w:cs="Times New Roman"/>
                      <w:color w:val="auto"/>
                    </w:rPr>
                    <w:t>临时堆料场</w:t>
                  </w:r>
                  <w:r>
                    <w:rPr>
                      <w:rFonts w:hint="eastAsia" w:ascii="Times New Roman" w:hAnsi="Times New Roman" w:cs="Times New Roman"/>
                      <w:color w:val="auto"/>
                      <w:lang w:eastAsia="zh-CN"/>
                    </w:rPr>
                    <w:t>，</w:t>
                  </w:r>
                  <w:r>
                    <w:rPr>
                      <w:rFonts w:hint="default" w:ascii="Times New Roman" w:hAnsi="Times New Roman" w:cs="Times New Roman"/>
                      <w:color w:val="auto"/>
                      <w:lang w:val="en-US" w:eastAsia="zh-CN"/>
                    </w:rPr>
                    <w:t>施工</w:t>
                  </w:r>
                  <w:r>
                    <w:rPr>
                      <w:rFonts w:hint="eastAsia" w:ascii="Times New Roman" w:hAnsi="Times New Roman" w:cs="Times New Roman"/>
                      <w:color w:val="auto"/>
                      <w:lang w:val="en-US" w:eastAsia="zh-CN"/>
                    </w:rPr>
                    <w:t>剥离</w:t>
                  </w:r>
                  <w:r>
                    <w:rPr>
                      <w:rFonts w:hint="default" w:ascii="Times New Roman" w:hAnsi="Times New Roman" w:cs="Times New Roman"/>
                      <w:color w:val="auto"/>
                      <w:lang w:val="en-US" w:eastAsia="zh-CN"/>
                    </w:rPr>
                    <w:t>表土临时堆放至堤后弃渣回填区，后期用框格绿化覆土</w:t>
                  </w:r>
                  <w:r>
                    <w:rPr>
                      <w:rFonts w:hint="eastAsia" w:ascii="Times New Roman" w:hAnsi="Times New Roman" w:cs="Times New Roman"/>
                      <w:color w:val="auto"/>
                      <w:lang w:val="en-US" w:eastAsia="zh-CN"/>
                    </w:rPr>
                    <w:t>。</w:t>
                  </w:r>
                </w:p>
              </w:tc>
              <w:tc>
                <w:tcPr>
                  <w:tcW w:w="510"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p>
              </w:tc>
              <w:tc>
                <w:tcPr>
                  <w:tcW w:w="47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restart"/>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r>
                    <w:rPr>
                      <w:rFonts w:hint="default" w:ascii="Times New Roman" w:hAnsi="Times New Roman" w:cs="Times New Roman"/>
                      <w:color w:val="auto"/>
                    </w:rPr>
                    <w:t>公用工程</w:t>
                  </w:r>
                </w:p>
              </w:tc>
              <w:tc>
                <w:tcPr>
                  <w:tcW w:w="40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r>
                    <w:rPr>
                      <w:rFonts w:hint="default" w:ascii="Times New Roman" w:hAnsi="Times New Roman" w:cs="Times New Roman"/>
                      <w:color w:val="auto"/>
                    </w:rPr>
                    <w:t>供水</w:t>
                  </w: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FF0000"/>
                    </w:rPr>
                  </w:pPr>
                  <w:r>
                    <w:rPr>
                      <w:rFonts w:hint="default" w:ascii="Times New Roman" w:hAnsi="Times New Roman" w:cs="Times New Roman"/>
                      <w:color w:val="auto"/>
                    </w:rPr>
                    <w:t>施工用水采用水泵从河中直接抽取。生活用水依托租用</w:t>
                  </w:r>
                  <w:r>
                    <w:rPr>
                      <w:rFonts w:hint="eastAsia" w:ascii="Times New Roman" w:hAnsi="Times New Roman" w:cs="Times New Roman"/>
                      <w:color w:val="auto"/>
                      <w:lang w:val="en-US" w:eastAsia="zh-CN"/>
                    </w:rPr>
                    <w:t>民房</w:t>
                  </w:r>
                  <w:r>
                    <w:rPr>
                      <w:rFonts w:hint="default" w:ascii="Times New Roman" w:hAnsi="Times New Roman" w:cs="Times New Roman"/>
                      <w:color w:val="auto"/>
                    </w:rPr>
                    <w:t>管网集中供水。</w:t>
                  </w:r>
                </w:p>
              </w:tc>
              <w:tc>
                <w:tcPr>
                  <w:tcW w:w="510" w:type="pct"/>
                  <w:vAlign w:val="center"/>
                </w:tcPr>
                <w:p>
                  <w:pPr>
                    <w:pStyle w:val="238"/>
                    <w:adjustRightInd w:val="0"/>
                    <w:snapToGrid w:val="0"/>
                    <w:spacing w:line="240" w:lineRule="auto"/>
                    <w:rPr>
                      <w:rFonts w:hint="default" w:ascii="Times New Roman" w:hAnsi="Times New Roman" w:cs="Times New Roman"/>
                      <w:color w:val="FF0000"/>
                    </w:rPr>
                  </w:pPr>
                  <w:r>
                    <w:rPr>
                      <w:rFonts w:hint="default" w:ascii="Times New Roman" w:hAnsi="Times New Roman" w:cs="Times New Roman"/>
                      <w:color w:val="auto"/>
                    </w:rPr>
                    <w:t>/</w:t>
                  </w:r>
                </w:p>
              </w:tc>
              <w:tc>
                <w:tcPr>
                  <w:tcW w:w="477" w:type="pct"/>
                  <w:vAlign w:val="center"/>
                </w:tcPr>
                <w:p>
                  <w:pPr>
                    <w:pStyle w:val="238"/>
                    <w:adjustRightInd w:val="0"/>
                    <w:snapToGrid w:val="0"/>
                    <w:spacing w:line="240" w:lineRule="auto"/>
                    <w:rPr>
                      <w:rFonts w:hint="default" w:ascii="Times New Roman" w:hAnsi="Times New Roman" w:cs="Times New Roman"/>
                      <w:color w:val="FF0000"/>
                    </w:rPr>
                  </w:pPr>
                  <w:r>
                    <w:rPr>
                      <w:rFonts w:hint="default" w:ascii="Times New Roman" w:hAnsi="Times New Roman" w:cs="Times New Roman"/>
                      <w:color w:val="auto"/>
                    </w:rPr>
                    <w:t>/</w:t>
                  </w:r>
                </w:p>
              </w:tc>
              <w:tc>
                <w:tcPr>
                  <w:tcW w:w="416" w:type="pct"/>
                  <w:vAlign w:val="center"/>
                </w:tcPr>
                <w:p>
                  <w:pPr>
                    <w:pStyle w:val="238"/>
                    <w:adjustRightInd w:val="0"/>
                    <w:snapToGrid w:val="0"/>
                    <w:spacing w:line="240" w:lineRule="auto"/>
                    <w:rPr>
                      <w:rFonts w:hint="eastAsia" w:ascii="Times New Roman" w:hAnsi="Times New Roman" w:cs="Times New Roman"/>
                      <w:color w:val="FF0000"/>
                      <w:lang w:val="en-US" w:eastAsia="zh-CN"/>
                    </w:rPr>
                  </w:pPr>
                  <w:r>
                    <w:rPr>
                      <w:rFonts w:hint="default" w:ascii="Times New Roman" w:hAnsi="Times New Roman" w:cs="Times New Roman"/>
                      <w:color w:val="auto"/>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firstLineChars="0"/>
                    <w:rPr>
                      <w:rFonts w:hint="default" w:ascii="Times New Roman" w:hAnsi="Times New Roman" w:cs="Times New Roman"/>
                      <w:color w:val="FF0000"/>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r>
                    <w:rPr>
                      <w:rFonts w:hint="default" w:ascii="Times New Roman" w:hAnsi="Times New Roman" w:cs="Times New Roman"/>
                      <w:color w:val="auto"/>
                    </w:rPr>
                    <w:t>供电</w:t>
                  </w:r>
                </w:p>
              </w:tc>
              <w:tc>
                <w:tcPr>
                  <w:tcW w:w="2751" w:type="pct"/>
                  <w:vAlign w:val="center"/>
                </w:tcPr>
                <w:p>
                  <w:pPr>
                    <w:spacing w:line="240" w:lineRule="auto"/>
                    <w:rPr>
                      <w:rFonts w:hint="default" w:ascii="Times New Roman" w:hAnsi="Times New Roman" w:cs="Times New Roman"/>
                      <w:color w:val="FF0000"/>
                    </w:rPr>
                  </w:pPr>
                  <w:r>
                    <w:rPr>
                      <w:rFonts w:hint="default" w:ascii="Times New Roman" w:hAnsi="Times New Roman" w:cs="Times New Roman"/>
                      <w:color w:val="auto"/>
                      <w:szCs w:val="21"/>
                      <w:lang w:val="en-US" w:eastAsia="zh-CN"/>
                    </w:rPr>
                    <w:t>工程施工用电由工程附近所在城镇变电站供给，根据施工布置和电量需用要求，直接从明月场镇搭设380V线路至工区即可。考虑因事故停电的用电需求，工区内配备2台小型柴油机发电机。</w:t>
                  </w:r>
                </w:p>
              </w:tc>
              <w:tc>
                <w:tcPr>
                  <w:tcW w:w="510" w:type="pct"/>
                  <w:vAlign w:val="center"/>
                </w:tcPr>
                <w:p>
                  <w:pPr>
                    <w:pStyle w:val="238"/>
                    <w:adjustRightInd w:val="0"/>
                    <w:snapToGrid w:val="0"/>
                    <w:spacing w:line="240" w:lineRule="auto"/>
                    <w:rPr>
                      <w:rFonts w:hint="default" w:ascii="Times New Roman" w:hAnsi="Times New Roman" w:cs="Times New Roman"/>
                      <w:color w:val="FF0000"/>
                    </w:rPr>
                  </w:pPr>
                  <w:r>
                    <w:rPr>
                      <w:rFonts w:hint="default" w:ascii="Times New Roman" w:hAnsi="Times New Roman" w:cs="Times New Roman"/>
                      <w:color w:val="auto"/>
                    </w:rPr>
                    <w:t>/</w:t>
                  </w:r>
                </w:p>
              </w:tc>
              <w:tc>
                <w:tcPr>
                  <w:tcW w:w="477" w:type="pct"/>
                  <w:vAlign w:val="center"/>
                </w:tcPr>
                <w:p>
                  <w:pPr>
                    <w:pStyle w:val="238"/>
                    <w:adjustRightInd w:val="0"/>
                    <w:snapToGrid w:val="0"/>
                    <w:spacing w:line="240" w:lineRule="auto"/>
                    <w:rPr>
                      <w:rFonts w:hint="default" w:ascii="Times New Roman" w:hAnsi="Times New Roman" w:cs="Times New Roman"/>
                      <w:color w:val="FF0000"/>
                    </w:rPr>
                  </w:pPr>
                  <w:r>
                    <w:rPr>
                      <w:rFonts w:hint="default" w:ascii="Times New Roman" w:hAnsi="Times New Roman" w:cs="Times New Roman"/>
                      <w:color w:val="auto"/>
                    </w:rPr>
                    <w:t>/</w:t>
                  </w:r>
                </w:p>
              </w:tc>
              <w:tc>
                <w:tcPr>
                  <w:tcW w:w="416" w:type="pct"/>
                  <w:vAlign w:val="center"/>
                </w:tcPr>
                <w:p>
                  <w:pPr>
                    <w:pStyle w:val="238"/>
                    <w:adjustRightInd w:val="0"/>
                    <w:snapToGrid w:val="0"/>
                    <w:spacing w:line="240" w:lineRule="auto"/>
                    <w:rPr>
                      <w:rFonts w:hint="eastAsia" w:ascii="Times New Roman" w:hAnsi="Times New Roman" w:cs="Times New Roman"/>
                      <w:color w:val="FF0000"/>
                      <w:lang w:val="en-US" w:eastAsia="zh-CN"/>
                    </w:rPr>
                  </w:pPr>
                  <w:r>
                    <w:rPr>
                      <w:rFonts w:hint="default" w:ascii="Times New Roman" w:hAnsi="Times New Roman" w:cs="Times New Roman"/>
                      <w:color w:val="auto"/>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restart"/>
                  <w:vAlign w:val="center"/>
                </w:tcPr>
                <w:p>
                  <w:pPr>
                    <w:pStyle w:val="238"/>
                    <w:adjustRightInd w:val="0"/>
                    <w:snapToGrid w:val="0"/>
                    <w:spacing w:before="48" w:beforeLines="20" w:after="48" w:afterLines="20" w:line="240" w:lineRule="auto"/>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征地与拆迁工程</w:t>
                  </w:r>
                </w:p>
              </w:tc>
              <w:tc>
                <w:tcPr>
                  <w:tcW w:w="407"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工程占地</w:t>
                  </w:r>
                </w:p>
              </w:tc>
              <w:tc>
                <w:tcPr>
                  <w:tcW w:w="2751" w:type="pct"/>
                  <w:vAlign w:val="center"/>
                </w:tcPr>
                <w:p>
                  <w:pPr>
                    <w:spacing w:line="240" w:lineRule="auto"/>
                    <w:rPr>
                      <w:rFonts w:hint="eastAsia" w:ascii="Times New Roman" w:hAnsi="Times New Roman" w:eastAsia="宋体" w:cs="Times New Roman"/>
                      <w:color w:val="auto"/>
                      <w:szCs w:val="21"/>
                      <w:lang w:val="en-US" w:eastAsia="zh-CN"/>
                    </w:rPr>
                  </w:pPr>
                  <w:r>
                    <w:rPr>
                      <w:rFonts w:hint="eastAsia"/>
                      <w:color w:val="auto"/>
                    </w:rPr>
                    <w:t>工程永久征地为堤防征地、管理范围征地，征地面积为26.56亩。施工临时用地面积</w:t>
                  </w:r>
                  <w:r>
                    <w:rPr>
                      <w:rFonts w:hint="eastAsia"/>
                      <w:color w:val="auto"/>
                      <w:lang w:val="en-US" w:eastAsia="zh-CN"/>
                    </w:rPr>
                    <w:t>19.0</w:t>
                  </w:r>
                  <w:r>
                    <w:rPr>
                      <w:rFonts w:hint="eastAsia"/>
                      <w:color w:val="auto"/>
                    </w:rPr>
                    <w:t>9亩，包括施工便道、施工</w:t>
                  </w:r>
                  <w:r>
                    <w:rPr>
                      <w:rFonts w:hint="eastAsia"/>
                      <w:color w:val="auto"/>
                      <w:lang w:val="en-US" w:eastAsia="zh-CN"/>
                    </w:rPr>
                    <w:t>场地、</w:t>
                  </w:r>
                  <w:r>
                    <w:rPr>
                      <w:rFonts w:hint="eastAsia"/>
                      <w:color w:val="auto"/>
                    </w:rPr>
                    <w:t>堤后回填区</w:t>
                  </w:r>
                  <w:r>
                    <w:rPr>
                      <w:rFonts w:hint="eastAsia"/>
                      <w:color w:val="auto"/>
                      <w:lang w:val="en-US" w:eastAsia="zh-CN"/>
                    </w:rPr>
                    <w:t>等</w:t>
                  </w:r>
                  <w:r>
                    <w:rPr>
                      <w:rFonts w:hint="eastAsia"/>
                      <w:color w:val="auto"/>
                    </w:rPr>
                    <w:t>。</w:t>
                  </w:r>
                  <w:r>
                    <w:rPr>
                      <w:rFonts w:hint="eastAsia"/>
                      <w:color w:val="auto"/>
                      <w:lang w:val="en-US" w:eastAsia="zh-CN"/>
                    </w:rPr>
                    <w:t>主要占地类型为耕地和</w:t>
                  </w:r>
                  <w:r>
                    <w:rPr>
                      <w:rFonts w:hint="eastAsia"/>
                      <w:color w:val="auto"/>
                    </w:rPr>
                    <w:t>水域及水利设施用地</w:t>
                  </w:r>
                  <w:r>
                    <w:rPr>
                      <w:rFonts w:hint="eastAsia"/>
                      <w:color w:val="auto"/>
                      <w:lang w:eastAsia="zh-CN"/>
                    </w:rPr>
                    <w:t>，</w:t>
                  </w:r>
                  <w:r>
                    <w:rPr>
                      <w:rFonts w:hint="eastAsia"/>
                      <w:color w:val="auto"/>
                    </w:rPr>
                    <w:t>工程建设区不涉及占用基本农田、文物、压覆矿</w:t>
                  </w:r>
                  <w:r>
                    <w:rPr>
                      <w:rFonts w:hint="eastAsia"/>
                      <w:color w:val="auto"/>
                      <w:lang w:eastAsia="zh-CN"/>
                    </w:rPr>
                    <w:t>。</w:t>
                  </w:r>
                </w:p>
              </w:tc>
              <w:tc>
                <w:tcPr>
                  <w:tcW w:w="510" w:type="pct"/>
                  <w:vAlign w:val="center"/>
                </w:tcPr>
                <w:p>
                  <w:pPr>
                    <w:pStyle w:val="238"/>
                    <w:adjustRightInd w:val="0"/>
                    <w:snapToGrid w:val="0"/>
                    <w:spacing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77" w:type="pct"/>
                  <w:vAlign w:val="center"/>
                </w:tcPr>
                <w:p>
                  <w:pPr>
                    <w:pStyle w:val="238"/>
                    <w:adjustRightInd w:val="0"/>
                    <w:snapToGrid w:val="0"/>
                    <w:spacing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238"/>
                    <w:adjustRightInd w:val="0"/>
                    <w:snapToGrid w:val="0"/>
                    <w:spacing w:line="240" w:lineRule="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firstLineChars="0"/>
                    <w:rPr>
                      <w:rFonts w:hint="default" w:ascii="Times New Roman" w:hAnsi="Times New Roman" w:cs="Times New Roman"/>
                      <w:color w:val="auto"/>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拆迁工程</w:t>
                  </w:r>
                </w:p>
              </w:tc>
              <w:tc>
                <w:tcPr>
                  <w:tcW w:w="2751" w:type="pct"/>
                  <w:vAlign w:val="center"/>
                </w:tcPr>
                <w:p>
                  <w:pPr>
                    <w:spacing w:line="240" w:lineRule="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本项目不涉及拆迁房屋，故无搬迁安置人口。</w:t>
                  </w:r>
                </w:p>
              </w:tc>
              <w:tc>
                <w:tcPr>
                  <w:tcW w:w="510" w:type="pct"/>
                  <w:vAlign w:val="center"/>
                </w:tcPr>
                <w:p>
                  <w:pPr>
                    <w:pStyle w:val="238"/>
                    <w:adjustRightInd w:val="0"/>
                    <w:snapToGrid w:val="0"/>
                    <w:spacing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77" w:type="pct"/>
                  <w:vAlign w:val="center"/>
                </w:tcPr>
                <w:p>
                  <w:pPr>
                    <w:pStyle w:val="238"/>
                    <w:adjustRightInd w:val="0"/>
                    <w:snapToGrid w:val="0"/>
                    <w:spacing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16" w:type="pct"/>
                  <w:vAlign w:val="center"/>
                </w:tcPr>
                <w:p>
                  <w:pPr>
                    <w:pStyle w:val="238"/>
                    <w:adjustRightInd w:val="0"/>
                    <w:snapToGrid w:val="0"/>
                    <w:spacing w:line="240" w:lineRule="auto"/>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restar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环保工程</w:t>
                  </w:r>
                </w:p>
              </w:tc>
              <w:tc>
                <w:tcPr>
                  <w:tcW w:w="407" w:type="pct"/>
                  <w:vMerge w:val="restar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废水治理</w:t>
                  </w: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施工生活污水：本项目不设置施工营地，工程施工期产生的生活污水依托租用居民房屋已建化粪池处理后用于周边农田及林地施肥，不外排。</w:t>
                  </w:r>
                </w:p>
              </w:tc>
              <w:tc>
                <w:tcPr>
                  <w:tcW w:w="510" w:type="pct"/>
                  <w:vMerge w:val="restart"/>
                  <w:vAlign w:val="center"/>
                </w:tcPr>
                <w:p>
                  <w:pPr>
                    <w:pStyle w:val="238"/>
                    <w:adjustRightInd w:val="0"/>
                    <w:snapToGrid w:val="0"/>
                    <w:spacing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77" w:type="pct"/>
                  <w:vMerge w:val="restart"/>
                  <w:vAlign w:val="center"/>
                </w:tcPr>
                <w:p>
                  <w:pPr>
                    <w:pStyle w:val="238"/>
                    <w:adjustRightInd w:val="0"/>
                    <w:snapToGrid w:val="0"/>
                    <w:spacing w:line="240" w:lineRule="auto"/>
                    <w:rPr>
                      <w:rFonts w:hint="default" w:ascii="Times New Roman" w:hAnsi="Times New Roman" w:cs="Times New Roman"/>
                      <w:color w:val="auto"/>
                    </w:rPr>
                  </w:pPr>
                  <w:r>
                    <w:rPr>
                      <w:rFonts w:hint="default" w:ascii="Times New Roman" w:hAnsi="Times New Roman" w:cs="Times New Roman"/>
                      <w:color w:val="auto"/>
                    </w:rPr>
                    <w:t>/</w:t>
                  </w:r>
                </w:p>
              </w:tc>
              <w:tc>
                <w:tcPr>
                  <w:tcW w:w="416" w:type="pct"/>
                  <w:vMerge w:val="restar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p>
              </w:tc>
              <w:tc>
                <w:tcPr>
                  <w:tcW w:w="407"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车辆冲洗废水：在施工机械停放场四周布置排水沟，收集施工机械冲洗产生的废水，废水经</w:t>
                  </w:r>
                  <w:r>
                    <w:rPr>
                      <w:rStyle w:val="44"/>
                      <w:rFonts w:hint="default" w:ascii="Times New Roman" w:hAnsi="Times New Roman" w:cs="Times New Roman"/>
                      <w:color w:val="auto"/>
                    </w:rPr>
                    <w:t>隔油沉淀池</w:t>
                  </w:r>
                  <w:r>
                    <w:rPr>
                      <w:rFonts w:hint="default" w:ascii="Times New Roman" w:hAnsi="Times New Roman" w:cs="Times New Roman"/>
                      <w:color w:val="auto"/>
                    </w:rPr>
                    <w:t>（10m</w:t>
                  </w:r>
                  <w:r>
                    <w:rPr>
                      <w:rFonts w:hint="default" w:ascii="Times New Roman" w:hAnsi="Times New Roman" w:cs="Times New Roman"/>
                      <w:color w:val="auto"/>
                      <w:vertAlign w:val="superscript"/>
                    </w:rPr>
                    <w:t>3</w:t>
                  </w:r>
                  <w:r>
                    <w:rPr>
                      <w:rFonts w:hint="default" w:ascii="Times New Roman" w:hAnsi="Times New Roman" w:cs="Times New Roman"/>
                      <w:color w:val="auto"/>
                    </w:rPr>
                    <w:t>）处理后用于洒水降尘。</w:t>
                  </w:r>
                </w:p>
              </w:tc>
              <w:tc>
                <w:tcPr>
                  <w:tcW w:w="510" w:type="pct"/>
                  <w:vMerge w:val="continue"/>
                  <w:vAlign w:val="center"/>
                </w:tcPr>
                <w:p>
                  <w:pPr>
                    <w:pStyle w:val="238"/>
                    <w:adjustRightInd w:val="0"/>
                    <w:snapToGrid w:val="0"/>
                    <w:spacing w:line="240" w:lineRule="auto"/>
                    <w:rPr>
                      <w:rFonts w:hint="default" w:ascii="Times New Roman" w:hAnsi="Times New Roman" w:cs="Times New Roman"/>
                      <w:color w:val="FF0000"/>
                    </w:rPr>
                  </w:pPr>
                </w:p>
              </w:tc>
              <w:tc>
                <w:tcPr>
                  <w:tcW w:w="477" w:type="pct"/>
                  <w:vMerge w:val="continue"/>
                </w:tcPr>
                <w:p>
                  <w:pPr>
                    <w:pStyle w:val="238"/>
                    <w:adjustRightInd w:val="0"/>
                    <w:snapToGrid w:val="0"/>
                    <w:spacing w:line="240" w:lineRule="auto"/>
                    <w:rPr>
                      <w:rFonts w:hint="default" w:ascii="Times New Roman" w:hAnsi="Times New Roman" w:cs="Times New Roman"/>
                      <w:color w:val="FF0000"/>
                    </w:rPr>
                  </w:pPr>
                </w:p>
              </w:tc>
              <w:tc>
                <w:tcPr>
                  <w:tcW w:w="416" w:type="pct"/>
                  <w:vMerge w:val="continue"/>
                  <w:vAlign w:val="center"/>
                </w:tcPr>
                <w:p>
                  <w:pPr>
                    <w:pStyle w:val="238"/>
                    <w:adjustRightInd w:val="0"/>
                    <w:snapToGrid w:val="0"/>
                    <w:spacing w:line="240" w:lineRule="auto"/>
                    <w:rPr>
                      <w:rFonts w:hint="eastAsia" w:ascii="Times New Roman" w:hAnsi="Times New Roman" w:eastAsia="宋体" w:cs="Times New Roman"/>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废气治理</w:t>
                  </w: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设置施工工地设置硬质密闭围挡、洒水抑尘、进出车辆冲洗轮胎、临时堆场四周设置围挡，安装喷雾降尘装置，堆场使用防尘布覆盖、运输车辆密闭等。</w:t>
                  </w:r>
                </w:p>
              </w:tc>
              <w:tc>
                <w:tcPr>
                  <w:tcW w:w="510"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77" w:type="pct"/>
                  <w:vMerge w:val="continue"/>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16" w:type="pct"/>
                  <w:vMerge w:val="continue"/>
                  <w:vAlign w:val="center"/>
                </w:tcPr>
                <w:p>
                  <w:pPr>
                    <w:pStyle w:val="238"/>
                    <w:adjustRightInd w:val="0"/>
                    <w:snapToGrid w:val="0"/>
                    <w:spacing w:before="48" w:beforeLines="20" w:after="48" w:afterLines="20" w:line="240" w:lineRule="auto"/>
                    <w:rPr>
                      <w:rFonts w:hint="eastAsia" w:ascii="Times New Roman" w:hAnsi="Times New Roman" w:eastAsia="宋体" w:cs="Times New Roman"/>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噪声治理</w:t>
                  </w: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选用低噪声设备、加强管理，加强车辆保养；合理布局施工场地；合理安排施工时间，禁止夜间施工；优化施工车辆运行路线；高噪声施工设备远离居民区等。</w:t>
                  </w:r>
                </w:p>
              </w:tc>
              <w:tc>
                <w:tcPr>
                  <w:tcW w:w="510"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77" w:type="pct"/>
                  <w:vMerge w:val="continue"/>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16" w:type="pct"/>
                  <w:vMerge w:val="continue"/>
                  <w:vAlign w:val="center"/>
                </w:tcPr>
                <w:p>
                  <w:pPr>
                    <w:pStyle w:val="238"/>
                    <w:adjustRightInd w:val="0"/>
                    <w:snapToGrid w:val="0"/>
                    <w:spacing w:before="48" w:beforeLines="20" w:after="48" w:afterLines="20" w:line="240" w:lineRule="auto"/>
                    <w:rPr>
                      <w:rFonts w:hint="eastAsia" w:ascii="Times New Roman" w:hAnsi="Times New Roman" w:eastAsia="宋体" w:cs="Times New Roman"/>
                      <w:color w:val="FF000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07" w:type="pct"/>
                  <w:vMerge w:val="restart"/>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r>
                    <w:rPr>
                      <w:rFonts w:hint="default" w:ascii="Times New Roman" w:hAnsi="Times New Roman" w:cs="Times New Roman"/>
                      <w:color w:val="auto"/>
                    </w:rPr>
                    <w:t>固废治理</w:t>
                  </w: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本项目不设置弃渣场，施工产生的</w:t>
                  </w:r>
                  <w:r>
                    <w:rPr>
                      <w:rFonts w:hint="default" w:ascii="Times New Roman" w:hAnsi="Times New Roman" w:cs="Times New Roman"/>
                      <w:color w:val="auto"/>
                      <w:lang w:val="en-US" w:eastAsia="zh-CN"/>
                    </w:rPr>
                    <w:t>余方全部</w:t>
                  </w:r>
                  <w:r>
                    <w:rPr>
                      <w:rFonts w:hint="default" w:ascii="Times New Roman" w:hAnsi="Times New Roman" w:cs="Times New Roman"/>
                      <w:color w:val="auto"/>
                    </w:rPr>
                    <w:t>用于</w:t>
                  </w:r>
                  <w:r>
                    <w:rPr>
                      <w:rFonts w:hint="default" w:ascii="Times New Roman" w:hAnsi="Times New Roman" w:cs="Times New Roman"/>
                      <w:color w:val="auto"/>
                      <w:lang w:val="en-US" w:eastAsia="zh-CN"/>
                    </w:rPr>
                    <w:t>堤防</w:t>
                  </w:r>
                  <w:r>
                    <w:rPr>
                      <w:rFonts w:hint="default" w:ascii="Times New Roman" w:hAnsi="Times New Roman" w:cs="Times New Roman"/>
                      <w:color w:val="auto"/>
                    </w:rPr>
                    <w:t>堤后</w:t>
                  </w:r>
                  <w:r>
                    <w:rPr>
                      <w:rFonts w:hint="default" w:ascii="Times New Roman" w:hAnsi="Times New Roman" w:cs="Times New Roman"/>
                      <w:color w:val="auto"/>
                      <w:lang w:val="en-US" w:eastAsia="zh-CN"/>
                    </w:rPr>
                    <w:t>低洼处</w:t>
                  </w:r>
                  <w:r>
                    <w:rPr>
                      <w:rFonts w:hint="default" w:ascii="Times New Roman" w:hAnsi="Times New Roman" w:cs="Times New Roman"/>
                      <w:color w:val="auto"/>
                    </w:rPr>
                    <w:t>回填。</w:t>
                  </w:r>
                  <w:r>
                    <w:rPr>
                      <w:rFonts w:hint="default" w:ascii="Times New Roman" w:hAnsi="Times New Roman" w:cs="Times New Roman"/>
                    </w:rPr>
                    <w:t>堤后共布置3个堤后回填区</w:t>
                  </w:r>
                  <w:r>
                    <w:rPr>
                      <w:rFonts w:hint="default" w:ascii="Times New Roman" w:hAnsi="Times New Roman" w:cs="Times New Roman"/>
                      <w:lang w:eastAsia="zh-CN"/>
                    </w:rPr>
                    <w:t>，</w:t>
                  </w:r>
                  <w:r>
                    <w:rPr>
                      <w:rFonts w:hint="default" w:ascii="Times New Roman" w:hAnsi="Times New Roman" w:cs="Times New Roman"/>
                      <w:lang w:val="en-US" w:eastAsia="zh-CN"/>
                    </w:rPr>
                    <w:t>分别位于左右岸堤后凹地，占地面积14.52亩，堆渣后作水保措施。</w:t>
                  </w:r>
                </w:p>
              </w:tc>
              <w:tc>
                <w:tcPr>
                  <w:tcW w:w="510"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77" w:type="pct"/>
                  <w:vMerge w:val="continue"/>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16"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07"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建筑垃圾：建筑垃圾分类收集，能回用的回用，不能回用的集中清运至政府指定的弃渣场处理。</w:t>
                  </w:r>
                </w:p>
              </w:tc>
              <w:tc>
                <w:tcPr>
                  <w:tcW w:w="510"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77" w:type="pct"/>
                  <w:vMerge w:val="continue"/>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16"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07"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auto"/>
                    </w:rPr>
                  </w:pP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生活垃圾：在施工区设置垃圾桶，收集生活垃圾，并配备垃圾清运车，定期清运处理。</w:t>
                  </w:r>
                </w:p>
              </w:tc>
              <w:tc>
                <w:tcPr>
                  <w:tcW w:w="510"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77" w:type="pct"/>
                  <w:vMerge w:val="continue"/>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16"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07"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p>
              </w:tc>
              <w:tc>
                <w:tcPr>
                  <w:tcW w:w="2751" w:type="pct"/>
                  <w:vAlign w:val="center"/>
                </w:tcPr>
                <w:p>
                  <w:pPr>
                    <w:pStyle w:val="238"/>
                    <w:adjustRightInd w:val="0"/>
                    <w:snapToGrid w:val="0"/>
                    <w:spacing w:before="48" w:beforeLines="20" w:after="48" w:afterLines="20" w:line="240" w:lineRule="auto"/>
                    <w:jc w:val="both"/>
                    <w:rPr>
                      <w:rFonts w:hint="default" w:ascii="Times New Roman" w:hAnsi="Times New Roman" w:cs="Times New Roman"/>
                      <w:color w:val="auto"/>
                    </w:rPr>
                  </w:pPr>
                  <w:r>
                    <w:rPr>
                      <w:rFonts w:hint="default" w:ascii="Times New Roman" w:hAnsi="Times New Roman" w:cs="Times New Roman"/>
                      <w:color w:val="auto"/>
                    </w:rPr>
                    <w:t>沉淀池泥沙：沉淀池泥沙定期清理，集中运输到指定的位置处理。</w:t>
                  </w:r>
                </w:p>
              </w:tc>
              <w:tc>
                <w:tcPr>
                  <w:tcW w:w="510"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77" w:type="pct"/>
                  <w:vMerge w:val="continue"/>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16" w:type="pct"/>
                  <w:vMerge w:val="continue"/>
                  <w:vAlign w:val="center"/>
                </w:tcPr>
                <w:p>
                  <w:pPr>
                    <w:pStyle w:val="238"/>
                    <w:adjustRightInd w:val="0"/>
                    <w:snapToGrid w:val="0"/>
                    <w:spacing w:before="48" w:beforeLines="20" w:after="48" w:afterLines="20" w:line="240" w:lineRule="auto"/>
                    <w:rPr>
                      <w:rFonts w:hint="default" w:ascii="Times New Roman" w:hAnsi="Times New Roman" w:cs="Times New Roman"/>
                      <w:color w:val="FF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35" w:type="pct"/>
                  <w:vMerge w:val="continue"/>
                  <w:vAlign w:val="center"/>
                </w:tcPr>
                <w:p>
                  <w:pPr>
                    <w:pStyle w:val="238"/>
                    <w:adjustRightInd w:val="0"/>
                    <w:snapToGrid w:val="0"/>
                    <w:spacing w:before="48" w:beforeLines="20" w:after="48" w:afterLines="20" w:line="240" w:lineRule="auto"/>
                    <w:ind w:firstLine="420"/>
                    <w:rPr>
                      <w:rFonts w:hint="default" w:ascii="Times New Roman" w:hAnsi="Times New Roman" w:cs="Times New Roman"/>
                      <w:color w:val="FF0000"/>
                    </w:rPr>
                  </w:pPr>
                </w:p>
              </w:tc>
              <w:tc>
                <w:tcPr>
                  <w:tcW w:w="407" w:type="pct"/>
                  <w:vAlign w:val="center"/>
                </w:tcPr>
                <w:p>
                  <w:pPr>
                    <w:pStyle w:val="238"/>
                    <w:adjustRightInd w:val="0"/>
                    <w:snapToGrid w:val="0"/>
                    <w:spacing w:before="48" w:beforeLines="20" w:after="48" w:afterLines="20" w:line="240" w:lineRule="auto"/>
                    <w:rPr>
                      <w:rFonts w:hint="default" w:ascii="Times New Roman" w:hAnsi="Times New Roman" w:eastAsia="宋体" w:cs="Times New Roman"/>
                      <w:color w:val="FF0000"/>
                      <w:lang w:val="en-US" w:eastAsia="zh-CN"/>
                    </w:rPr>
                  </w:pPr>
                  <w:r>
                    <w:rPr>
                      <w:rFonts w:hint="eastAsia" w:ascii="Times New Roman" w:hAnsi="Times New Roman" w:cs="Times New Roman"/>
                      <w:color w:val="auto"/>
                      <w:lang w:val="en-US" w:eastAsia="zh-CN"/>
                    </w:rPr>
                    <w:t>生态环境防护</w:t>
                  </w:r>
                </w:p>
              </w:tc>
              <w:tc>
                <w:tcPr>
                  <w:tcW w:w="2751" w:type="pct"/>
                  <w:vAlign w:val="center"/>
                </w:tcPr>
                <w:p>
                  <w:pPr>
                    <w:pStyle w:val="238"/>
                    <w:adjustRightInd w:val="0"/>
                    <w:snapToGrid w:val="0"/>
                    <w:spacing w:before="48" w:beforeLines="20" w:after="48" w:afterLines="20" w:line="240" w:lineRule="auto"/>
                    <w:jc w:val="both"/>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加强宣传教育，植被恢复，复垦，加强绿化。</w:t>
                  </w:r>
                </w:p>
              </w:tc>
              <w:tc>
                <w:tcPr>
                  <w:tcW w:w="510" w:type="pct"/>
                  <w:vAlign w:val="center"/>
                </w:tcPr>
                <w:p>
                  <w:pPr>
                    <w:pStyle w:val="238"/>
                    <w:adjustRightInd w:val="0"/>
                    <w:snapToGrid w:val="0"/>
                    <w:spacing w:before="48" w:beforeLines="20" w:after="48" w:afterLines="20" w:line="240" w:lineRule="auto"/>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477" w:type="pct"/>
                  <w:vAlign w:val="center"/>
                </w:tcPr>
                <w:p>
                  <w:pPr>
                    <w:pStyle w:val="238"/>
                    <w:adjustRightInd w:val="0"/>
                    <w:snapToGrid w:val="0"/>
                    <w:spacing w:before="48" w:beforeLines="20" w:after="48" w:afterLines="20"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416" w:type="pct"/>
                  <w:vAlign w:val="center"/>
                </w:tcPr>
                <w:p>
                  <w:pPr>
                    <w:pStyle w:val="238"/>
                    <w:adjustRightInd w:val="0"/>
                    <w:snapToGrid w:val="0"/>
                    <w:spacing w:before="48" w:beforeLines="20" w:after="48" w:afterLines="20" w:line="240" w:lineRule="auto"/>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bl>
          <w:p>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三、主要工程量</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eastAsia" w:cs="Times New Roman"/>
                <w:color w:val="auto"/>
                <w:sz w:val="24"/>
                <w:lang w:val="en-US" w:eastAsia="zh-CN"/>
              </w:rPr>
              <w:t>根据建设单位提供资料，</w:t>
            </w:r>
            <w:r>
              <w:rPr>
                <w:rFonts w:hint="default" w:ascii="Times New Roman" w:hAnsi="Times New Roman" w:cs="Times New Roman"/>
                <w:color w:val="auto"/>
                <w:sz w:val="24"/>
              </w:rPr>
              <w:t>项目施工期主要工程量如下表所示。</w:t>
            </w:r>
          </w:p>
          <w:p>
            <w:pPr>
              <w:pStyle w:val="65"/>
              <w:numPr>
                <w:ilvl w:val="0"/>
                <w:numId w:val="9"/>
              </w:numPr>
              <w:adjustRightInd w:val="0"/>
              <w:snapToGrid w:val="0"/>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主要工程量一览表</w:t>
            </w:r>
          </w:p>
          <w:tbl>
            <w:tblPr>
              <w:tblStyle w:val="2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63"/>
              <w:gridCol w:w="1609"/>
              <w:gridCol w:w="966"/>
              <w:gridCol w:w="1125"/>
              <w:gridCol w:w="966"/>
              <w:gridCol w:w="1770"/>
              <w:gridCol w:w="917"/>
              <w:gridCol w:w="1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芝左一</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单位</w:t>
                  </w:r>
                </w:p>
              </w:tc>
              <w:tc>
                <w:tcPr>
                  <w:tcW w:w="600"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数量</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芝左一</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单位</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土方开挖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11205</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堤顶20cm厚碎石稳定层</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石方开挖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245</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堤顶C20砼路沿石（0.3*0.4m）</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块石回填</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2247</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C20砼排水沟</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堤身泥岩石渣填筑</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7853</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DN50PVC排水管（含反滤包）</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堤后土石回填(不压实)</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105</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栏杆</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C20砼挡墙</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303</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面板滑模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4615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C20砼齿墙</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131</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侧模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护坡25cm厚C25砼面板</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1111</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普通模板制安</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1819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护坡5cm厚M7.5砂浆垫层</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199</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沥青杉板</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C20砼压顶（0.6*0.4m）</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69</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10cm耕植土回填</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5cm厚C25彩色透水砼路面</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428</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草皮护坡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堤顶15cm厚C25透水砼堤顶</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428</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芝左二</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单位</w:t>
                  </w:r>
                </w:p>
              </w:tc>
              <w:tc>
                <w:tcPr>
                  <w:tcW w:w="600"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数量</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二</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芝左二</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单位</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淤泥开挖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45</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护坡5cm厚M7.5砂浆垫层</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土方开挖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6481</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C20砼压顶（0.6*0.4m）</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石方开挖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677</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DN50PVC排水管（含反滤包）</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块石回填</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542</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栏杆</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堤身泥岩石渣填筑</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3817</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面板滑模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2423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C20砼挡墙</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252</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侧模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C20砼齿墙</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131</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普通模板制安</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护坡25cm厚C25砼面板</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606</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沥青杉板</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芝左三</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单位</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数量</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三</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芝左三</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单位</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淤泥开挖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78</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堤身泥岩石渣填筑</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土方开挖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12467</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堤后土石回填</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石方开挖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172</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C20砼齿墙</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块石回填</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1729</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护坡砼面板</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954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9</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砂浆垫层</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188</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DN50PVC排水管（含反滤包）</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C20砼压顶（0.6*0.4m）</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80</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栏杆</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5cm厚C25彩色透水砼路面</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770</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面板滑模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3815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堤顶15cm厚C25透水砼堤顶</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770</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侧模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堤顶20cm厚碎石稳定层</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770</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普通模板制安</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1889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堤顶C20砼路沿石（0.3*0.4m）</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40</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沥青杉板</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C20砼排水沟</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127</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牛左</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单位</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数量</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四</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牛左</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单位</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淤泥开挖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25</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堤顶20cm厚碎石稳定层</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土方开挖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6791</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堤顶C20砼路沿石（0.3*0.4m）</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石方开挖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355</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C20砼排水沟</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块石回填</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1227</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DN50PVC排水管（含反滤包）</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堤身泥岩石渣填筑</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3906</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栏杆</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堤后土石回填(不压实)</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100</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面板滑模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1965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C20砼挡墙（泵送）</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1509</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侧模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C20砼齿墙</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63</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普通模板制安</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3414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护坡25cm厚C25砼面板</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377</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沥青杉板</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257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护坡5cm厚M7.5砂浆垫层</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65</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10cm耕植土回填</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C20砼压顶（0.6*0.4m）</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33</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草皮护坡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堤顶20cm厚C25透水砼堤顶</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m²</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501</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污水管道恢复工程</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单位</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数量</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五</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污水管道恢复工程</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单位</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土方开挖</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891</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DN200PE管（主管）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540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利用料回填</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712.8</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DN160PE管（支管）</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14"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85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C20砼镇墩</w:t>
                  </w:r>
                </w:p>
              </w:tc>
              <w:tc>
                <w:tcPr>
                  <w:tcW w:w="51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m³</w:t>
                  </w:r>
                </w:p>
              </w:tc>
              <w:tc>
                <w:tcPr>
                  <w:tcW w:w="60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14.52</w:t>
                  </w:r>
                </w:p>
              </w:tc>
              <w:tc>
                <w:tcPr>
                  <w:tcW w:w="51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w:t>
                  </w:r>
                </w:p>
              </w:tc>
              <w:tc>
                <w:tcPr>
                  <w:tcW w:w="944"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污水检查井φ1000</w:t>
                  </w:r>
                </w:p>
              </w:tc>
              <w:tc>
                <w:tcPr>
                  <w:tcW w:w="48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个</w:t>
                  </w:r>
                </w:p>
              </w:tc>
              <w:tc>
                <w:tcPr>
                  <w:tcW w:w="56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15</w:t>
                  </w:r>
                </w:p>
              </w:tc>
            </w:tr>
          </w:tbl>
          <w:p>
            <w:pPr>
              <w:pStyle w:val="65"/>
              <w:widowControl/>
              <w:numPr>
                <w:ilvl w:val="0"/>
                <w:numId w:val="0"/>
              </w:numPr>
              <w:adjustRightInd w:val="0"/>
              <w:snapToGrid w:val="0"/>
              <w:jc w:val="center"/>
              <w:rPr>
                <w:rFonts w:hint="default" w:ascii="Times New Roman" w:hAnsi="Times New Roman" w:cs="Times New Roman"/>
                <w:b/>
                <w:color w:val="auto"/>
                <w:szCs w:val="21"/>
                <w:lang w:val="en-US" w:eastAsia="zh-CN"/>
              </w:rPr>
            </w:pPr>
          </w:p>
          <w:p>
            <w:pPr>
              <w:pStyle w:val="65"/>
              <w:widowControl/>
              <w:numPr>
                <w:ilvl w:val="0"/>
                <w:numId w:val="0"/>
              </w:numPr>
              <w:adjustRightInd w:val="0"/>
              <w:snapToGrid w:val="0"/>
              <w:jc w:val="center"/>
              <w:rPr>
                <w:rFonts w:hint="default" w:ascii="Times New Roman" w:hAnsi="Times New Roman" w:cs="Times New Roman"/>
                <w:b/>
                <w:color w:val="auto"/>
                <w:szCs w:val="21"/>
                <w:lang w:val="en-US" w:eastAsia="zh-CN"/>
              </w:rPr>
            </w:pPr>
          </w:p>
          <w:p>
            <w:pPr>
              <w:pStyle w:val="65"/>
              <w:numPr>
                <w:ilvl w:val="0"/>
                <w:numId w:val="0"/>
              </w:numPr>
              <w:adjustRightInd w:val="0"/>
              <w:snapToGrid w:val="0"/>
              <w:ind w:left="902" w:leftChars="0"/>
              <w:rPr>
                <w:rFonts w:hint="default" w:ascii="Times New Roman" w:hAnsi="Times New Roman" w:cs="Times New Roman"/>
                <w:b/>
                <w:color w:val="auto"/>
                <w:szCs w:val="21"/>
                <w:lang w:val="en-US" w:eastAsia="zh-CN"/>
              </w:rPr>
            </w:pPr>
          </w:p>
          <w:p>
            <w:pPr>
              <w:pStyle w:val="65"/>
              <w:numPr>
                <w:ilvl w:val="0"/>
                <w:numId w:val="9"/>
              </w:numPr>
              <w:adjustRightInd w:val="0"/>
              <w:snapToGrid w:val="0"/>
              <w:rPr>
                <w:rFonts w:hint="default" w:ascii="Times New Roman" w:hAnsi="Times New Roman" w:cs="Times New Roman"/>
                <w:b/>
                <w:color w:val="auto"/>
                <w:szCs w:val="21"/>
                <w:lang w:val="en-US" w:eastAsia="zh-CN"/>
              </w:rPr>
            </w:pPr>
            <w:r>
              <w:rPr>
                <w:rFonts w:hint="eastAsia" w:ascii="Times New Roman" w:hAnsi="Times New Roman" w:cs="Times New Roman"/>
                <w:b/>
                <w:color w:val="auto"/>
                <w:szCs w:val="21"/>
                <w:lang w:val="en-US" w:eastAsia="zh-CN"/>
              </w:rPr>
              <w:t>主要工程量汇总表</w:t>
            </w:r>
          </w:p>
          <w:tbl>
            <w:tblPr>
              <w:tblStyle w:val="2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1"/>
              <w:gridCol w:w="1742"/>
              <w:gridCol w:w="1172"/>
              <w:gridCol w:w="1172"/>
              <w:gridCol w:w="1172"/>
              <w:gridCol w:w="1172"/>
              <w:gridCol w:w="1172"/>
              <w:gridCol w:w="11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0"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序号</w:t>
                  </w:r>
                </w:p>
              </w:tc>
              <w:tc>
                <w:tcPr>
                  <w:tcW w:w="929"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项目</w:t>
                  </w:r>
                </w:p>
              </w:tc>
              <w:tc>
                <w:tcPr>
                  <w:tcW w:w="625" w:type="pct"/>
                  <w:vMerge w:val="restar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土石方明挖（</w:t>
                  </w:r>
                  <w:r>
                    <w:rPr>
                      <w:rFonts w:hint="default" w:ascii="Times New Roman" w:hAnsi="Times New Roman" w:eastAsia="宋体" w:cs="Times New Roman"/>
                      <w:sz w:val="21"/>
                      <w:szCs w:val="21"/>
                    </w:rPr>
                    <w:t>m</w:t>
                  </w:r>
                  <w:r>
                    <w:rPr>
                      <w:rFonts w:hint="eastAsia" w:eastAsia="宋体" w:cs="Times New Roman"/>
                      <w:sz w:val="21"/>
                      <w:szCs w:val="21"/>
                      <w:vertAlign w:val="superscript"/>
                      <w:lang w:val="en-US" w:eastAsia="zh-CN"/>
                    </w:rPr>
                    <w:t>3</w:t>
                  </w:r>
                </w:p>
              </w:tc>
              <w:tc>
                <w:tcPr>
                  <w:tcW w:w="625" w:type="pct"/>
                  <w:vMerge w:val="restar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土石方填筑（</w:t>
                  </w:r>
                  <w:r>
                    <w:rPr>
                      <w:rFonts w:hint="default" w:ascii="Times New Roman" w:hAnsi="Times New Roman" w:eastAsia="宋体" w:cs="Times New Roman"/>
                      <w:sz w:val="21"/>
                      <w:szCs w:val="21"/>
                    </w:rPr>
                    <w:t>m</w:t>
                  </w:r>
                  <w:r>
                    <w:rPr>
                      <w:rFonts w:hint="eastAsia" w:eastAsia="宋体" w:cs="Times New Roman"/>
                      <w:sz w:val="21"/>
                      <w:szCs w:val="21"/>
                      <w:vertAlign w:val="superscript"/>
                      <w:lang w:val="en-US" w:eastAsia="zh-CN"/>
                    </w:rPr>
                    <w:t>3</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混凝土</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砌石</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钢筋</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模板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929"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625"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625"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r>
                    <w:rPr>
                      <w:rFonts w:hint="default" w:ascii="Times New Roman" w:hAnsi="Times New Roman" w:eastAsia="宋体" w:cs="Times New Roman"/>
                      <w:sz w:val="21"/>
                      <w:szCs w:val="21"/>
                    </w:rPr>
                    <w:t>m</w:t>
                  </w:r>
                  <w:r>
                    <w:rPr>
                      <w:rFonts w:hint="eastAsia" w:eastAsia="宋体" w:cs="Times New Roman"/>
                      <w:sz w:val="21"/>
                      <w:szCs w:val="21"/>
                      <w:vertAlign w:val="superscript"/>
                      <w:lang w:val="en-US" w:eastAsia="zh-CN"/>
                    </w:rPr>
                    <w:t>3</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工程（</w:t>
                  </w:r>
                  <w:r>
                    <w:rPr>
                      <w:rFonts w:hint="default" w:ascii="Times New Roman" w:hAnsi="Times New Roman" w:eastAsia="宋体" w:cs="Times New Roman"/>
                      <w:sz w:val="21"/>
                      <w:szCs w:val="21"/>
                    </w:rPr>
                    <w:t>m</w:t>
                  </w:r>
                  <w:r>
                    <w:rPr>
                      <w:rFonts w:hint="eastAsia" w:eastAsia="宋体" w:cs="Times New Roman"/>
                      <w:sz w:val="21"/>
                      <w:szCs w:val="21"/>
                      <w:vertAlign w:val="superscript"/>
                      <w:lang w:val="en-US" w:eastAsia="zh-CN"/>
                    </w:rPr>
                    <w:t>3</w:t>
                  </w:r>
                  <w:r>
                    <w:rPr>
                      <w:rFonts w:hint="eastAsia"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w:t>
                  </w:r>
                  <w:r>
                    <w:rPr>
                      <w:rFonts w:hint="default" w:ascii="Times New Roman" w:hAnsi="Times New Roman" w:eastAsia="宋体" w:cs="Times New Roman"/>
                      <w:sz w:val="21"/>
                      <w:szCs w:val="21"/>
                    </w:rPr>
                    <w:t>t</w:t>
                  </w:r>
                  <w:r>
                    <w:rPr>
                      <w:rFonts w:hint="eastAsia"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w:t>
                  </w:r>
                  <w:r>
                    <w:rPr>
                      <w:rFonts w:hint="default" w:ascii="Times New Roman" w:hAnsi="Times New Roman" w:eastAsia="宋体" w:cs="Times New Roman"/>
                      <w:sz w:val="21"/>
                      <w:szCs w:val="21"/>
                    </w:rPr>
                    <w:t>m</w:t>
                  </w:r>
                  <w:r>
                    <w:rPr>
                      <w:rFonts w:hint="eastAsia" w:eastAsia="宋体" w:cs="Times New Roman"/>
                      <w:sz w:val="21"/>
                      <w:szCs w:val="21"/>
                      <w:vertAlign w:val="superscript"/>
                      <w:lang w:val="en-US" w:eastAsia="zh-CN"/>
                    </w:rPr>
                    <w:t>2</w:t>
                  </w:r>
                  <w:r>
                    <w:rPr>
                      <w:rFonts w:hint="eastAsia"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0"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p>
              </w:tc>
              <w:tc>
                <w:tcPr>
                  <w:tcW w:w="9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建筑工程</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42888.96</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23780.44</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7516.02</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192.78</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13.5</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24398.53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一</w:t>
                  </w:r>
                </w:p>
              </w:tc>
              <w:tc>
                <w:tcPr>
                  <w:tcW w:w="9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芝左一</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11679</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8117.16</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1795.2</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6634.08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二</w:t>
                  </w:r>
                </w:p>
              </w:tc>
              <w:tc>
                <w:tcPr>
                  <w:tcW w:w="9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芝左二</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7347.06</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3893.34</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1052.64</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3552.66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三</w:t>
                  </w:r>
                </w:p>
              </w:tc>
              <w:tc>
                <w:tcPr>
                  <w:tcW w:w="9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芝左三</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12971.34</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5549.82</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1382.10</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5879.28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四</w:t>
                  </w:r>
                </w:p>
              </w:tc>
              <w:tc>
                <w:tcPr>
                  <w:tcW w:w="9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牛左</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7314.42</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4086.12</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2151.18</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5700.78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五</w:t>
                  </w:r>
                </w:p>
              </w:tc>
              <w:tc>
                <w:tcPr>
                  <w:tcW w:w="9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污水管道恢复工程</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954.26</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763.41</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15.54</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六</w:t>
                  </w:r>
                </w:p>
              </w:tc>
              <w:tc>
                <w:tcPr>
                  <w:tcW w:w="9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穿堤建筑物工程</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2622.88</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1370.59</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1059.38</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192.78</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13.50</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2271.87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32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eastAsia" w:ascii="Times New Roman" w:hAnsi="Times New Roman" w:eastAsia="宋体" w:cs="Times New Roman"/>
                      <w:sz w:val="21"/>
                      <w:szCs w:val="21"/>
                    </w:rPr>
                    <w:t>七</w:t>
                  </w:r>
                </w:p>
              </w:tc>
              <w:tc>
                <w:tcPr>
                  <w:tcW w:w="9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检修梯步</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eastAsia"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59.98</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359.86</w:t>
                  </w:r>
                </w:p>
              </w:tc>
            </w:tr>
          </w:tbl>
          <w:p>
            <w:pPr>
              <w:adjustRightInd w:val="0"/>
              <w:snapToGrid w:val="0"/>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四、主要工程参数</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lang w:val="en-US" w:eastAsia="zh-CN"/>
              </w:rPr>
              <w:t>工程等级及</w:t>
            </w:r>
            <w:r>
              <w:rPr>
                <w:rFonts w:hint="default" w:ascii="Times New Roman" w:hAnsi="Times New Roman" w:cs="Times New Roman"/>
                <w:b/>
                <w:bCs/>
                <w:color w:val="auto"/>
                <w:sz w:val="24"/>
              </w:rPr>
              <w:t>防洪排涝标准</w:t>
            </w:r>
          </w:p>
          <w:p>
            <w:pPr>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根据《堤防工程设计规范》（GB50286—2013）表3.1.3规定，本工程为修建护岸堤，对河道进行护岸防冲，护岸堤不设定防洪标准，按10年一遇洪水进行防冲设计，堤防工程的级别为5级，主要建筑物级别为5级，次要建筑物级别为5级</w:t>
            </w:r>
            <w:r>
              <w:rPr>
                <w:rFonts w:hint="eastAsia" w:cs="Times New Roman"/>
                <w:b w:val="0"/>
                <w:bCs w:val="0"/>
                <w:color w:val="auto"/>
                <w:sz w:val="24"/>
                <w:lang w:eastAsia="zh-CN"/>
              </w:rPr>
              <w:t>；</w:t>
            </w:r>
            <w:r>
              <w:rPr>
                <w:rFonts w:hint="default" w:ascii="Times New Roman" w:hAnsi="Times New Roman" w:cs="Times New Roman"/>
                <w:b w:val="0"/>
                <w:bCs w:val="0"/>
                <w:color w:val="auto"/>
                <w:sz w:val="24"/>
                <w:lang w:eastAsia="zh-CN"/>
              </w:rPr>
              <w:t>排涝标准：</w:t>
            </w:r>
            <w:r>
              <w:rPr>
                <w:rFonts w:hint="default" w:ascii="Times New Roman" w:hAnsi="Times New Roman" w:cs="Times New Roman"/>
                <w:b w:val="0"/>
                <w:bCs w:val="0"/>
                <w:color w:val="auto"/>
                <w:sz w:val="24"/>
              </w:rPr>
              <w:t>工程河段排涝标准为</w:t>
            </w:r>
            <w:r>
              <w:rPr>
                <w:rFonts w:hint="eastAsia" w:cs="Times New Roman"/>
                <w:b w:val="0"/>
                <w:bCs w:val="0"/>
                <w:color w:val="auto"/>
                <w:sz w:val="24"/>
                <w:lang w:val="en-US" w:eastAsia="zh-CN"/>
              </w:rPr>
              <w:t>10</w:t>
            </w:r>
            <w:r>
              <w:rPr>
                <w:rFonts w:hint="default" w:ascii="Times New Roman" w:hAnsi="Times New Roman" w:cs="Times New Roman"/>
                <w:b w:val="0"/>
                <w:bCs w:val="0"/>
                <w:color w:val="auto"/>
                <w:sz w:val="24"/>
              </w:rPr>
              <w:t>年一遇暴雨重现期。</w:t>
            </w:r>
          </w:p>
          <w:bookmarkEnd w:id="3"/>
          <w:bookmarkEnd w:id="4"/>
          <w:p>
            <w:pPr>
              <w:adjustRightInd w:val="0"/>
              <w:snapToGrid w:val="0"/>
              <w:spacing w:line="360" w:lineRule="auto"/>
              <w:ind w:firstLine="482" w:firstLineChars="200"/>
              <w:jc w:val="left"/>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2、提防结构设计</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rPr>
            </w:pPr>
            <w:r>
              <w:rPr>
                <w:rFonts w:hint="eastAsia" w:cs="Times New Roman"/>
                <w:b/>
                <w:bCs/>
                <w:color w:val="auto"/>
                <w:sz w:val="24"/>
                <w:lang w:eastAsia="zh-CN"/>
              </w:rPr>
              <w:t>（</w:t>
            </w:r>
            <w:r>
              <w:rPr>
                <w:rFonts w:hint="eastAsia" w:cs="Times New Roman"/>
                <w:b/>
                <w:bCs/>
                <w:color w:val="auto"/>
                <w:sz w:val="24"/>
                <w:lang w:val="en-US" w:eastAsia="zh-CN"/>
              </w:rPr>
              <w:t>1</w:t>
            </w:r>
            <w:r>
              <w:rPr>
                <w:rFonts w:hint="eastAsia" w:cs="Times New Roman"/>
                <w:b/>
                <w:bCs/>
                <w:color w:val="auto"/>
                <w:sz w:val="24"/>
                <w:lang w:eastAsia="zh-CN"/>
              </w:rPr>
              <w:t>）</w:t>
            </w:r>
            <w:r>
              <w:rPr>
                <w:rFonts w:hint="default" w:ascii="Times New Roman" w:hAnsi="Times New Roman" w:eastAsia="宋体" w:cs="Times New Roman"/>
                <w:b/>
                <w:bCs/>
                <w:color w:val="auto"/>
                <w:sz w:val="24"/>
                <w:szCs w:val="24"/>
              </w:rPr>
              <w:t>芝溪河左一段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芝溪河左一段护岸长度271.90m，桩号为芝左一0+000.00～芝左一0+271.90。在支沟周家沟箱涵位置之前堤防断面迎水面结构为：堤顶高程以下设重力式挡墙，挡墙下接砼面板护坡。C20砼挡墙总高2.5m，墙顶宽0.5m，迎水面坡竖直，背水面坡1:0.35。面板坡比为1：1.75，面板为25cm厚的C25砼，下设5cm厚M7.5砂浆垫层找平，垫层之下采用泥岩石渣填筑或换填，换填宽度不小于3.0m，坡脚设防滑齿墙，C20砼浇筑，置于基岩或满足埋深要求，在回填地面线以上0.5m起设置DN50PVC排水管，间距1.5m，梅花型布置。</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支沟周家沟箱涵位置之后堤防断面迎水面结构为：迎水面坡比为1：1.75，采用25cm厚C25砼面板护坡，下设5cm厚M7.5砂浆垫层找平，垫层之下采用泥岩石渣填筑或换填，换填宽度不小于3.0m，坡脚设防滑齿墙，C20砼浇筑，置于基岩或满足埋深要求，在地面线以上0.5m起设置DN50PVC排水管，间距1.5m，梅花型布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bCs/>
                <w:color w:val="FF0000"/>
                <w:sz w:val="24"/>
                <w:szCs w:val="24"/>
                <w:lang w:eastAsia="zh-CN"/>
              </w:rPr>
            </w:pPr>
            <w:r>
              <w:rPr>
                <w:rFonts w:hint="default" w:ascii="Times New Roman" w:hAnsi="Times New Roman" w:eastAsia="宋体" w:cs="Times New Roman"/>
                <w:color w:val="000000" w:themeColor="text1"/>
                <w:sz w:val="24"/>
                <w:szCs w:val="24"/>
                <w14:textFill>
                  <w14:solidFill>
                    <w14:schemeClr w14:val="tx1"/>
                  </w14:solidFill>
                </w14:textFill>
              </w:rPr>
              <w:t>堤顶宽3.0m，依次下设5cm厚C25彩色透水砼路面和15cm厚C25透水砼堤顶，下设20cm厚碎石稳定层；背水坡坡比1：1.5，堤身范围内采用泥岩石渣填筑，堤后采用土石回填至堤顶高程。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0000"/>
                <w:sz w:val="24"/>
                <w:szCs w:val="24"/>
              </w:rPr>
            </w:pPr>
            <w:r>
              <w:drawing>
                <wp:inline distT="0" distB="0" distL="0" distR="0">
                  <wp:extent cx="5219700" cy="3206750"/>
                  <wp:effectExtent l="0" t="0" r="0" b="12700"/>
                  <wp:docPr id="104413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13046" name="图片 1"/>
                          <pic:cNvPicPr>
                            <a:picLocks noChangeAspect="1"/>
                          </pic:cNvPicPr>
                        </pic:nvPicPr>
                        <pic:blipFill>
                          <a:blip r:embed="rId16"/>
                          <a:stretch>
                            <a:fillRect/>
                          </a:stretch>
                        </pic:blipFill>
                        <pic:spPr>
                          <a:xfrm>
                            <a:off x="0" y="0"/>
                            <a:ext cx="5219700" cy="3206750"/>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5" w:leftChars="0" w:hanging="425"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芝左一段典型断面图一</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FF0000"/>
                <w:sz w:val="24"/>
                <w:szCs w:val="24"/>
              </w:rPr>
            </w:pPr>
            <w:r>
              <w:drawing>
                <wp:inline distT="0" distB="0" distL="0" distR="0">
                  <wp:extent cx="5219700" cy="3086735"/>
                  <wp:effectExtent l="0" t="0" r="0" b="18415"/>
                  <wp:docPr id="20189573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57300" name="图片 1"/>
                          <pic:cNvPicPr>
                            <a:picLocks noChangeAspect="1"/>
                          </pic:cNvPicPr>
                        </pic:nvPicPr>
                        <pic:blipFill>
                          <a:blip r:embed="rId17"/>
                          <a:stretch>
                            <a:fillRect/>
                          </a:stretch>
                        </pic:blipFill>
                        <pic:spPr>
                          <a:xfrm>
                            <a:off x="0" y="0"/>
                            <a:ext cx="5219700" cy="3086735"/>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left="425" w:leftChars="0" w:hanging="425"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芝左一段典型断面图</w:t>
            </w:r>
            <w:r>
              <w:rPr>
                <w:rFonts w:hint="eastAsia" w:cs="Times New Roman"/>
                <w:b/>
                <w:bCs/>
                <w:color w:val="auto"/>
                <w:sz w:val="21"/>
                <w:szCs w:val="21"/>
                <w:lang w:val="en-US" w:eastAsia="zh-CN"/>
              </w:rPr>
              <w:t>二</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color w:val="auto"/>
                <w:sz w:val="24"/>
                <w:szCs w:val="24"/>
              </w:rPr>
              <w:t>芝溪河左二段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芝溪河左二段护岸长度271.30m，桩号为芝左二0+000.00～芝左二0+271.30。上游起点接已建护岸，迎水面坡比为1：1.75，面板为25cm厚的C25砼，下设5cm厚M7.5砂浆垫层找平，垫层之下采用泥岩石渣填筑或换填，换填宽度不小于3.0m，坡脚设防滑齿墙，C20砼浇筑，置于基岩或满足埋深要求，在回填地面线以上0.5m起设置DN50PVC排水管，间距1.5m，梅花型布置。</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堤顶宽3.0m，依次下设5cm厚C25彩色透水砼路面和15cm厚C25透水砼堤顶，下设20cm厚碎石稳定层；堤后设置排水沟。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典型断面图如下：</w:t>
            </w:r>
          </w:p>
          <w:p>
            <w:pPr>
              <w:ind w:firstLine="0" w:firstLineChars="0"/>
              <w:jc w:val="center"/>
              <w:rPr>
                <w:color w:val="000000" w:themeColor="text1"/>
                <w14:textFill>
                  <w14:solidFill>
                    <w14:schemeClr w14:val="tx1"/>
                  </w14:solidFill>
                </w14:textFill>
              </w:rPr>
            </w:pPr>
            <w:r>
              <w:drawing>
                <wp:inline distT="0" distB="0" distL="0" distR="0">
                  <wp:extent cx="5219700" cy="3167380"/>
                  <wp:effectExtent l="0" t="0" r="0" b="13970"/>
                  <wp:docPr id="2108860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860999" name="图片 1"/>
                          <pic:cNvPicPr>
                            <a:picLocks noChangeAspect="1"/>
                          </pic:cNvPicPr>
                        </pic:nvPicPr>
                        <pic:blipFill>
                          <a:blip r:embed="rId18"/>
                          <a:stretch>
                            <a:fillRect/>
                          </a:stretch>
                        </pic:blipFill>
                        <pic:spPr>
                          <a:xfrm>
                            <a:off x="0" y="0"/>
                            <a:ext cx="5219700" cy="3167380"/>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芝左二</w:t>
            </w:r>
            <w:r>
              <w:rPr>
                <w:rFonts w:hint="default" w:ascii="Times New Roman" w:hAnsi="Times New Roman" w:eastAsia="宋体" w:cs="Times New Roman"/>
                <w:b/>
                <w:bCs/>
                <w:color w:val="auto"/>
                <w:sz w:val="21"/>
                <w:szCs w:val="21"/>
              </w:rPr>
              <w:t>段典型断面图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芝溪河左三段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芝溪河左三段护岸长度318.96m，桩号为芝左三0+000.00～芝左三0+318.96，上游起点接已建堡坎，迎水面坡比为1：1.75，面板为25cm厚的C25砼，下设5cm厚M7.5砂浆垫层找平，垫层之下采用泥岩石渣填筑或换填，换填宽度不小于3.0m，坡脚设防滑齿墙，C20砼浇筑，置于基岩或满足埋深要求，在回填地面线以上0.5m起设置DN50PVC排水管，间距1.5m，梅花型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堤顶宽3.0m，依次下设5cm厚C25彩色透水砼路面和15cm厚C25透水砼堤顶，下设20cm厚碎石稳定层；堤后设置排水沟。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典型断面图如下：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14:textFill>
                  <w14:solidFill>
                    <w14:schemeClr w14:val="tx1"/>
                  </w14:solidFill>
                </w14:textFill>
              </w:rPr>
            </w:pPr>
          </w:p>
          <w:p>
            <w:pPr>
              <w:ind w:firstLine="0" w:firstLineChars="0"/>
              <w:jc w:val="center"/>
              <w:rPr>
                <w:color w:val="000000" w:themeColor="text1"/>
                <w14:textFill>
                  <w14:solidFill>
                    <w14:schemeClr w14:val="tx1"/>
                  </w14:solidFill>
                </w14:textFill>
              </w:rPr>
            </w:pPr>
            <w:r>
              <w:drawing>
                <wp:inline distT="0" distB="0" distL="0" distR="0">
                  <wp:extent cx="5219700" cy="2562225"/>
                  <wp:effectExtent l="0" t="0" r="0" b="9525"/>
                  <wp:docPr id="1527021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21036" name="图片 1"/>
                          <pic:cNvPicPr>
                            <a:picLocks noChangeAspect="1"/>
                          </pic:cNvPicPr>
                        </pic:nvPicPr>
                        <pic:blipFill>
                          <a:blip r:embed="rId19"/>
                          <a:stretch>
                            <a:fillRect/>
                          </a:stretch>
                        </pic:blipFill>
                        <pic:spPr>
                          <a:xfrm>
                            <a:off x="0" y="0"/>
                            <a:ext cx="5219700" cy="2562225"/>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芝左三段典型断面图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14:textFill>
                  <w14:solidFill>
                    <w14:schemeClr w14:val="tx1"/>
                  </w14:solidFill>
                </w14:textFill>
              </w:rPr>
              <w:t>牛家河左岸段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牛家河左岸段护岸长度272.90m，桩号为牛左0+000.00～牛左0+272.90，起于牛家河前锋桥上游260m处石河堰左岸岸坡，止于前锋桥桥墩</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桩号牛左0+000.00～牛左0+</w:t>
            </w:r>
            <w:r>
              <w:rPr>
                <w:rFonts w:hint="default" w:ascii="Times New Roman" w:hAnsi="Times New Roman" w:eastAsia="宋体" w:cs="Times New Roman"/>
                <w:color w:val="000000" w:themeColor="text1"/>
                <w:sz w:val="24"/>
                <w:szCs w:val="24"/>
                <w14:textFill>
                  <w14:solidFill>
                    <w14:schemeClr w14:val="tx1"/>
                  </w14:solidFill>
                </w14:textFill>
              </w:rPr>
              <w:t>130.0</w:t>
            </w:r>
            <w:r>
              <w:rPr>
                <w:rFonts w:hint="eastAsia" w:ascii="Times New Roman" w:hAnsi="Times New Roman" w:eastAsia="宋体" w:cs="Times New Roman"/>
                <w:color w:val="000000" w:themeColor="text1"/>
                <w:sz w:val="24"/>
                <w:szCs w:val="24"/>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堤防断面迎水面结构</w:t>
            </w:r>
            <w:r>
              <w:rPr>
                <w:rFonts w:hint="eastAsia" w:ascii="Times New Roman" w:hAnsi="Times New Roman" w:eastAsia="宋体" w:cs="Times New Roman"/>
                <w:color w:val="000000" w:themeColor="text1"/>
                <w:sz w:val="24"/>
                <w:szCs w:val="24"/>
                <w14:textFill>
                  <w14:solidFill>
                    <w14:schemeClr w14:val="tx1"/>
                  </w14:solidFill>
                </w14:textFill>
              </w:rPr>
              <w:t>为：迎水面坡比为1：1.75，面板为25cm厚的C25砼，下设5cm厚M7.5砂浆垫层找平，垫层之下采用泥岩石渣填筑或换填，换填宽度不小于3.0m，坡脚设防滑齿墙，C20砼浇筑，置于基岩或满足埋深要求，在回填地面线以上0.5m起设置DN50PVC排水管，间距1.5m，梅花型布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桩号牛左0+</w:t>
            </w:r>
            <w:r>
              <w:rPr>
                <w:rFonts w:hint="default" w:ascii="Times New Roman" w:hAnsi="Times New Roman" w:eastAsia="宋体" w:cs="Times New Roman"/>
                <w:color w:val="000000" w:themeColor="text1"/>
                <w:sz w:val="24"/>
                <w:szCs w:val="24"/>
                <w14:textFill>
                  <w14:solidFill>
                    <w14:schemeClr w14:val="tx1"/>
                  </w14:solidFill>
                </w14:textFill>
              </w:rPr>
              <w:t>130</w:t>
            </w:r>
            <w:r>
              <w:rPr>
                <w:rFonts w:hint="eastAsia" w:ascii="Times New Roman" w:hAnsi="Times New Roman" w:eastAsia="宋体" w:cs="Times New Roman"/>
                <w:color w:val="000000" w:themeColor="text1"/>
                <w:sz w:val="24"/>
                <w:szCs w:val="24"/>
                <w14:textFill>
                  <w14:solidFill>
                    <w14:schemeClr w14:val="tx1"/>
                  </w14:solidFill>
                </w14:textFill>
              </w:rPr>
              <w:t>.00～牛左0+1</w:t>
            </w:r>
            <w:r>
              <w:rPr>
                <w:rFonts w:hint="default" w:ascii="Times New Roman" w:hAnsi="Times New Roman" w:eastAsia="宋体" w:cs="Times New Roman"/>
                <w:color w:val="000000" w:themeColor="text1"/>
                <w:sz w:val="24"/>
                <w:szCs w:val="24"/>
                <w14:textFill>
                  <w14:solidFill>
                    <w14:schemeClr w14:val="tx1"/>
                  </w14:solidFill>
                </w14:textFill>
              </w:rPr>
              <w:t>6</w:t>
            </w:r>
            <w:r>
              <w:rPr>
                <w:rFonts w:hint="eastAsia" w:ascii="Times New Roman" w:hAnsi="Times New Roman" w:eastAsia="宋体" w:cs="Times New Roman"/>
                <w:color w:val="000000" w:themeColor="text1"/>
                <w:sz w:val="24"/>
                <w:szCs w:val="24"/>
                <w14:textFill>
                  <w14:solidFill>
                    <w14:schemeClr w14:val="tx1"/>
                  </w14:solidFill>
                </w14:textFill>
              </w:rPr>
              <w:t>0.00为渐变段，断面结构从斜坡形式渐变为仰斜式挡墙，桩号牛左0+</w:t>
            </w:r>
            <w:r>
              <w:rPr>
                <w:rFonts w:hint="default" w:ascii="Times New Roman" w:hAnsi="Times New Roman" w:eastAsia="宋体" w:cs="Times New Roman"/>
                <w:color w:val="000000" w:themeColor="text1"/>
                <w:sz w:val="24"/>
                <w:szCs w:val="24"/>
                <w14:textFill>
                  <w14:solidFill>
                    <w14:schemeClr w14:val="tx1"/>
                  </w14:solidFill>
                </w14:textFill>
              </w:rPr>
              <w:t>160</w:t>
            </w:r>
            <w:r>
              <w:rPr>
                <w:rFonts w:hint="eastAsia" w:ascii="Times New Roman" w:hAnsi="Times New Roman" w:eastAsia="宋体" w:cs="Times New Roman"/>
                <w:color w:val="000000" w:themeColor="text1"/>
                <w:sz w:val="24"/>
                <w:szCs w:val="24"/>
                <w14:textFill>
                  <w14:solidFill>
                    <w14:schemeClr w14:val="tx1"/>
                  </w14:solidFill>
                </w14:textFill>
              </w:rPr>
              <w:t>.00～牛左0+</w:t>
            </w:r>
            <w:r>
              <w:rPr>
                <w:rFonts w:hint="default" w:ascii="Times New Roman" w:hAnsi="Times New Roman" w:eastAsia="宋体" w:cs="Times New Roman"/>
                <w:color w:val="000000" w:themeColor="text1"/>
                <w:sz w:val="24"/>
                <w:szCs w:val="24"/>
                <w14:textFill>
                  <w14:solidFill>
                    <w14:schemeClr w14:val="tx1"/>
                  </w14:solidFill>
                </w14:textFill>
              </w:rPr>
              <w:t>215</w:t>
            </w:r>
            <w:r>
              <w:rPr>
                <w:rFonts w:hint="eastAsia" w:ascii="Times New Roman" w:hAnsi="Times New Roman" w:eastAsia="宋体" w:cs="Times New Roman"/>
                <w:color w:val="000000" w:themeColor="text1"/>
                <w:sz w:val="24"/>
                <w:szCs w:val="24"/>
                <w14:textFill>
                  <w14:solidFill>
                    <w14:schemeClr w14:val="tx1"/>
                  </w14:solidFill>
                </w14:textFill>
              </w:rPr>
              <w:t>.00为仰斜式挡墙，</w:t>
            </w:r>
            <w:r>
              <w:rPr>
                <w:rFonts w:hint="default" w:ascii="Times New Roman" w:hAnsi="Times New Roman" w:eastAsia="宋体" w:cs="Times New Roman"/>
                <w:color w:val="000000" w:themeColor="text1"/>
                <w:sz w:val="24"/>
                <w:szCs w:val="24"/>
                <w14:textFill>
                  <w14:solidFill>
                    <w14:schemeClr w14:val="tx1"/>
                  </w14:solidFill>
                </w14:textFill>
              </w:rPr>
              <w:t>挡墙顶宽</w:t>
            </w:r>
            <w:r>
              <w:rPr>
                <w:rFonts w:hint="eastAsia" w:ascii="Times New Roman" w:hAnsi="Times New Roman" w:eastAsia="宋体" w:cs="Times New Roman"/>
                <w:color w:val="000000" w:themeColor="text1"/>
                <w:sz w:val="24"/>
                <w:szCs w:val="24"/>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.6m，迎水面坡比</w:t>
            </w:r>
            <w:r>
              <w:rPr>
                <w:rFonts w:hint="eastAsia"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 xml:space="preserve"> 1.0，背水面坡比1:0.75，</w:t>
            </w:r>
            <w:r>
              <w:rPr>
                <w:rFonts w:hint="eastAsia" w:ascii="Times New Roman" w:hAnsi="Times New Roman" w:eastAsia="宋体" w:cs="Times New Roman"/>
                <w:color w:val="000000" w:themeColor="text1"/>
                <w:sz w:val="24"/>
                <w:szCs w:val="24"/>
                <w14:textFill>
                  <w14:solidFill>
                    <w14:schemeClr w14:val="tx1"/>
                  </w14:solidFill>
                </w14:textFill>
              </w:rPr>
              <w:t>墙身采用C</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eastAsia" w:ascii="Times New Roman" w:hAnsi="Times New Roman" w:eastAsia="宋体" w:cs="Times New Roman"/>
                <w:color w:val="000000" w:themeColor="text1"/>
                <w:sz w:val="24"/>
                <w:szCs w:val="24"/>
                <w14:textFill>
                  <w14:solidFill>
                    <w14:schemeClr w14:val="tx1"/>
                  </w14:solidFill>
                </w14:textFill>
              </w:rPr>
              <w:t>砼浇筑，挡墙基础深入基岩0</w:t>
            </w:r>
            <w:r>
              <w:rPr>
                <w:rFonts w:hint="default" w:ascii="Times New Roman" w:hAnsi="Times New Roman" w:eastAsia="宋体" w:cs="Times New Roman"/>
                <w:color w:val="000000" w:themeColor="text1"/>
                <w:sz w:val="24"/>
                <w:szCs w:val="24"/>
                <w14:textFill>
                  <w14:solidFill>
                    <w14:schemeClr w14:val="tx1"/>
                  </w14:solidFill>
                </w14:textFill>
              </w:rPr>
              <w:t>.5</w:t>
            </w:r>
            <w:r>
              <w:rPr>
                <w:rFonts w:hint="eastAsia"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.0m，在</w:t>
            </w:r>
            <w:r>
              <w:rPr>
                <w:rFonts w:hint="eastAsia" w:ascii="Times New Roman" w:hAnsi="Times New Roman" w:eastAsia="宋体" w:cs="Times New Roman"/>
                <w:color w:val="000000" w:themeColor="text1"/>
                <w:sz w:val="24"/>
                <w:szCs w:val="24"/>
                <w14:textFill>
                  <w14:solidFill>
                    <w14:schemeClr w14:val="tx1"/>
                  </w14:solidFill>
                </w14:textFill>
              </w:rPr>
              <w:t>回填</w:t>
            </w:r>
            <w:r>
              <w:rPr>
                <w:rFonts w:hint="default" w:ascii="Times New Roman" w:hAnsi="Times New Roman" w:eastAsia="宋体" w:cs="Times New Roman"/>
                <w:color w:val="000000" w:themeColor="text1"/>
                <w:sz w:val="24"/>
                <w:szCs w:val="24"/>
                <w14:textFill>
                  <w14:solidFill>
                    <w14:schemeClr w14:val="tx1"/>
                  </w14:solidFill>
                </w14:textFill>
              </w:rPr>
              <w:t>地面线以上</w:t>
            </w:r>
            <w:r>
              <w:rPr>
                <w:rFonts w:hint="eastAsia" w:ascii="Times New Roman" w:hAnsi="Times New Roman" w:eastAsia="宋体" w:cs="Times New Roman"/>
                <w:color w:val="000000" w:themeColor="text1"/>
                <w:sz w:val="24"/>
                <w:szCs w:val="24"/>
                <w14:textFill>
                  <w14:solidFill>
                    <w14:schemeClr w14:val="tx1"/>
                  </w14:solidFill>
                </w14:textFill>
              </w:rPr>
              <w:t>0</w:t>
            </w:r>
            <w:r>
              <w:rPr>
                <w:rFonts w:hint="default" w:ascii="Times New Roman" w:hAnsi="Times New Roman" w:eastAsia="宋体" w:cs="Times New Roman"/>
                <w:color w:val="000000" w:themeColor="text1"/>
                <w:sz w:val="24"/>
                <w:szCs w:val="24"/>
                <w14:textFill>
                  <w14:solidFill>
                    <w14:schemeClr w14:val="tx1"/>
                  </w14:solidFill>
                </w14:textFill>
              </w:rPr>
              <w:t>.5m起设置</w:t>
            </w:r>
            <w:r>
              <w:rPr>
                <w:rFonts w:hint="eastAsia"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14:textFill>
                  <w14:solidFill>
                    <w14:schemeClr w14:val="tx1"/>
                  </w14:solidFill>
                </w14:textFill>
              </w:rPr>
              <w:t>N50PVC排水管，间距</w:t>
            </w:r>
            <w:r>
              <w:rPr>
                <w:rFonts w:hint="eastAsia" w:ascii="Times New Roman" w:hAnsi="Times New Roman" w:eastAsia="宋体" w:cs="Times New Roman"/>
                <w:color w:val="000000" w:themeColor="text1"/>
                <w:sz w:val="24"/>
                <w:szCs w:val="24"/>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.5m，梅花型布置。</w:t>
            </w:r>
            <w:r>
              <w:rPr>
                <w:rFonts w:hint="eastAsia" w:ascii="Times New Roman" w:hAnsi="Times New Roman" w:eastAsia="宋体" w:cs="Times New Roman"/>
                <w:color w:val="000000" w:themeColor="text1"/>
                <w:sz w:val="24"/>
                <w:szCs w:val="24"/>
                <w14:textFill>
                  <w14:solidFill>
                    <w14:schemeClr w14:val="tx1"/>
                  </w14:solidFill>
                </w14:textFill>
              </w:rPr>
              <w:t>在靠近房屋集中位置，桩号牛左0+1</w:t>
            </w:r>
            <w:r>
              <w:rPr>
                <w:rFonts w:hint="default" w:ascii="Times New Roman" w:hAnsi="Times New Roman" w:eastAsia="宋体" w:cs="Times New Roman"/>
                <w:color w:val="000000" w:themeColor="text1"/>
                <w:sz w:val="24"/>
                <w:szCs w:val="24"/>
                <w14:textFill>
                  <w14:solidFill>
                    <w14:schemeClr w14:val="tx1"/>
                  </w14:solidFill>
                </w14:textFill>
              </w:rPr>
              <w:t>9</w:t>
            </w:r>
            <w:r>
              <w:rPr>
                <w:rFonts w:hint="eastAsia" w:ascii="Times New Roman" w:hAnsi="Times New Roman" w:eastAsia="宋体" w:cs="Times New Roman"/>
                <w:color w:val="000000" w:themeColor="text1"/>
                <w:sz w:val="24"/>
                <w:szCs w:val="24"/>
                <w14:textFill>
                  <w14:solidFill>
                    <w14:schemeClr w14:val="tx1"/>
                  </w14:solidFill>
                </w14:textFill>
              </w:rPr>
              <w:t>0.00～牛左0+2</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eastAsia" w:ascii="Times New Roman" w:hAnsi="Times New Roman" w:eastAsia="宋体" w:cs="Times New Roman"/>
                <w:color w:val="000000" w:themeColor="text1"/>
                <w:sz w:val="24"/>
                <w:szCs w:val="24"/>
                <w14:textFill>
                  <w14:solidFill>
                    <w14:schemeClr w14:val="tx1"/>
                  </w14:solidFill>
                </w14:textFill>
              </w:rPr>
              <w:t>.00尽量减少开挖扰动，对于仰斜式挡墙的开挖面采用土钉支护，土钉采用φ4</w:t>
            </w:r>
            <w:r>
              <w:rPr>
                <w:rFonts w:hint="default" w:ascii="Times New Roman" w:hAnsi="Times New Roman" w:eastAsia="宋体" w:cs="Times New Roman"/>
                <w:color w:val="000000" w:themeColor="text1"/>
                <w:sz w:val="24"/>
                <w:szCs w:val="24"/>
                <w14:textFill>
                  <w14:solidFill>
                    <w14:schemeClr w14:val="tx1"/>
                  </w14:solidFill>
                </w14:textFill>
              </w:rPr>
              <w:t>0</w:t>
            </w:r>
            <w:r>
              <w:rPr>
                <w:rFonts w:hint="eastAsia" w:ascii="Times New Roman" w:hAnsi="Times New Roman" w:eastAsia="宋体" w:cs="Times New Roman"/>
                <w:color w:val="000000" w:themeColor="text1"/>
                <w:sz w:val="24"/>
                <w:szCs w:val="24"/>
                <w14:textFill>
                  <w14:solidFill>
                    <w14:schemeClr w14:val="tx1"/>
                  </w14:solidFill>
                </w14:textFill>
              </w:rPr>
              <w:t>地质钢管，长3</w:t>
            </w:r>
            <w:r>
              <w:rPr>
                <w:rFonts w:hint="default" w:ascii="Times New Roman" w:hAnsi="Times New Roman" w:eastAsia="宋体" w:cs="Times New Roman"/>
                <w:color w:val="000000" w:themeColor="text1"/>
                <w:sz w:val="24"/>
                <w:szCs w:val="24"/>
                <w14:textFill>
                  <w14:solidFill>
                    <w14:schemeClr w14:val="tx1"/>
                  </w14:solidFill>
                </w14:textFill>
              </w:rPr>
              <w:t>.0m</w:t>
            </w:r>
            <w:r>
              <w:rPr>
                <w:rFonts w:hint="eastAsia" w:ascii="Times New Roman" w:hAnsi="Times New Roman" w:eastAsia="宋体" w:cs="Times New Roman"/>
                <w:color w:val="000000" w:themeColor="text1"/>
                <w:sz w:val="24"/>
                <w:szCs w:val="24"/>
                <w14:textFill>
                  <w14:solidFill>
                    <w14:schemeClr w14:val="tx1"/>
                  </w14:solidFill>
                </w14:textFill>
              </w:rPr>
              <w:t>，纵横间距1</w:t>
            </w:r>
            <w:r>
              <w:rPr>
                <w:rFonts w:hint="default" w:ascii="Times New Roman" w:hAnsi="Times New Roman" w:eastAsia="宋体" w:cs="Times New Roman"/>
                <w:color w:val="000000" w:themeColor="text1"/>
                <w:sz w:val="24"/>
                <w:szCs w:val="24"/>
                <w14:textFill>
                  <w14:solidFill>
                    <w14:schemeClr w14:val="tx1"/>
                  </w14:solidFill>
                </w14:textFill>
              </w:rPr>
              <w:t>.0m</w:t>
            </w:r>
            <w:r>
              <w:rPr>
                <w:rFonts w:hint="eastAsia" w:ascii="Times New Roman" w:hAnsi="Times New Roman" w:eastAsia="宋体" w:cs="Times New Roman"/>
                <w:color w:val="000000" w:themeColor="text1"/>
                <w:sz w:val="24"/>
                <w:szCs w:val="24"/>
                <w14:textFill>
                  <w14:solidFill>
                    <w14:schemeClr w14:val="tx1"/>
                  </w14:solidFill>
                </w14:textFill>
              </w:rPr>
              <w:t>，并用钢筋网挂网喷锚，C</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eastAsia" w:ascii="Times New Roman" w:hAnsi="Times New Roman" w:eastAsia="宋体" w:cs="Times New Roman"/>
                <w:color w:val="000000" w:themeColor="text1"/>
                <w:sz w:val="24"/>
                <w:szCs w:val="24"/>
                <w14:textFill>
                  <w14:solidFill>
                    <w14:schemeClr w14:val="tx1"/>
                  </w14:solidFill>
                </w14:textFill>
              </w:rPr>
              <w:t>砼喷锚厚度1</w:t>
            </w:r>
            <w:r>
              <w:rPr>
                <w:rFonts w:hint="default" w:ascii="Times New Roman" w:hAnsi="Times New Roman" w:eastAsia="宋体" w:cs="Times New Roman"/>
                <w:color w:val="000000" w:themeColor="text1"/>
                <w:sz w:val="24"/>
                <w:szCs w:val="24"/>
                <w14:textFill>
                  <w14:solidFill>
                    <w14:schemeClr w14:val="tx1"/>
                  </w14:solidFill>
                </w14:textFill>
              </w:rPr>
              <w:t>0cm</w:t>
            </w:r>
            <w:r>
              <w:rPr>
                <w:rFonts w:hint="eastAsia" w:ascii="Times New Roman" w:hAnsi="Times New Roman" w:eastAsia="宋体" w:cs="Times New Roman"/>
                <w:color w:val="000000" w:themeColor="text1"/>
                <w:sz w:val="24"/>
                <w:szCs w:val="24"/>
                <w14:textFill>
                  <w14:solidFill>
                    <w14:schemeClr w14:val="tx1"/>
                  </w14:solidFill>
                </w14:textFill>
              </w:rPr>
              <w:t>。在桩号牛左0+</w:t>
            </w:r>
            <w:r>
              <w:rPr>
                <w:rFonts w:hint="default" w:ascii="Times New Roman" w:hAnsi="Times New Roman" w:eastAsia="宋体" w:cs="Times New Roman"/>
                <w:color w:val="000000" w:themeColor="text1"/>
                <w:sz w:val="24"/>
                <w:szCs w:val="24"/>
                <w14:textFill>
                  <w14:solidFill>
                    <w14:schemeClr w14:val="tx1"/>
                  </w14:solidFill>
                </w14:textFill>
              </w:rPr>
              <w:t>215</w:t>
            </w:r>
            <w:r>
              <w:rPr>
                <w:rFonts w:hint="eastAsia" w:ascii="Times New Roman" w:hAnsi="Times New Roman" w:eastAsia="宋体" w:cs="Times New Roman"/>
                <w:color w:val="000000" w:themeColor="text1"/>
                <w:sz w:val="24"/>
                <w:szCs w:val="24"/>
                <w14:textFill>
                  <w14:solidFill>
                    <w14:schemeClr w14:val="tx1"/>
                  </w14:solidFill>
                </w14:textFill>
              </w:rPr>
              <w:t>.00～牛左0+</w:t>
            </w:r>
            <w:r>
              <w:rPr>
                <w:rFonts w:hint="default" w:ascii="Times New Roman" w:hAnsi="Times New Roman" w:eastAsia="宋体" w:cs="Times New Roman"/>
                <w:color w:val="000000" w:themeColor="text1"/>
                <w:sz w:val="24"/>
                <w:szCs w:val="24"/>
                <w14:textFill>
                  <w14:solidFill>
                    <w14:schemeClr w14:val="tx1"/>
                  </w14:solidFill>
                </w14:textFill>
              </w:rPr>
              <w:t>244.20</w:t>
            </w:r>
            <w:r>
              <w:rPr>
                <w:rFonts w:hint="eastAsia" w:ascii="Times New Roman" w:hAnsi="Times New Roman" w:eastAsia="宋体" w:cs="Times New Roman"/>
                <w:color w:val="000000" w:themeColor="text1"/>
                <w:sz w:val="24"/>
                <w:szCs w:val="24"/>
                <w14:textFill>
                  <w14:solidFill>
                    <w14:schemeClr w14:val="tx1"/>
                  </w14:solidFill>
                </w14:textFill>
              </w:rPr>
              <w:t>为渐变段，断面结构从仰斜式挡墙渐变为衡重式挡墙，接下游居民院坝堡坎，桩号牛左0+244.20～牛左0+272.90段采用C25现浇面板对现状河岸护坡。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堤顶宽原则为3.0m，在靠近房屋较窄位置，仅保留挡墙顶宽度。堤顶结构为</w:t>
            </w:r>
            <w:r>
              <w:rPr>
                <w:rFonts w:hint="default" w:ascii="Times New Roman" w:hAnsi="Times New Roman" w:eastAsia="宋体" w:cs="Times New Roman"/>
                <w:color w:val="000000" w:themeColor="text1"/>
                <w:sz w:val="24"/>
                <w:szCs w:val="24"/>
                <w14:textFill>
                  <w14:solidFill>
                    <w14:schemeClr w14:val="tx1"/>
                  </w14:solidFill>
                </w14:textFill>
              </w:rPr>
              <w:t>20</w:t>
            </w:r>
            <w:r>
              <w:rPr>
                <w:rFonts w:hint="eastAsia" w:ascii="Times New Roman" w:hAnsi="Times New Roman" w:eastAsia="宋体" w:cs="Times New Roman"/>
                <w:color w:val="000000" w:themeColor="text1"/>
                <w:sz w:val="24"/>
                <w:szCs w:val="24"/>
                <w14:textFill>
                  <w14:solidFill>
                    <w14:schemeClr w14:val="tx1"/>
                  </w14:solidFill>
                </w14:textFill>
              </w:rPr>
              <w:t>cm厚C25透水砼堤顶，下设20cm厚碎石稳定层；背水坡坡比1：1.5，堤身范围内采用泥岩石渣填筑，堤后设排水沟。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典型断面图如下：</w:t>
            </w:r>
          </w:p>
          <w:p>
            <w:pPr>
              <w:ind w:firstLine="0" w:firstLineChars="0"/>
              <w:jc w:val="center"/>
              <w:rPr>
                <w:color w:val="000000" w:themeColor="text1"/>
                <w14:textFill>
                  <w14:solidFill>
                    <w14:schemeClr w14:val="tx1"/>
                  </w14:solidFill>
                </w14:textFill>
              </w:rPr>
            </w:pPr>
            <w:r>
              <w:drawing>
                <wp:inline distT="0" distB="0" distL="0" distR="0">
                  <wp:extent cx="4887595" cy="2609850"/>
                  <wp:effectExtent l="0" t="0" r="8255" b="0"/>
                  <wp:docPr id="244218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18049" name="图片 1"/>
                          <pic:cNvPicPr>
                            <a:picLocks noChangeAspect="1"/>
                          </pic:cNvPicPr>
                        </pic:nvPicPr>
                        <pic:blipFill>
                          <a:blip r:embed="rId20"/>
                          <a:stretch>
                            <a:fillRect/>
                          </a:stretch>
                        </pic:blipFill>
                        <pic:spPr>
                          <a:xfrm>
                            <a:off x="0" y="0"/>
                            <a:ext cx="4897014" cy="2614647"/>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牛家河左岸典型断面图一</w:t>
            </w:r>
          </w:p>
          <w:p>
            <w:pPr>
              <w:ind w:firstLine="0" w:firstLineChars="0"/>
              <w:jc w:val="center"/>
              <w:rPr>
                <w:color w:val="000000" w:themeColor="text1"/>
                <w14:textFill>
                  <w14:solidFill>
                    <w14:schemeClr w14:val="tx1"/>
                  </w14:solidFill>
                </w14:textFill>
              </w:rPr>
            </w:pPr>
            <w:r>
              <w:drawing>
                <wp:inline distT="0" distB="0" distL="0" distR="0">
                  <wp:extent cx="5219700" cy="2710180"/>
                  <wp:effectExtent l="0" t="0" r="0" b="13970"/>
                  <wp:docPr id="1586898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98944" name="图片 1"/>
                          <pic:cNvPicPr>
                            <a:picLocks noChangeAspect="1"/>
                          </pic:cNvPicPr>
                        </pic:nvPicPr>
                        <pic:blipFill>
                          <a:blip r:embed="rId21"/>
                          <a:stretch>
                            <a:fillRect/>
                          </a:stretch>
                        </pic:blipFill>
                        <pic:spPr>
                          <a:xfrm>
                            <a:off x="0" y="0"/>
                            <a:ext cx="5219700" cy="2710180"/>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牛家河左岸典型断面图二</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3、排涝涵管及箱涵主要工程参数</w:t>
            </w:r>
          </w:p>
          <w:p>
            <w:pPr>
              <w:adjustRightInd w:val="0"/>
              <w:snapToGrid w:val="0"/>
              <w:spacing w:line="360" w:lineRule="auto"/>
              <w:ind w:firstLine="482" w:firstLineChars="200"/>
              <w:jc w:val="left"/>
              <w:rPr>
                <w:rFonts w:hint="default" w:cs="Times New Roman"/>
                <w:b/>
                <w:bCs/>
                <w:color w:val="auto"/>
                <w:sz w:val="24"/>
                <w:lang w:val="en-US" w:eastAsia="zh-CN"/>
              </w:rPr>
            </w:pPr>
            <w:r>
              <w:rPr>
                <w:rFonts w:hint="eastAsia" w:cs="Times New Roman"/>
                <w:b/>
                <w:bCs/>
                <w:color w:val="auto"/>
                <w:sz w:val="24"/>
                <w:lang w:eastAsia="zh-CN"/>
              </w:rPr>
              <w:t>（</w:t>
            </w:r>
            <w:r>
              <w:rPr>
                <w:rFonts w:hint="eastAsia" w:cs="Times New Roman"/>
                <w:b/>
                <w:bCs/>
                <w:color w:val="auto"/>
                <w:sz w:val="24"/>
                <w:lang w:val="en-US" w:eastAsia="zh-CN"/>
              </w:rPr>
              <w:t>1</w:t>
            </w:r>
            <w:r>
              <w:rPr>
                <w:rFonts w:hint="eastAsia" w:cs="Times New Roman"/>
                <w:b/>
                <w:bCs/>
                <w:color w:val="auto"/>
                <w:sz w:val="24"/>
                <w:lang w:eastAsia="zh-CN"/>
              </w:rPr>
              <w:t>）</w:t>
            </w:r>
            <w:r>
              <w:rPr>
                <w:rFonts w:hint="eastAsia" w:cs="Times New Roman"/>
                <w:b/>
                <w:bCs/>
                <w:color w:val="auto"/>
                <w:sz w:val="24"/>
                <w:lang w:val="en-US" w:eastAsia="zh-CN"/>
              </w:rPr>
              <w:t>排洪箱涵</w:t>
            </w:r>
          </w:p>
          <w:p>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望江楼桥下游145m处有周家沟从左岸汇入芝溪河，周家沟集雨面积为7.72km</w:t>
            </w:r>
            <w:r>
              <w:rPr>
                <w:rFonts w:hint="default" w:ascii="Times New Roman" w:hAnsi="Times New Roman" w:cs="Times New Roman"/>
                <w:color w:val="auto"/>
                <w:sz w:val="24"/>
                <w:vertAlign w:val="superscript"/>
                <w:lang w:val="en-US" w:eastAsia="zh-CN"/>
              </w:rPr>
              <w:t>2</w:t>
            </w:r>
            <w:r>
              <w:rPr>
                <w:rFonts w:hint="default" w:ascii="Times New Roman" w:hAnsi="Times New Roman" w:cs="Times New Roman"/>
                <w:color w:val="auto"/>
                <w:sz w:val="24"/>
                <w:lang w:val="en-US" w:eastAsia="zh-CN"/>
              </w:rPr>
              <w:t>，河长为7.38km，河道平均比降为6.55‰。周家沟现状即为排洪沟，设计排洪流量32.5m3/s，该处新建排洪箱涵一处，箱涵2孔，每孔净空尺寸6m×3m，纵比降1:100，箱涵采用C30钢筋砼结构，底板、边墙、中墩及顶板厚度均为0.5m，箱涵底板下设10cm厚C15砼垫层。箱涵长10m，箱涵进口前设置导流墙，导流墙长约21.5m，并对周家沟进行约22m长的天然岸坡衬砌，衬砌坡比为1：1.75，面板为25cm厚的C25砼，下设5cm厚M7.5砂浆垫层找平，垫层之下采用泥岩石渣填筑或换填，换填宽度不小于3.0m，坡脚设防滑齿墙，C20砼浇筑；因该山洪沟本身断面较小，且基岩深度约为5.0m，本次设计对该段底坡进行衬砌，底板采用C20浇筑，厚20cm。出口与堤防主体衔接，侧面采用C30砼重力式挡墙，顶宽0.5m，迎水面直立，背水面坡比1:0.3，挡墙高度沿堤防迎水面坡渐变。出口设50cm厚C25砼护坦。</w:t>
            </w:r>
          </w:p>
          <w:p>
            <w:pPr>
              <w:adjustRightInd w:val="0"/>
              <w:snapToGrid w:val="0"/>
              <w:spacing w:line="360" w:lineRule="auto"/>
              <w:ind w:firstLine="482" w:firstLineChars="200"/>
              <w:jc w:val="left"/>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（2）排涝涵管</w:t>
            </w:r>
          </w:p>
          <w:p>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根据排涝流量大小，采用预制涵管排涝，涵管采用管径1.0m的Ⅱ级预制砼管，下设C20素砼支座，涵管纵比降1:50。涵管进口设集水池，集水池采用C25砼结构，净空尺寸2.5m×2.5m（宽×高），集水池厚0.5m。出口设50cm厚C25砼护坦，护坦齿墙伸入基岩。为防止洪水倒灌，穿堤涵管出口处设置拍门。当河道水位较低时拍门自动打开排水，当河道水位较高时拍门关闭防止倒灌。</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eastAsia" w:cs="Times New Roman"/>
                <w:b/>
                <w:bCs/>
                <w:color w:val="auto"/>
                <w:sz w:val="24"/>
                <w:lang w:val="en-US" w:eastAsia="zh-CN"/>
              </w:rPr>
              <w:t>4、</w:t>
            </w:r>
            <w:r>
              <w:rPr>
                <w:rFonts w:hint="default" w:ascii="Times New Roman" w:hAnsi="Times New Roman" w:cs="Times New Roman"/>
                <w:b/>
                <w:bCs/>
                <w:color w:val="auto"/>
                <w:sz w:val="24"/>
              </w:rPr>
              <w:t>下河步梯主要工程参数</w:t>
            </w:r>
          </w:p>
          <w:p>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堤防建设后，为满足防汛抢险交通要求，需要设置下河梯步。</w:t>
            </w:r>
          </w:p>
          <w:p>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每隔200m左右设置下河梯步，共设施</w:t>
            </w:r>
            <w:r>
              <w:rPr>
                <w:rFonts w:hint="default" w:ascii="Times New Roman" w:hAnsi="Times New Roman" w:cs="Times New Roman"/>
                <w:color w:val="auto"/>
                <w:sz w:val="24"/>
                <w:lang w:val="en-US" w:eastAsia="zh-CN"/>
              </w:rPr>
              <w:t>5</w:t>
            </w:r>
            <w:r>
              <w:rPr>
                <w:rFonts w:hint="eastAsia" w:ascii="Times New Roman" w:hAnsi="Times New Roman" w:cs="Times New Roman"/>
                <w:color w:val="auto"/>
                <w:sz w:val="24"/>
                <w:lang w:val="en-US" w:eastAsia="zh-CN"/>
              </w:rPr>
              <w:t>处，其中右岸段设置2处，左岸上段设置</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处，左岸下段设置2处。</w:t>
            </w:r>
          </w:p>
          <w:p>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梯步垂直河堤线布置。梯步采用C20砼浇筑，步宽3.0m，阶高0.2m，阶宽0.35m，坡比1:1.75，两侧设C20砼梯带，梯带宽0.2m。</w:t>
            </w:r>
          </w:p>
          <w:p>
            <w:pPr>
              <w:adjustRightInd w:val="0"/>
              <w:snapToGrid w:val="0"/>
              <w:spacing w:line="360" w:lineRule="auto"/>
              <w:ind w:firstLine="482" w:firstLineChars="200"/>
              <w:jc w:val="left"/>
              <w:rPr>
                <w:rFonts w:hint="default" w:cs="Times New Roman"/>
                <w:b/>
                <w:bCs/>
                <w:color w:val="auto"/>
                <w:sz w:val="24"/>
                <w:lang w:val="en-US" w:eastAsia="zh-CN"/>
              </w:rPr>
            </w:pPr>
            <w:r>
              <w:rPr>
                <w:rFonts w:hint="eastAsia" w:cs="Times New Roman"/>
                <w:b/>
                <w:bCs/>
                <w:color w:val="auto"/>
                <w:sz w:val="24"/>
                <w:lang w:val="en-US" w:eastAsia="zh-CN"/>
              </w:rPr>
              <w:t>5、</w:t>
            </w:r>
            <w:r>
              <w:rPr>
                <w:rFonts w:hint="default" w:cs="Times New Roman"/>
                <w:b/>
                <w:bCs/>
                <w:color w:val="auto"/>
                <w:sz w:val="24"/>
                <w:lang w:val="en-US" w:eastAsia="zh-CN"/>
              </w:rPr>
              <w:t>污水管网</w:t>
            </w:r>
            <w:r>
              <w:rPr>
                <w:rFonts w:hint="eastAsia" w:cs="Times New Roman"/>
                <w:b/>
                <w:bCs/>
                <w:color w:val="auto"/>
                <w:sz w:val="24"/>
                <w:lang w:val="en-US" w:eastAsia="zh-CN"/>
              </w:rPr>
              <w:t>恢复重建设计</w:t>
            </w:r>
          </w:p>
          <w:p>
            <w:pPr>
              <w:adjustRightInd w:val="0"/>
              <w:snapToGrid w:val="0"/>
              <w:spacing w:line="360" w:lineRule="auto"/>
              <w:ind w:firstLine="480" w:firstLineChars="200"/>
              <w:jc w:val="lef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由于堤防修建，侵占原污水管，需对污水管进行调整，根据实地调查，对项目区河段内涉及现状污水管迁改。拆除工程河段内现状污水管，对质量良好、不影响使用的污水管进行保存，待复建利用。</w:t>
            </w:r>
          </w:p>
          <w:p>
            <w:pPr>
              <w:adjustRightInd w:val="0"/>
              <w:snapToGrid w:val="0"/>
              <w:spacing w:line="360" w:lineRule="auto"/>
              <w:ind w:firstLine="480" w:firstLineChars="200"/>
              <w:jc w:val="lef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改迁污水管在原址处平移到合适位置，管道中心线高程与原管道中心线高程保持一致。新建污水管采用PE管，主管在转弯及平直30m间隔设置C20砼镇墩，同时根据污水管现状布置15座检查井，检查井详见《06MS201—3排水检查井图集》，顶部采用φ700铸铁井盖封闭。污水管整治详细尺寸及参数见典型断面图。污水干管贯通后，应先做闭水试验，闭水试验合格后方可回填。管道工程施工时应按现行国家标准《给排水管道施工及验收规范》GB50268和有关规定执行。</w:t>
            </w:r>
          </w:p>
          <w:p>
            <w:pPr>
              <w:adjustRightInd w:val="0"/>
              <w:snapToGrid w:val="0"/>
              <w:spacing w:line="360" w:lineRule="auto"/>
              <w:ind w:firstLine="480" w:firstLineChars="200"/>
              <w:jc w:val="left"/>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污水管恢复重建汇总详见</w:t>
            </w:r>
            <w:r>
              <w:rPr>
                <w:rFonts w:hint="eastAsia" w:cs="Times New Roman"/>
                <w:color w:val="auto"/>
                <w:sz w:val="24"/>
                <w:lang w:val="en-US" w:eastAsia="zh-CN"/>
              </w:rPr>
              <w:t>下</w:t>
            </w:r>
            <w:r>
              <w:rPr>
                <w:rFonts w:hint="eastAsia" w:ascii="Times New Roman" w:hAnsi="Times New Roman" w:cs="Times New Roman"/>
                <w:color w:val="auto"/>
                <w:sz w:val="24"/>
                <w:lang w:val="en-US" w:eastAsia="zh-CN"/>
              </w:rPr>
              <w:t>表。</w:t>
            </w:r>
          </w:p>
          <w:p>
            <w:pPr>
              <w:pStyle w:val="65"/>
              <w:numPr>
                <w:ilvl w:val="0"/>
                <w:numId w:val="9"/>
              </w:numPr>
              <w:adjustRightInd w:val="0"/>
              <w:snapToGrid w:val="0"/>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污水管恢复重建汇总表</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72"/>
              <w:gridCol w:w="1872"/>
              <w:gridCol w:w="1872"/>
              <w:gridCol w:w="1872"/>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872" w:type="dxa"/>
                  <w:tcBorders>
                    <w:top w:val="single" w:color="000000" w:sz="12" w:space="0"/>
                    <w:left w:val="nil"/>
                    <w:tl2br w:val="nil"/>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序号</w:t>
                  </w:r>
                </w:p>
              </w:tc>
              <w:tc>
                <w:tcPr>
                  <w:tcW w:w="1872" w:type="dxa"/>
                  <w:tcBorders>
                    <w:top w:val="single" w:color="000000" w:sz="12" w:space="0"/>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位置</w:t>
                  </w:r>
                </w:p>
              </w:tc>
              <w:tc>
                <w:tcPr>
                  <w:tcW w:w="1872" w:type="dxa"/>
                  <w:tcBorders>
                    <w:top w:val="single" w:color="000000" w:sz="12" w:space="0"/>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规格</w:t>
                  </w:r>
                </w:p>
              </w:tc>
              <w:tc>
                <w:tcPr>
                  <w:tcW w:w="1872" w:type="dxa"/>
                  <w:tcBorders>
                    <w:top w:val="single" w:color="000000" w:sz="12" w:space="0"/>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管材</w:t>
                  </w:r>
                </w:p>
              </w:tc>
              <w:tc>
                <w:tcPr>
                  <w:tcW w:w="1872" w:type="dxa"/>
                  <w:tcBorders>
                    <w:top w:val="single" w:color="000000" w:sz="12" w:space="0"/>
                    <w:right w:val="nil"/>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长度（m）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872" w:type="dxa"/>
                  <w:tcBorders>
                    <w:left w:val="nil"/>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1</w:t>
                  </w:r>
                </w:p>
              </w:tc>
              <w:tc>
                <w:tcPr>
                  <w:tcW w:w="1872" w:type="dxa"/>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芝左二段</w:t>
                  </w:r>
                </w:p>
              </w:tc>
              <w:tc>
                <w:tcPr>
                  <w:tcW w:w="1872" w:type="dxa"/>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DN200</w:t>
                  </w:r>
                </w:p>
              </w:tc>
              <w:tc>
                <w:tcPr>
                  <w:tcW w:w="1872" w:type="dxa"/>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PE</w:t>
                  </w:r>
                </w:p>
              </w:tc>
              <w:tc>
                <w:tcPr>
                  <w:tcW w:w="1872" w:type="dxa"/>
                  <w:tcBorders>
                    <w:right w:val="nil"/>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872" w:type="dxa"/>
                  <w:tcBorders>
                    <w:left w:val="nil"/>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2</w:t>
                  </w:r>
                </w:p>
              </w:tc>
              <w:tc>
                <w:tcPr>
                  <w:tcW w:w="1872" w:type="dxa"/>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芝左三段</w:t>
                  </w:r>
                </w:p>
              </w:tc>
              <w:tc>
                <w:tcPr>
                  <w:tcW w:w="1872" w:type="dxa"/>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DN200</w:t>
                  </w:r>
                </w:p>
              </w:tc>
              <w:tc>
                <w:tcPr>
                  <w:tcW w:w="1872" w:type="dxa"/>
                  <w:shd w:val="clear" w:color="auto" w:fill="auto"/>
                  <w:vAlign w:val="center"/>
                </w:tcPr>
                <w:p>
                  <w:pPr>
                    <w:pStyle w:val="244"/>
                    <w:ind w:firstLine="0" w:firstLineChars="0"/>
                    <w:rPr>
                      <w:rFonts w:hint="default"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PE</w:t>
                  </w:r>
                </w:p>
              </w:tc>
              <w:tc>
                <w:tcPr>
                  <w:tcW w:w="1872" w:type="dxa"/>
                  <w:tcBorders>
                    <w:right w:val="nil"/>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872" w:type="dxa"/>
                  <w:tcBorders>
                    <w:left w:val="nil"/>
                    <w:bottom w:val="single" w:color="000000" w:sz="12" w:space="0"/>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3</w:t>
                  </w:r>
                </w:p>
              </w:tc>
              <w:tc>
                <w:tcPr>
                  <w:tcW w:w="1872" w:type="dxa"/>
                  <w:tcBorders>
                    <w:bottom w:val="single" w:color="000000" w:sz="12" w:space="0"/>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牛家河段</w:t>
                  </w:r>
                </w:p>
              </w:tc>
              <w:tc>
                <w:tcPr>
                  <w:tcW w:w="1872" w:type="dxa"/>
                  <w:tcBorders>
                    <w:bottom w:val="single" w:color="000000" w:sz="12" w:space="0"/>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DN200</w:t>
                  </w:r>
                </w:p>
              </w:tc>
              <w:tc>
                <w:tcPr>
                  <w:tcW w:w="1872" w:type="dxa"/>
                  <w:tcBorders>
                    <w:bottom w:val="single" w:color="000000" w:sz="12" w:space="0"/>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PE</w:t>
                  </w:r>
                </w:p>
              </w:tc>
              <w:tc>
                <w:tcPr>
                  <w:tcW w:w="1872" w:type="dxa"/>
                  <w:tcBorders>
                    <w:bottom w:val="single" w:color="000000" w:sz="12" w:space="0"/>
                    <w:right w:val="nil"/>
                  </w:tcBorders>
                  <w:shd w:val="clear" w:color="auto" w:fill="auto"/>
                  <w:vAlign w:val="center"/>
                </w:tcPr>
                <w:p>
                  <w:pPr>
                    <w:pStyle w:val="244"/>
                    <w:ind w:firstLine="0" w:firstLineChars="0"/>
                    <w:rPr>
                      <w:rFonts w:hint="eastAsia" w:ascii="Times New Roman" w:hAnsi="Times New Roman" w:eastAsia="宋体" w:cs="Times New Roman"/>
                      <w:b w:val="0"/>
                      <w:bCs/>
                      <w:color w:val="000000"/>
                      <w:kern w:val="2"/>
                      <w:sz w:val="21"/>
                      <w:szCs w:val="21"/>
                      <w:lang w:val="en-US" w:eastAsia="zh-CN" w:bidi="ar-SA"/>
                    </w:rPr>
                  </w:pPr>
                  <w:r>
                    <w:rPr>
                      <w:rFonts w:hint="eastAsia" w:ascii="Times New Roman" w:hAnsi="Times New Roman" w:eastAsia="宋体" w:cs="Times New Roman"/>
                      <w:b w:val="0"/>
                      <w:bCs/>
                      <w:color w:val="000000"/>
                      <w:kern w:val="2"/>
                      <w:sz w:val="21"/>
                      <w:szCs w:val="21"/>
                      <w:lang w:val="en-US" w:eastAsia="zh-CN" w:bidi="ar-SA"/>
                    </w:rPr>
                    <w:t>245</w:t>
                  </w:r>
                </w:p>
              </w:tc>
            </w:tr>
          </w:tbl>
          <w:p>
            <w:pPr>
              <w:widowControl/>
              <w:spacing w:line="360" w:lineRule="auto"/>
              <w:ind w:left="0" w:leftChars="0" w:firstLine="0" w:firstLineChars="0"/>
              <w:rPr>
                <w:b/>
                <w:color w:val="auto"/>
                <w:sz w:val="24"/>
                <w:szCs w:val="22"/>
              </w:rPr>
            </w:pPr>
            <w:r>
              <w:rPr>
                <w:rFonts w:hint="default" w:ascii="Times New Roman" w:hAnsi="Times New Roman" w:cs="Times New Roman"/>
                <w:b/>
                <w:bCs/>
                <w:color w:val="auto"/>
                <w:sz w:val="24"/>
              </w:rPr>
              <w:t>五、</w:t>
            </w:r>
            <w:r>
              <w:rPr>
                <w:b/>
                <w:color w:val="auto"/>
                <w:sz w:val="24"/>
                <w:szCs w:val="22"/>
              </w:rPr>
              <w:t>主要原辅材料及设备</w:t>
            </w:r>
          </w:p>
          <w:p>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b/>
                <w:sz w:val="24"/>
                <w:szCs w:val="22"/>
              </w:rPr>
            </w:pPr>
            <w:r>
              <w:rPr>
                <w:b/>
                <w:sz w:val="24"/>
                <w:szCs w:val="22"/>
              </w:rPr>
              <w:t>1、原辅材料用量</w:t>
            </w:r>
          </w:p>
          <w:p>
            <w:pPr>
              <w:widowControl/>
              <w:spacing w:line="360" w:lineRule="auto"/>
              <w:ind w:firstLine="480" w:firstLineChars="200"/>
              <w:rPr>
                <w:bCs/>
                <w:sz w:val="24"/>
                <w:szCs w:val="22"/>
              </w:rPr>
            </w:pPr>
            <w:r>
              <w:rPr>
                <w:bCs/>
                <w:sz w:val="24"/>
                <w:szCs w:val="22"/>
              </w:rPr>
              <w:t>本工程生产用主要原辅材料如下表。</w:t>
            </w:r>
          </w:p>
          <w:p>
            <w:pPr>
              <w:pStyle w:val="65"/>
              <w:numPr>
                <w:ilvl w:val="0"/>
                <w:numId w:val="9"/>
              </w:numPr>
              <w:adjustRightInd w:val="0"/>
              <w:snapToGrid w:val="0"/>
              <w:rPr>
                <w:rFonts w:hint="default" w:ascii="Times New Roman" w:hAnsi="Times New Roman" w:cs="Times New Roman"/>
                <w:b/>
                <w:color w:val="auto"/>
                <w:szCs w:val="21"/>
                <w:lang w:val="en-US" w:eastAsia="zh-CN"/>
              </w:rPr>
            </w:pPr>
            <w:r>
              <w:rPr>
                <w:rFonts w:hint="default" w:ascii="Times New Roman" w:hAnsi="Times New Roman" w:cs="Times New Roman"/>
                <w:b/>
                <w:color w:val="auto"/>
                <w:szCs w:val="21"/>
                <w:lang w:val="en-US" w:eastAsia="zh-CN"/>
              </w:rPr>
              <w:t>主要原辅材料及能耗表</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33"/>
              <w:gridCol w:w="2717"/>
              <w:gridCol w:w="2193"/>
              <w:gridCol w:w="3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333" w:type="dxa"/>
                  <w:tcBorders>
                    <w:top w:val="single" w:color="000000" w:sz="12" w:space="0"/>
                    <w:left w:val="nil"/>
                    <w:tl2br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项目</w:t>
                  </w:r>
                </w:p>
              </w:tc>
              <w:tc>
                <w:tcPr>
                  <w:tcW w:w="2717" w:type="dxa"/>
                  <w:tcBorders>
                    <w:top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名称</w:t>
                  </w:r>
                </w:p>
              </w:tc>
              <w:tc>
                <w:tcPr>
                  <w:tcW w:w="2193" w:type="dxa"/>
                  <w:tcBorders>
                    <w:top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总用量</w:t>
                  </w:r>
                </w:p>
              </w:tc>
              <w:tc>
                <w:tcPr>
                  <w:tcW w:w="3122" w:type="dxa"/>
                  <w:tcBorders>
                    <w:top w:val="single" w:color="000000" w:sz="12"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333" w:type="dxa"/>
                  <w:vMerge w:val="restart"/>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r>
                    <w:rPr>
                      <w:b w:val="0"/>
                      <w:bCs/>
                      <w:color w:val="000000" w:themeColor="text1"/>
                      <w:sz w:val="21"/>
                      <w:szCs w:val="21"/>
                      <w14:textFill>
                        <w14:solidFill>
                          <w14:schemeClr w14:val="tx1"/>
                        </w14:solidFill>
                      </w14:textFill>
                    </w:rPr>
                    <w:t>主（辅）料</w:t>
                  </w:r>
                </w:p>
              </w:tc>
              <w:tc>
                <w:tcPr>
                  <w:tcW w:w="27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b w:val="0"/>
                      <w:bCs/>
                      <w:color w:val="auto"/>
                      <w:sz w:val="21"/>
                      <w:szCs w:val="21"/>
                    </w:rPr>
                    <w:t>混凝土</w:t>
                  </w:r>
                </w:p>
              </w:tc>
              <w:tc>
                <w:tcPr>
                  <w:tcW w:w="21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rFonts w:hint="eastAsia"/>
                      <w:b w:val="0"/>
                      <w:bCs/>
                      <w:color w:val="auto"/>
                      <w:sz w:val="21"/>
                      <w:szCs w:val="21"/>
                      <w:lang w:val="en-US" w:eastAsia="zh-CN"/>
                    </w:rPr>
                    <w:t>7516.02m</w:t>
                  </w:r>
                  <w:r>
                    <w:rPr>
                      <w:rFonts w:hint="eastAsia"/>
                      <w:b w:val="0"/>
                      <w:bCs/>
                      <w:color w:val="auto"/>
                      <w:sz w:val="21"/>
                      <w:szCs w:val="21"/>
                      <w:vertAlign w:val="superscript"/>
                      <w:lang w:val="en-US" w:eastAsia="zh-CN"/>
                    </w:rPr>
                    <w:t>3</w:t>
                  </w:r>
                </w:p>
              </w:tc>
              <w:tc>
                <w:tcPr>
                  <w:tcW w:w="3122"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b w:val="0"/>
                      <w:bCs/>
                      <w:color w:val="auto"/>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33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7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rFonts w:hint="eastAsia" w:eastAsia="宋体"/>
                      <w:color w:val="auto"/>
                      <w:sz w:val="21"/>
                      <w:szCs w:val="21"/>
                    </w:rPr>
                    <w:t>模板</w:t>
                  </w:r>
                </w:p>
              </w:tc>
              <w:tc>
                <w:tcPr>
                  <w:tcW w:w="21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color w:val="auto"/>
                      <w:sz w:val="21"/>
                      <w:szCs w:val="21"/>
                      <w:lang w:val="en-US" w:eastAsia="zh-CN"/>
                    </w:rPr>
                  </w:pPr>
                  <w:r>
                    <w:rPr>
                      <w:rFonts w:hint="eastAsia"/>
                      <w:color w:val="auto"/>
                      <w:sz w:val="21"/>
                      <w:szCs w:val="21"/>
                      <w:lang w:val="en-US" w:eastAsia="zh-CN"/>
                    </w:rPr>
                    <w:t>24398.53</w:t>
                  </w:r>
                  <w:r>
                    <w:rPr>
                      <w:rFonts w:hint="eastAsia"/>
                      <w:b w:val="0"/>
                      <w:bCs/>
                      <w:color w:val="auto"/>
                      <w:sz w:val="21"/>
                      <w:szCs w:val="21"/>
                      <w:lang w:val="en-US" w:eastAsia="zh-CN"/>
                    </w:rPr>
                    <w:t>m</w:t>
                  </w:r>
                  <w:r>
                    <w:rPr>
                      <w:rFonts w:hint="eastAsia"/>
                      <w:b w:val="0"/>
                      <w:bCs/>
                      <w:color w:val="auto"/>
                      <w:sz w:val="21"/>
                      <w:szCs w:val="21"/>
                      <w:vertAlign w:val="superscript"/>
                      <w:lang w:val="en-US" w:eastAsia="zh-CN"/>
                    </w:rPr>
                    <w:t>2</w:t>
                  </w:r>
                </w:p>
              </w:tc>
              <w:tc>
                <w:tcPr>
                  <w:tcW w:w="3122"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b w:val="0"/>
                      <w:bCs/>
                      <w:color w:val="auto"/>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33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7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color w:val="auto"/>
                      <w:sz w:val="21"/>
                      <w:szCs w:val="21"/>
                      <w:lang w:val="en-US" w:eastAsia="zh-CN"/>
                    </w:rPr>
                  </w:pPr>
                  <w:r>
                    <w:rPr>
                      <w:rFonts w:hint="eastAsia"/>
                      <w:b w:val="0"/>
                      <w:bCs/>
                      <w:color w:val="auto"/>
                      <w:sz w:val="21"/>
                      <w:szCs w:val="21"/>
                      <w:lang w:val="en-US" w:eastAsia="zh-CN"/>
                    </w:rPr>
                    <w:t>水泥</w:t>
                  </w:r>
                </w:p>
              </w:tc>
              <w:tc>
                <w:tcPr>
                  <w:tcW w:w="21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b w:val="0"/>
                      <w:bCs/>
                      <w:color w:val="auto"/>
                      <w:sz w:val="21"/>
                      <w:szCs w:val="21"/>
                      <w:lang w:val="en-US" w:eastAsia="zh-CN"/>
                    </w:rPr>
                  </w:pPr>
                  <w:r>
                    <w:rPr>
                      <w:rFonts w:hint="eastAsia"/>
                      <w:b w:val="0"/>
                      <w:bCs/>
                      <w:color w:val="auto"/>
                      <w:sz w:val="21"/>
                      <w:szCs w:val="21"/>
                      <w:lang w:val="en-US" w:eastAsia="zh-CN"/>
                    </w:rPr>
                    <w:t>0.23万t</w:t>
                  </w:r>
                </w:p>
              </w:tc>
              <w:tc>
                <w:tcPr>
                  <w:tcW w:w="3122"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b w:val="0"/>
                      <w:bCs/>
                      <w:color w:val="auto"/>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33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7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rFonts w:hint="eastAsia" w:eastAsia="宋体"/>
                      <w:color w:val="auto"/>
                      <w:sz w:val="21"/>
                      <w:szCs w:val="21"/>
                    </w:rPr>
                    <w:t>钢筋</w:t>
                  </w:r>
                </w:p>
              </w:tc>
              <w:tc>
                <w:tcPr>
                  <w:tcW w:w="21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rFonts w:hint="eastAsia"/>
                      <w:color w:val="auto"/>
                      <w:sz w:val="21"/>
                      <w:szCs w:val="21"/>
                      <w:lang w:val="en-US" w:eastAsia="zh-CN"/>
                    </w:rPr>
                    <w:t>14</w:t>
                  </w:r>
                  <w:r>
                    <w:rPr>
                      <w:rFonts w:hint="eastAsia" w:eastAsia="宋体"/>
                      <w:color w:val="auto"/>
                      <w:sz w:val="21"/>
                      <w:szCs w:val="21"/>
                    </w:rPr>
                    <w:t>t</w:t>
                  </w:r>
                </w:p>
              </w:tc>
              <w:tc>
                <w:tcPr>
                  <w:tcW w:w="3122"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b w:val="0"/>
                      <w:bCs/>
                      <w:color w:val="auto"/>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33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7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rFonts w:hint="eastAsia"/>
                      <w:color w:val="auto"/>
                      <w:sz w:val="21"/>
                      <w:szCs w:val="21"/>
                      <w:lang w:val="en-US" w:eastAsia="zh-CN"/>
                    </w:rPr>
                    <w:t>汽柴油</w:t>
                  </w:r>
                </w:p>
              </w:tc>
              <w:tc>
                <w:tcPr>
                  <w:tcW w:w="21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rFonts w:hint="eastAsia"/>
                      <w:color w:val="auto"/>
                      <w:sz w:val="21"/>
                      <w:szCs w:val="21"/>
                      <w:lang w:val="en-US" w:eastAsia="zh-CN"/>
                    </w:rPr>
                    <w:t>62</w:t>
                  </w:r>
                  <w:r>
                    <w:rPr>
                      <w:rFonts w:hint="eastAsia" w:eastAsia="宋体"/>
                      <w:color w:val="auto"/>
                      <w:sz w:val="21"/>
                      <w:szCs w:val="21"/>
                    </w:rPr>
                    <w:t>t</w:t>
                  </w:r>
                </w:p>
              </w:tc>
              <w:tc>
                <w:tcPr>
                  <w:tcW w:w="3122"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b w:val="0"/>
                      <w:bCs/>
                      <w:color w:val="auto"/>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333" w:type="dxa"/>
                  <w:vMerge w:val="continue"/>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71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color w:val="auto"/>
                      <w:sz w:val="21"/>
                      <w:szCs w:val="21"/>
                      <w:lang w:val="en-US"/>
                    </w:rPr>
                  </w:pPr>
                  <w:r>
                    <w:rPr>
                      <w:rFonts w:hint="eastAsia"/>
                      <w:color w:val="auto"/>
                      <w:sz w:val="21"/>
                      <w:szCs w:val="21"/>
                      <w:lang w:val="en-US" w:eastAsia="zh-CN"/>
                    </w:rPr>
                    <w:t>砌石</w:t>
                  </w:r>
                </w:p>
              </w:tc>
              <w:tc>
                <w:tcPr>
                  <w:tcW w:w="219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rFonts w:hint="eastAsia"/>
                      <w:color w:val="auto"/>
                      <w:sz w:val="21"/>
                      <w:szCs w:val="21"/>
                      <w:lang w:val="en-US" w:eastAsia="zh-CN"/>
                    </w:rPr>
                    <w:t>192.78</w:t>
                  </w:r>
                  <w:r>
                    <w:rPr>
                      <w:rFonts w:hint="eastAsia"/>
                      <w:b w:val="0"/>
                      <w:bCs/>
                      <w:color w:val="auto"/>
                      <w:sz w:val="21"/>
                      <w:szCs w:val="21"/>
                      <w:lang w:val="en-US" w:eastAsia="zh-CN"/>
                    </w:rPr>
                    <w:t>m</w:t>
                  </w:r>
                  <w:r>
                    <w:rPr>
                      <w:rFonts w:hint="eastAsia"/>
                      <w:b w:val="0"/>
                      <w:bCs/>
                      <w:color w:val="auto"/>
                      <w:sz w:val="21"/>
                      <w:szCs w:val="21"/>
                      <w:vertAlign w:val="superscript"/>
                      <w:lang w:val="en-US" w:eastAsia="zh-CN"/>
                    </w:rPr>
                    <w:t>3</w:t>
                  </w:r>
                </w:p>
              </w:tc>
              <w:tc>
                <w:tcPr>
                  <w:tcW w:w="3122"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auto"/>
                      <w:sz w:val="21"/>
                      <w:szCs w:val="21"/>
                    </w:rPr>
                  </w:pPr>
                  <w:r>
                    <w:rPr>
                      <w:b w:val="0"/>
                      <w:bCs/>
                      <w:color w:val="auto"/>
                      <w:sz w:val="21"/>
                      <w:szCs w:val="21"/>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333" w:type="dxa"/>
                  <w:vMerge w:val="continue"/>
                  <w:tcBorders>
                    <w:left w:val="nil"/>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val="0"/>
                      <w:bCs/>
                      <w:color w:val="000000" w:themeColor="text1"/>
                      <w:sz w:val="21"/>
                      <w:szCs w:val="21"/>
                      <w14:textFill>
                        <w14:solidFill>
                          <w14:schemeClr w14:val="tx1"/>
                        </w14:solidFill>
                      </w14:textFill>
                    </w:rPr>
                  </w:pPr>
                </w:p>
              </w:tc>
              <w:tc>
                <w:tcPr>
                  <w:tcW w:w="2717"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auto"/>
                      <w:kern w:val="2"/>
                      <w:sz w:val="21"/>
                      <w:szCs w:val="21"/>
                      <w:lang w:val="en-US" w:eastAsia="zh-CN" w:bidi="ar-SA"/>
                    </w:rPr>
                  </w:pPr>
                  <w:r>
                    <w:rPr>
                      <w:rFonts w:hint="eastAsia"/>
                      <w:color w:val="auto"/>
                      <w:sz w:val="21"/>
                      <w:szCs w:val="21"/>
                      <w:lang w:val="en-US" w:eastAsia="zh-CN"/>
                    </w:rPr>
                    <w:t>泥岩石渣填筑料</w:t>
                  </w:r>
                </w:p>
              </w:tc>
              <w:tc>
                <w:tcPr>
                  <w:tcW w:w="2193"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auto"/>
                      <w:kern w:val="2"/>
                      <w:sz w:val="21"/>
                      <w:szCs w:val="21"/>
                      <w:lang w:val="en-US" w:eastAsia="zh-CN" w:bidi="ar-SA"/>
                    </w:rPr>
                  </w:pPr>
                  <w:r>
                    <w:rPr>
                      <w:rFonts w:hint="eastAsia"/>
                      <w:color w:val="auto"/>
                      <w:sz w:val="21"/>
                      <w:szCs w:val="21"/>
                      <w:lang w:val="en-US" w:eastAsia="zh-CN"/>
                    </w:rPr>
                    <w:t>11.6万</w:t>
                  </w:r>
                  <w:r>
                    <w:rPr>
                      <w:rFonts w:hint="eastAsia"/>
                      <w:b w:val="0"/>
                      <w:bCs/>
                      <w:color w:val="auto"/>
                      <w:sz w:val="21"/>
                      <w:szCs w:val="21"/>
                      <w:lang w:val="en-US" w:eastAsia="zh-CN"/>
                    </w:rPr>
                    <w:t>m</w:t>
                  </w:r>
                  <w:r>
                    <w:rPr>
                      <w:rFonts w:hint="eastAsia"/>
                      <w:b w:val="0"/>
                      <w:bCs/>
                      <w:color w:val="auto"/>
                      <w:sz w:val="21"/>
                      <w:szCs w:val="21"/>
                      <w:vertAlign w:val="superscript"/>
                      <w:lang w:val="en-US" w:eastAsia="zh-CN"/>
                    </w:rPr>
                    <w:t>3</w:t>
                  </w:r>
                </w:p>
              </w:tc>
              <w:tc>
                <w:tcPr>
                  <w:tcW w:w="3122" w:type="dxa"/>
                  <w:tcBorders>
                    <w:bottom w:val="single" w:color="000000" w:sz="12" w:space="0"/>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val="0"/>
                      <w:bCs/>
                      <w:color w:val="auto"/>
                      <w:kern w:val="2"/>
                      <w:sz w:val="21"/>
                      <w:szCs w:val="21"/>
                      <w:lang w:val="en-US" w:eastAsia="zh-CN" w:bidi="ar-SA"/>
                    </w:rPr>
                  </w:pPr>
                  <w:r>
                    <w:rPr>
                      <w:b w:val="0"/>
                      <w:bCs/>
                      <w:color w:val="auto"/>
                      <w:sz w:val="21"/>
                      <w:szCs w:val="21"/>
                    </w:rPr>
                    <w:t>外购</w:t>
                  </w:r>
                </w:p>
              </w:tc>
            </w:tr>
          </w:tbl>
          <w:p>
            <w:pPr>
              <w:spacing w:line="360" w:lineRule="auto"/>
              <w:rPr>
                <w:b/>
                <w:sz w:val="24"/>
                <w:szCs w:val="22"/>
              </w:rPr>
            </w:pPr>
            <w:r>
              <w:rPr>
                <w:b/>
                <w:sz w:val="24"/>
                <w:szCs w:val="22"/>
              </w:rPr>
              <w:t>2、主要设备</w:t>
            </w:r>
          </w:p>
          <w:p>
            <w:pPr>
              <w:spacing w:line="360" w:lineRule="auto"/>
              <w:ind w:firstLine="480" w:firstLineChars="200"/>
              <w:rPr>
                <w:bCs/>
                <w:sz w:val="24"/>
                <w:szCs w:val="22"/>
              </w:rPr>
            </w:pPr>
            <w:r>
              <w:rPr>
                <w:bCs/>
                <w:sz w:val="24"/>
                <w:szCs w:val="22"/>
              </w:rPr>
              <w:t>本项目施工期主要设备见下表。</w:t>
            </w:r>
          </w:p>
          <w:p>
            <w:pPr>
              <w:pStyle w:val="65"/>
              <w:numPr>
                <w:ilvl w:val="0"/>
                <w:numId w:val="9"/>
              </w:numPr>
              <w:adjustRightInd w:val="0"/>
              <w:snapToGrid w:val="0"/>
              <w:rPr>
                <w:rFonts w:hint="default" w:ascii="Times New Roman" w:hAnsi="Times New Roman" w:cs="Times New Roman"/>
                <w:b/>
                <w:color w:val="auto"/>
                <w:szCs w:val="21"/>
                <w:lang w:val="en-US" w:eastAsia="zh-CN"/>
              </w:rPr>
            </w:pPr>
            <w:r>
              <w:rPr>
                <w:b/>
                <w:color w:val="000000" w:themeColor="text1"/>
                <w:sz w:val="21"/>
                <w:szCs w:val="21"/>
                <w14:textFill>
                  <w14:solidFill>
                    <w14:schemeClr w14:val="tx1"/>
                  </w14:solidFill>
                </w14:textFill>
              </w:rPr>
              <w:t>项目主要设备设施一览表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117"/>
              <w:gridCol w:w="2944"/>
              <w:gridCol w:w="1704"/>
              <w:gridCol w:w="17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blHeader/>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设备名称</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规格型号</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土石方开挖机械</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eastAsia" w:eastAsia="宋体" w:cs="Times New Roman"/>
                      <w:color w:val="000000" w:themeColor="text1"/>
                      <w:sz w:val="21"/>
                      <w:szCs w:val="21"/>
                      <w:lang w:val="en-US" w:eastAsia="zh-CN"/>
                      <w14:textFill>
                        <w14:solidFill>
                          <w14:schemeClr w14:val="tx1"/>
                        </w14:solidFill>
                      </w14:textFill>
                    </w:rPr>
                    <w:t>液压</w:t>
                  </w:r>
                  <w:r>
                    <w:rPr>
                      <w:rFonts w:hint="default" w:ascii="Times New Roman" w:hAnsi="Times New Roman" w:eastAsia="宋体" w:cs="Times New Roman"/>
                      <w:color w:val="000000" w:themeColor="text1"/>
                      <w:sz w:val="21"/>
                      <w:szCs w:val="21"/>
                      <w14:textFill>
                        <w14:solidFill>
                          <w14:schemeClr w14:val="tx1"/>
                        </w14:solidFill>
                      </w14:textFill>
                    </w:rPr>
                    <w:t>挖掘机</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2.0m³</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 74kw</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运输机械</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自卸汽车</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5t</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辆</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自卸汽车</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15t-20t</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辆</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农用四轮车</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辆</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载重汽车</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8t</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辆</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机动翻斗车</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1t</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辆</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三</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填筑碾压机械</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振动碾</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13.5t</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蛙式打夯机</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2.2KW</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混凝土机械</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混凝土拌和机</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0.4m³</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混凝土振捣器</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五</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其它施工机械</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供水泵</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IS100-80-160</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129"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排水泵</w:t>
                  </w:r>
                </w:p>
              </w:tc>
              <w:tc>
                <w:tcPr>
                  <w:tcW w:w="1570"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IS150—125—200型离心水泵</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90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bl>
          <w:p>
            <w:pPr>
              <w:adjustRightInd w:val="0"/>
              <w:snapToGrid w:val="0"/>
              <w:spacing w:line="360" w:lineRule="auto"/>
              <w:rPr>
                <w:rFonts w:hint="default" w:ascii="Times New Roman" w:hAnsi="Times New Roman" w:cs="Times New Roman"/>
                <w:b/>
                <w:bCs/>
                <w:color w:val="auto"/>
                <w:sz w:val="24"/>
              </w:rPr>
            </w:pPr>
            <w:r>
              <w:rPr>
                <w:rFonts w:hint="eastAsia"/>
                <w:b/>
                <w:sz w:val="24"/>
                <w:szCs w:val="22"/>
                <w:lang w:val="en-US" w:eastAsia="zh-CN"/>
              </w:rPr>
              <w:t>六、</w:t>
            </w:r>
            <w:r>
              <w:rPr>
                <w:rFonts w:hint="default" w:ascii="Times New Roman" w:hAnsi="Times New Roman" w:cs="Times New Roman"/>
                <w:b/>
                <w:bCs/>
                <w:color w:val="auto"/>
                <w:sz w:val="24"/>
              </w:rPr>
              <w:t>土石方平衡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bookmarkStart w:id="5" w:name="_Hlk124351055"/>
            <w:r>
              <w:rPr>
                <w:rFonts w:hint="default" w:ascii="Times New Roman" w:hAnsi="Times New Roman" w:eastAsia="宋体" w:cs="Times New Roman"/>
                <w:color w:val="auto"/>
                <w:sz w:val="24"/>
                <w:szCs w:val="24"/>
              </w:rPr>
              <w:t>工程开挖土石方4.23万m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（自然方），回填土石方2.65万m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，回填料中利用开挖料0.17万m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，石渣料回填2.48万m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，土石方平衡后，剩余弃渣4.03万m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，弃渣回填至堤后回填区，堤后共布置3个堤后回填区。</w:t>
            </w:r>
          </w:p>
          <w:bookmarkEnd w:id="5"/>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土石方平衡见下表所示。</w:t>
            </w:r>
          </w:p>
          <w:p>
            <w:pPr>
              <w:pStyle w:val="65"/>
              <w:numPr>
                <w:ilvl w:val="0"/>
                <w:numId w:val="9"/>
              </w:numPr>
              <w:adjustRightInd w:val="0"/>
              <w:snapToGrid w:val="0"/>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工程土石方平衡表</w:t>
            </w:r>
            <w:r>
              <w:rPr>
                <w:rFonts w:hint="eastAsia" w:cs="Times New Roman"/>
                <w:b/>
                <w:color w:val="auto"/>
                <w:szCs w:val="21"/>
                <w:lang w:val="en-US" w:eastAsia="zh-CN"/>
              </w:rPr>
              <w:t xml:space="preserve">   单位：</w:t>
            </w:r>
            <w:r>
              <w:rPr>
                <w:rFonts w:hint="eastAsia"/>
                <w:color w:val="auto"/>
              </w:rPr>
              <w:t>m</w:t>
            </w:r>
            <w:r>
              <w:rPr>
                <w:rFonts w:hint="eastAsia"/>
                <w:color w:val="auto"/>
                <w:vertAlign w:val="superscript"/>
              </w:rPr>
              <w:t>3</w:t>
            </w:r>
          </w:p>
          <w:tbl>
            <w:tblPr>
              <w:tblStyle w:val="24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32"/>
              <w:gridCol w:w="981"/>
              <w:gridCol w:w="849"/>
              <w:gridCol w:w="840"/>
              <w:gridCol w:w="825"/>
              <w:gridCol w:w="812"/>
              <w:gridCol w:w="1832"/>
              <w:gridCol w:w="1056"/>
              <w:gridCol w:w="8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11"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424" w:type="pct"/>
                  <w:gridSpan w:val="3"/>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土石方开挖（自然方）</w:t>
                  </w:r>
                </w:p>
              </w:tc>
              <w:tc>
                <w:tcPr>
                  <w:tcW w:w="1850" w:type="pct"/>
                  <w:gridSpan w:val="3"/>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开挖料利用（回填压实方）</w:t>
                  </w:r>
                </w:p>
              </w:tc>
              <w:tc>
                <w:tcPr>
                  <w:tcW w:w="563" w:type="pct"/>
                  <w:vMerge w:val="restar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围堰拆除（自然方）</w:t>
                  </w:r>
                </w:p>
              </w:tc>
              <w:tc>
                <w:tcPr>
                  <w:tcW w:w="450" w:type="pct"/>
                  <w:vMerge w:val="restar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弃渣量</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（松方）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11"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土方</w:t>
                  </w:r>
                </w:p>
              </w:tc>
              <w:tc>
                <w:tcPr>
                  <w:tcW w:w="45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石方</w:t>
                  </w:r>
                </w:p>
              </w:tc>
              <w:tc>
                <w:tcPr>
                  <w:tcW w:w="44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淤泥</w:t>
                  </w:r>
                </w:p>
              </w:tc>
              <w:tc>
                <w:tcPr>
                  <w:tcW w:w="440"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围堰</w:t>
                  </w:r>
                </w:p>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填筑</w:t>
                  </w:r>
                </w:p>
              </w:tc>
              <w:tc>
                <w:tcPr>
                  <w:tcW w:w="43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原槽</w:t>
                  </w:r>
                </w:p>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回填</w:t>
                  </w:r>
                </w:p>
              </w:tc>
              <w:tc>
                <w:tcPr>
                  <w:tcW w:w="97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堤后土石料（进入土石方平衡）</w:t>
                  </w:r>
                </w:p>
              </w:tc>
              <w:tc>
                <w:tcPr>
                  <w:tcW w:w="563"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5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11"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芝左一</w:t>
                  </w:r>
                </w:p>
              </w:tc>
              <w:tc>
                <w:tcPr>
                  <w:tcW w:w="523"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11429 </w:t>
                  </w:r>
                </w:p>
              </w:tc>
              <w:tc>
                <w:tcPr>
                  <w:tcW w:w="453"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250 </w:t>
                  </w:r>
                </w:p>
              </w:tc>
              <w:tc>
                <w:tcPr>
                  <w:tcW w:w="447"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440"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11925 </w:t>
                  </w:r>
                </w:p>
              </w:tc>
              <w:tc>
                <w:tcPr>
                  <w:tcW w:w="433"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976"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108 </w:t>
                  </w:r>
                </w:p>
              </w:tc>
              <w:tc>
                <w:tcPr>
                  <w:tcW w:w="563"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11925 </w:t>
                  </w:r>
                </w:p>
              </w:tc>
              <w:tc>
                <w:tcPr>
                  <w:tcW w:w="450"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45110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11"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523"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53"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47"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4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33"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976"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563"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5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1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芝左二</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6611 </w:t>
                  </w:r>
                </w:p>
              </w:tc>
              <w:tc>
                <w:tcPr>
                  <w:tcW w:w="45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691 </w:t>
                  </w:r>
                </w:p>
              </w:tc>
              <w:tc>
                <w:tcPr>
                  <w:tcW w:w="44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45 </w:t>
                  </w:r>
                </w:p>
              </w:tc>
              <w:tc>
                <w:tcPr>
                  <w:tcW w:w="44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3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976"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563"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5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1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芝左三</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12717 </w:t>
                  </w:r>
                </w:p>
              </w:tc>
              <w:tc>
                <w:tcPr>
                  <w:tcW w:w="45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176 </w:t>
                  </w:r>
                </w:p>
              </w:tc>
              <w:tc>
                <w:tcPr>
                  <w:tcW w:w="44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80 </w:t>
                  </w:r>
                </w:p>
              </w:tc>
              <w:tc>
                <w:tcPr>
                  <w:tcW w:w="44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3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976"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230 </w:t>
                  </w:r>
                </w:p>
              </w:tc>
              <w:tc>
                <w:tcPr>
                  <w:tcW w:w="563"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5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1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牛左</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6927 </w:t>
                  </w:r>
                </w:p>
              </w:tc>
              <w:tc>
                <w:tcPr>
                  <w:tcW w:w="45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363 </w:t>
                  </w:r>
                </w:p>
              </w:tc>
              <w:tc>
                <w:tcPr>
                  <w:tcW w:w="44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26 </w:t>
                  </w:r>
                </w:p>
              </w:tc>
              <w:tc>
                <w:tcPr>
                  <w:tcW w:w="44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3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976"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102 </w:t>
                  </w:r>
                </w:p>
              </w:tc>
              <w:tc>
                <w:tcPr>
                  <w:tcW w:w="563"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5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1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污水管网恢复</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955 </w:t>
                  </w:r>
                </w:p>
              </w:tc>
              <w:tc>
                <w:tcPr>
                  <w:tcW w:w="45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44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44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3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976"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763 </w:t>
                  </w:r>
                </w:p>
              </w:tc>
              <w:tc>
                <w:tcPr>
                  <w:tcW w:w="563"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5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1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穿堤建筑物</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2179 </w:t>
                  </w:r>
                </w:p>
              </w:tc>
              <w:tc>
                <w:tcPr>
                  <w:tcW w:w="45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440 </w:t>
                  </w:r>
                </w:p>
              </w:tc>
              <w:tc>
                <w:tcPr>
                  <w:tcW w:w="44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44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3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976"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320 </w:t>
                  </w:r>
                </w:p>
              </w:tc>
              <w:tc>
                <w:tcPr>
                  <w:tcW w:w="563"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450"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71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43805 </w:t>
                  </w:r>
                </w:p>
              </w:tc>
              <w:tc>
                <w:tcPr>
                  <w:tcW w:w="45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2937 </w:t>
                  </w:r>
                </w:p>
              </w:tc>
              <w:tc>
                <w:tcPr>
                  <w:tcW w:w="44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180 </w:t>
                  </w:r>
                </w:p>
              </w:tc>
              <w:tc>
                <w:tcPr>
                  <w:tcW w:w="440"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16126 </w:t>
                  </w:r>
                </w:p>
              </w:tc>
              <w:tc>
                <w:tcPr>
                  <w:tcW w:w="43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0 </w:t>
                  </w:r>
                </w:p>
              </w:tc>
              <w:tc>
                <w:tcPr>
                  <w:tcW w:w="976"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1812 </w:t>
                  </w:r>
                </w:p>
              </w:tc>
              <w:tc>
                <w:tcPr>
                  <w:tcW w:w="56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16126 </w:t>
                  </w:r>
                </w:p>
              </w:tc>
              <w:tc>
                <w:tcPr>
                  <w:tcW w:w="450"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45110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000" w:type="pct"/>
                  <w:gridSpan w:val="9"/>
                  <w:vAlign w:val="center"/>
                </w:tcPr>
                <w:p>
                  <w:pPr>
                    <w:pStyle w:val="244"/>
                    <w:keepNext w:val="0"/>
                    <w:keepLines w:val="0"/>
                    <w:pageBreakBefore w:val="0"/>
                    <w:widowControl w:val="0"/>
                    <w:kinsoku/>
                    <w:wordWrap/>
                    <w:overflowPunct/>
                    <w:topLinePunct w:val="0"/>
                    <w:autoSpaceDE/>
                    <w:autoSpaceDN/>
                    <w:bidi w:val="0"/>
                    <w:adjustRightInd/>
                    <w:snapToGrid/>
                    <w:spacing w:line="240" w:lineRule="auto"/>
                    <w:jc w:val="both"/>
                    <w:textAlignment w:val="baseline"/>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备注：填筑石渣料不进入平衡按照需要多少开采多少，土方松散系数1.33，实方系数0.85；石方松散系数1.50，实方系数1.31；土石混合料松方系数1.19，实方系数0.88</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合计所在行数据已全部转为松方</w:t>
                  </w:r>
                  <w:r>
                    <w:rPr>
                      <w:rFonts w:hint="eastAsia" w:ascii="Times New Roman" w:hAnsi="Times New Roman" w:eastAsia="宋体" w:cs="Times New Roman"/>
                      <w:color w:val="auto"/>
                      <w:sz w:val="21"/>
                      <w:szCs w:val="21"/>
                      <w:lang w:eastAsia="zh-CN"/>
                    </w:rPr>
                    <w:t>。</w:t>
                  </w:r>
                </w:p>
              </w:tc>
            </w:tr>
          </w:tbl>
          <w:p>
            <w:pPr>
              <w:numPr>
                <w:ilvl w:val="0"/>
                <w:numId w:val="0"/>
              </w:numPr>
              <w:adjustRightInd w:val="0"/>
              <w:snapToGrid w:val="0"/>
              <w:spacing w:line="360" w:lineRule="auto"/>
              <w:rPr>
                <w:rFonts w:hint="default" w:ascii="Times New Roman" w:hAnsi="Times New Roman" w:cs="Times New Roman"/>
                <w:b/>
                <w:bCs/>
                <w:color w:val="auto"/>
                <w:sz w:val="24"/>
              </w:rPr>
            </w:pPr>
            <w:r>
              <w:rPr>
                <w:rFonts w:hint="eastAsia" w:cs="Times New Roman"/>
                <w:b/>
                <w:bCs/>
                <w:color w:val="auto"/>
                <w:sz w:val="24"/>
                <w:lang w:val="en-US" w:eastAsia="zh-CN"/>
              </w:rPr>
              <w:t>七、</w:t>
            </w:r>
            <w:r>
              <w:rPr>
                <w:rFonts w:hint="default" w:ascii="Times New Roman" w:hAnsi="Times New Roman" w:cs="Times New Roman"/>
                <w:b/>
                <w:bCs/>
                <w:color w:val="auto"/>
                <w:sz w:val="24"/>
              </w:rPr>
              <w:t>工程建设征地和移民安置</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根据设计工程，</w:t>
            </w:r>
            <w:r>
              <w:rPr>
                <w:rFonts w:hint="eastAsia"/>
                <w:color w:val="auto"/>
                <w:sz w:val="24"/>
                <w:szCs w:val="24"/>
              </w:rPr>
              <w:t>工程征占地总面积</w:t>
            </w:r>
            <w:r>
              <w:rPr>
                <w:rFonts w:hint="eastAsia"/>
                <w:color w:val="auto"/>
                <w:sz w:val="24"/>
                <w:szCs w:val="24"/>
                <w:lang w:val="en-US" w:eastAsia="zh-CN"/>
              </w:rPr>
              <w:t>45.6</w:t>
            </w:r>
            <w:r>
              <w:rPr>
                <w:rFonts w:hint="eastAsia"/>
                <w:color w:val="auto"/>
                <w:sz w:val="24"/>
                <w:szCs w:val="24"/>
              </w:rPr>
              <w:t>5亩，其中永久征地26.56亩，包括：耕地9.13亩，水域及水利设施用地15.35亩，其他土地2.08亩；临时用地面积</w:t>
            </w:r>
            <w:r>
              <w:rPr>
                <w:rFonts w:hint="eastAsia"/>
                <w:color w:val="auto"/>
                <w:sz w:val="24"/>
                <w:szCs w:val="24"/>
                <w:lang w:val="en-US" w:eastAsia="zh-CN"/>
              </w:rPr>
              <w:t>19.0</w:t>
            </w:r>
            <w:r>
              <w:rPr>
                <w:rFonts w:hint="eastAsia"/>
                <w:color w:val="auto"/>
                <w:sz w:val="24"/>
                <w:szCs w:val="24"/>
              </w:rPr>
              <w:t>9亩，包括：耕地15.70亩，水域及水利设施用地0.84亩，其他土地2.55亩。经调查，工程建设区不涉及占用基本农田、文物、压覆矿</w:t>
            </w:r>
            <w:r>
              <w:rPr>
                <w:rFonts w:hint="default" w:ascii="Times New Roman" w:hAnsi="Times New Roman" w:cs="Times New Roman"/>
                <w:color w:val="auto"/>
                <w:sz w:val="24"/>
                <w:szCs w:val="24"/>
              </w:rPr>
              <w:t>。</w:t>
            </w:r>
          </w:p>
          <w:p>
            <w:pPr>
              <w:adjustRightInd w:val="0"/>
              <w:snapToGrid w:val="0"/>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工程建设征地详见下表。</w:t>
            </w:r>
          </w:p>
          <w:p>
            <w:pPr>
              <w:pStyle w:val="65"/>
              <w:numPr>
                <w:ilvl w:val="0"/>
                <w:numId w:val="9"/>
              </w:numPr>
              <w:adjustRightInd w:val="0"/>
              <w:snapToGrid w:val="0"/>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工程建设征地面积</w:t>
            </w:r>
          </w:p>
          <w:tbl>
            <w:tblPr>
              <w:tblStyle w:val="24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03"/>
              <w:gridCol w:w="2130"/>
              <w:gridCol w:w="559"/>
              <w:gridCol w:w="1023"/>
              <w:gridCol w:w="712"/>
              <w:gridCol w:w="1015"/>
              <w:gridCol w:w="1015"/>
              <w:gridCol w:w="1199"/>
              <w:gridCol w:w="642"/>
              <w:gridCol w:w="5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8"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36"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298"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925" w:type="pct"/>
                  <w:gridSpan w:val="2"/>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永久用地</w:t>
                  </w:r>
                </w:p>
              </w:tc>
              <w:tc>
                <w:tcPr>
                  <w:tcW w:w="2064" w:type="pct"/>
                  <w:gridSpan w:val="4"/>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临时用地</w:t>
                  </w:r>
                </w:p>
              </w:tc>
              <w:tc>
                <w:tcPr>
                  <w:tcW w:w="307"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8"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1136"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298"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c>
                <w:tcPr>
                  <w:tcW w:w="54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堤防工程</w:t>
                  </w:r>
                </w:p>
              </w:tc>
              <w:tc>
                <w:tcPr>
                  <w:tcW w:w="379"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54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仓库用房</w:t>
                  </w:r>
                </w:p>
              </w:tc>
              <w:tc>
                <w:tcPr>
                  <w:tcW w:w="54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施工道路</w:t>
                  </w:r>
                </w:p>
              </w:tc>
              <w:tc>
                <w:tcPr>
                  <w:tcW w:w="639"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堤后回填区</w:t>
                  </w:r>
                </w:p>
              </w:tc>
              <w:tc>
                <w:tcPr>
                  <w:tcW w:w="34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小计</w:t>
                  </w:r>
                </w:p>
              </w:tc>
              <w:tc>
                <w:tcPr>
                  <w:tcW w:w="307"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一</w:t>
                  </w:r>
                </w:p>
              </w:tc>
              <w:tc>
                <w:tcPr>
                  <w:tcW w:w="1136"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土地</w:t>
                  </w:r>
                </w:p>
              </w:tc>
              <w:tc>
                <w:tcPr>
                  <w:tcW w:w="29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亩</w:t>
                  </w:r>
                </w:p>
              </w:tc>
              <w:tc>
                <w:tcPr>
                  <w:tcW w:w="545"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26.56</w:t>
                  </w:r>
                </w:p>
              </w:tc>
              <w:tc>
                <w:tcPr>
                  <w:tcW w:w="37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26.56</w:t>
                  </w: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3.37</w:t>
                  </w:r>
                </w:p>
              </w:tc>
              <w:tc>
                <w:tcPr>
                  <w:tcW w:w="63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14.52 </w:t>
                  </w:r>
                </w:p>
              </w:tc>
              <w:tc>
                <w:tcPr>
                  <w:tcW w:w="342"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19.09</w:t>
                  </w:r>
                </w:p>
              </w:tc>
              <w:tc>
                <w:tcPr>
                  <w:tcW w:w="307"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45.65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136"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耕地</w:t>
                  </w:r>
                </w:p>
              </w:tc>
              <w:tc>
                <w:tcPr>
                  <w:tcW w:w="29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亩</w:t>
                  </w:r>
                </w:p>
              </w:tc>
              <w:tc>
                <w:tcPr>
                  <w:tcW w:w="545"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9.13</w:t>
                  </w:r>
                </w:p>
              </w:tc>
              <w:tc>
                <w:tcPr>
                  <w:tcW w:w="37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9.13</w:t>
                  </w: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63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11.97</w:t>
                  </w:r>
                </w:p>
              </w:tc>
              <w:tc>
                <w:tcPr>
                  <w:tcW w:w="342"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15.7</w:t>
                  </w:r>
                  <w:r>
                    <w:rPr>
                      <w:rFonts w:hint="eastAsia" w:cs="Times New Roman"/>
                      <w:i w:val="0"/>
                      <w:iCs w:val="0"/>
                      <w:color w:val="000000"/>
                      <w:kern w:val="0"/>
                      <w:sz w:val="21"/>
                      <w:szCs w:val="21"/>
                      <w:u w:val="none"/>
                      <w:lang w:val="en-US" w:eastAsia="zh-CN" w:bidi="ar"/>
                    </w:rPr>
                    <w:t>0</w:t>
                  </w:r>
                </w:p>
              </w:tc>
              <w:tc>
                <w:tcPr>
                  <w:tcW w:w="307"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24.83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1136"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旱地</w:t>
                  </w:r>
                </w:p>
              </w:tc>
              <w:tc>
                <w:tcPr>
                  <w:tcW w:w="29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亩</w:t>
                  </w:r>
                </w:p>
              </w:tc>
              <w:tc>
                <w:tcPr>
                  <w:tcW w:w="545"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9.13</w:t>
                  </w:r>
                </w:p>
              </w:tc>
              <w:tc>
                <w:tcPr>
                  <w:tcW w:w="37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9.13</w:t>
                  </w: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2.53</w:t>
                  </w:r>
                </w:p>
              </w:tc>
              <w:tc>
                <w:tcPr>
                  <w:tcW w:w="63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11.97</w:t>
                  </w:r>
                </w:p>
              </w:tc>
              <w:tc>
                <w:tcPr>
                  <w:tcW w:w="342"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15.7</w:t>
                  </w:r>
                  <w:r>
                    <w:rPr>
                      <w:rFonts w:hint="eastAsia" w:cs="Times New Roman"/>
                      <w:i w:val="0"/>
                      <w:iCs w:val="0"/>
                      <w:color w:val="000000"/>
                      <w:kern w:val="0"/>
                      <w:sz w:val="21"/>
                      <w:szCs w:val="21"/>
                      <w:u w:val="none"/>
                      <w:lang w:val="en-US" w:eastAsia="zh-CN" w:bidi="ar"/>
                    </w:rPr>
                    <w:t>0</w:t>
                  </w:r>
                </w:p>
              </w:tc>
              <w:tc>
                <w:tcPr>
                  <w:tcW w:w="307"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24.83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136"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水域及水利设施用地</w:t>
                  </w:r>
                </w:p>
              </w:tc>
              <w:tc>
                <w:tcPr>
                  <w:tcW w:w="29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亩</w:t>
                  </w:r>
                </w:p>
              </w:tc>
              <w:tc>
                <w:tcPr>
                  <w:tcW w:w="545"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15.35</w:t>
                  </w:r>
                </w:p>
              </w:tc>
              <w:tc>
                <w:tcPr>
                  <w:tcW w:w="37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15.35</w:t>
                  </w:r>
                </w:p>
              </w:tc>
              <w:tc>
                <w:tcPr>
                  <w:tcW w:w="541" w:type="pct"/>
                  <w:noWrap/>
                  <w:vAlign w:val="center"/>
                </w:tcPr>
                <w:p>
                  <w:pPr>
                    <w:spacing w:line="0" w:lineRule="atLeast"/>
                    <w:jc w:val="center"/>
                    <w:rPr>
                      <w:rFonts w:hint="default" w:ascii="Times New Roman" w:hAnsi="Times New Roman" w:eastAsia="宋体" w:cs="Times New Roman"/>
                      <w:color w:val="auto"/>
                      <w:sz w:val="21"/>
                      <w:szCs w:val="21"/>
                    </w:rPr>
                  </w:pP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0.84</w:t>
                  </w:r>
                </w:p>
              </w:tc>
              <w:tc>
                <w:tcPr>
                  <w:tcW w:w="63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342"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0.84</w:t>
                  </w:r>
                </w:p>
              </w:tc>
              <w:tc>
                <w:tcPr>
                  <w:tcW w:w="307"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16.19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1136"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内陆滩涂</w:t>
                  </w:r>
                </w:p>
              </w:tc>
              <w:tc>
                <w:tcPr>
                  <w:tcW w:w="29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亩</w:t>
                  </w:r>
                </w:p>
              </w:tc>
              <w:tc>
                <w:tcPr>
                  <w:tcW w:w="545"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13.05</w:t>
                  </w:r>
                </w:p>
              </w:tc>
              <w:tc>
                <w:tcPr>
                  <w:tcW w:w="37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13.05</w:t>
                  </w: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0.84</w:t>
                  </w:r>
                </w:p>
              </w:tc>
              <w:tc>
                <w:tcPr>
                  <w:tcW w:w="63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342"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0.84</w:t>
                  </w:r>
                </w:p>
              </w:tc>
              <w:tc>
                <w:tcPr>
                  <w:tcW w:w="307"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13.89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1136" w:type="pct"/>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河流水面</w:t>
                  </w:r>
                </w:p>
              </w:tc>
              <w:tc>
                <w:tcPr>
                  <w:tcW w:w="29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亩</w:t>
                  </w:r>
                </w:p>
              </w:tc>
              <w:tc>
                <w:tcPr>
                  <w:tcW w:w="545"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37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541" w:type="pct"/>
                  <w:noWrap/>
                  <w:vAlign w:val="center"/>
                </w:tcPr>
                <w:p>
                  <w:pPr>
                    <w:spacing w:line="0" w:lineRule="atLeast"/>
                    <w:jc w:val="center"/>
                    <w:rPr>
                      <w:rFonts w:hint="default" w:ascii="Times New Roman" w:hAnsi="Times New Roman" w:eastAsia="宋体" w:cs="Times New Roman"/>
                      <w:color w:val="auto"/>
                      <w:sz w:val="21"/>
                      <w:szCs w:val="21"/>
                    </w:rPr>
                  </w:pPr>
                </w:p>
              </w:tc>
              <w:tc>
                <w:tcPr>
                  <w:tcW w:w="541" w:type="pct"/>
                  <w:noWrap/>
                  <w:vAlign w:val="center"/>
                </w:tcPr>
                <w:p>
                  <w:pPr>
                    <w:spacing w:line="0" w:lineRule="atLeast"/>
                    <w:jc w:val="center"/>
                    <w:rPr>
                      <w:rFonts w:hint="default" w:ascii="Times New Roman" w:hAnsi="Times New Roman" w:eastAsia="宋体" w:cs="Times New Roman"/>
                      <w:color w:val="auto"/>
                      <w:sz w:val="21"/>
                      <w:szCs w:val="21"/>
                    </w:rPr>
                  </w:pPr>
                </w:p>
              </w:tc>
              <w:tc>
                <w:tcPr>
                  <w:tcW w:w="639" w:type="pct"/>
                  <w:noWrap/>
                  <w:vAlign w:val="center"/>
                </w:tcPr>
                <w:p>
                  <w:pPr>
                    <w:spacing w:line="0" w:lineRule="atLeast"/>
                    <w:jc w:val="center"/>
                    <w:rPr>
                      <w:rFonts w:hint="default" w:ascii="Times New Roman" w:hAnsi="Times New Roman" w:eastAsia="宋体" w:cs="Times New Roman"/>
                      <w:color w:val="auto"/>
                      <w:sz w:val="21"/>
                      <w:szCs w:val="21"/>
                    </w:rPr>
                  </w:pPr>
                </w:p>
              </w:tc>
              <w:tc>
                <w:tcPr>
                  <w:tcW w:w="342"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307"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136"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其他土地</w:t>
                  </w:r>
                </w:p>
              </w:tc>
              <w:tc>
                <w:tcPr>
                  <w:tcW w:w="29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亩</w:t>
                  </w:r>
                </w:p>
              </w:tc>
              <w:tc>
                <w:tcPr>
                  <w:tcW w:w="545"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37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342"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307"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6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1136"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空闲地</w:t>
                  </w:r>
                </w:p>
              </w:tc>
              <w:tc>
                <w:tcPr>
                  <w:tcW w:w="298"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eastAsia" w:ascii="宋体" w:hAnsi="宋体" w:eastAsia="宋体" w:cs="宋体"/>
                      <w:i w:val="0"/>
                      <w:iCs w:val="0"/>
                      <w:color w:val="000000"/>
                      <w:kern w:val="0"/>
                      <w:sz w:val="21"/>
                      <w:szCs w:val="21"/>
                      <w:u w:val="none"/>
                      <w:lang w:val="en-US" w:eastAsia="zh-CN" w:bidi="ar"/>
                    </w:rPr>
                    <w:t>亩</w:t>
                  </w:r>
                </w:p>
              </w:tc>
              <w:tc>
                <w:tcPr>
                  <w:tcW w:w="545"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37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2.08</w:t>
                  </w:r>
                </w:p>
              </w:tc>
              <w:tc>
                <w:tcPr>
                  <w:tcW w:w="541" w:type="pct"/>
                  <w:noWrap/>
                  <w:vAlign w:val="center"/>
                </w:tcPr>
                <w:p>
                  <w:pPr>
                    <w:spacing w:line="0" w:lineRule="atLeast"/>
                    <w:jc w:val="center"/>
                    <w:rPr>
                      <w:rFonts w:hint="default" w:ascii="Times New Roman" w:hAnsi="Times New Roman" w:eastAsia="宋体" w:cs="Times New Roman"/>
                      <w:color w:val="auto"/>
                      <w:sz w:val="21"/>
                      <w:szCs w:val="21"/>
                    </w:rPr>
                  </w:pPr>
                </w:p>
              </w:tc>
              <w:tc>
                <w:tcPr>
                  <w:tcW w:w="541"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39"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342"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2.55</w:t>
                  </w:r>
                </w:p>
              </w:tc>
              <w:tc>
                <w:tcPr>
                  <w:tcW w:w="307" w:type="pct"/>
                  <w:noWrap/>
                  <w:vAlign w:val="center"/>
                </w:tcPr>
                <w:p>
                  <w:pPr>
                    <w:keepNext w:val="0"/>
                    <w:keepLines w:val="0"/>
                    <w:widowControl/>
                    <w:suppressLineNumbers w:val="0"/>
                    <w:spacing w:line="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4.63</w:t>
                  </w:r>
                </w:p>
              </w:tc>
            </w:tr>
          </w:tbl>
          <w:p>
            <w:pPr>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项目占地不涉及民居，不涉及居民搬迁，涉及耕地占用。建设单位按照相关占地补偿标准，依法对被占用的耕地进行了资金补偿。根据建设单位提供资料，</w:t>
            </w:r>
            <w:r>
              <w:rPr>
                <w:rFonts w:hint="eastAsia" w:cs="Times New Roman"/>
                <w:color w:val="auto"/>
                <w:sz w:val="24"/>
                <w:lang w:val="en-US" w:eastAsia="zh-CN"/>
              </w:rPr>
              <w:t>芝溪河明月镇延长段</w:t>
            </w:r>
            <w:r>
              <w:rPr>
                <w:rFonts w:hint="eastAsia" w:ascii="Times New Roman" w:hAnsi="Times New Roman" w:eastAsia="宋体" w:cs="Times New Roman"/>
                <w:color w:val="auto"/>
                <w:sz w:val="24"/>
                <w:lang w:val="en-US" w:eastAsia="zh-CN"/>
              </w:rPr>
              <w:t>防洪治理工程占地补偿金额为</w:t>
            </w:r>
            <w:r>
              <w:rPr>
                <w:rFonts w:hint="eastAsia" w:cs="Times New Roman"/>
                <w:color w:val="auto"/>
                <w:sz w:val="24"/>
                <w:lang w:val="en-US" w:eastAsia="zh-CN"/>
              </w:rPr>
              <w:t>134.13</w:t>
            </w:r>
            <w:r>
              <w:rPr>
                <w:rFonts w:hint="eastAsia" w:ascii="Times New Roman" w:hAnsi="Times New Roman" w:eastAsia="宋体" w:cs="Times New Roman"/>
                <w:color w:val="auto"/>
                <w:sz w:val="24"/>
                <w:lang w:val="en-US" w:eastAsia="zh-CN"/>
              </w:rPr>
              <w:t>万元。</w:t>
            </w:r>
          </w:p>
          <w:p>
            <w:pPr>
              <w:numPr>
                <w:ilvl w:val="0"/>
                <w:numId w:val="0"/>
              </w:numPr>
              <w:adjustRightInd w:val="0"/>
              <w:snapToGrid w:val="0"/>
              <w:spacing w:line="360" w:lineRule="auto"/>
              <w:rPr>
                <w:rFonts w:hint="default" w:ascii="Times New Roman" w:hAnsi="Times New Roman" w:cs="Times New Roman"/>
                <w:b/>
                <w:bCs/>
                <w:color w:val="FF0000"/>
                <w:sz w:val="24"/>
              </w:rPr>
            </w:pPr>
            <w:r>
              <w:rPr>
                <w:rFonts w:hint="eastAsia" w:cs="Times New Roman"/>
                <w:b/>
                <w:bCs/>
                <w:color w:val="auto"/>
                <w:sz w:val="24"/>
                <w:lang w:val="en-US" w:eastAsia="zh-CN"/>
              </w:rPr>
              <w:t>八、</w:t>
            </w:r>
            <w:r>
              <w:rPr>
                <w:b/>
                <w:color w:val="auto"/>
                <w:sz w:val="24"/>
                <w:szCs w:val="22"/>
              </w:rPr>
              <w:t>项目劳动定员</w:t>
            </w:r>
          </w:p>
          <w:p>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施工期：</w:t>
            </w:r>
            <w:r>
              <w:rPr>
                <w:rFonts w:hint="default" w:ascii="Times New Roman" w:hAnsi="Times New Roman" w:cs="Times New Roman"/>
                <w:color w:val="auto"/>
                <w:sz w:val="24"/>
              </w:rPr>
              <w:t>本项目施工高峰期为</w:t>
            </w:r>
            <w:r>
              <w:rPr>
                <w:rFonts w:hint="eastAsia" w:cs="Times New Roman"/>
                <w:color w:val="auto"/>
                <w:sz w:val="24"/>
                <w:lang w:val="en-US" w:eastAsia="zh-CN"/>
              </w:rPr>
              <w:t>100</w:t>
            </w:r>
            <w:r>
              <w:rPr>
                <w:rFonts w:hint="default" w:ascii="Times New Roman" w:hAnsi="Times New Roman" w:cs="Times New Roman"/>
                <w:color w:val="auto"/>
                <w:sz w:val="24"/>
              </w:rPr>
              <w:t>人，施工人员住宿租赁附近的空置房屋，施工现场不设置宿舍。</w:t>
            </w:r>
          </w:p>
          <w:p>
            <w:pPr>
              <w:adjustRightInd w:val="0"/>
              <w:snapToGrid w:val="0"/>
              <w:spacing w:line="360" w:lineRule="auto"/>
              <w:ind w:firstLine="482" w:firstLineChars="200"/>
              <w:rPr>
                <w:rFonts w:hint="default" w:ascii="Times New Roman" w:hAnsi="Times New Roman" w:eastAsia="宋体" w:cs="Times New Roman"/>
                <w:color w:val="FF0000"/>
                <w:lang w:eastAsia="zh-CN"/>
              </w:rPr>
            </w:pPr>
            <w:r>
              <w:rPr>
                <w:rFonts w:hint="default" w:ascii="Times New Roman" w:hAnsi="Times New Roman" w:cs="Times New Roman"/>
                <w:b/>
                <w:bCs/>
                <w:color w:val="auto"/>
                <w:sz w:val="24"/>
              </w:rPr>
              <w:t>运营期：</w:t>
            </w:r>
            <w:r>
              <w:rPr>
                <w:rFonts w:hint="eastAsia" w:ascii="Times New Roman" w:hAnsi="Times New Roman" w:cs="Times New Roman"/>
                <w:color w:val="auto"/>
                <w:sz w:val="24"/>
              </w:rPr>
              <w:t>由蓬溪县水利局统一领导管理，堤防</w:t>
            </w:r>
            <w:r>
              <w:rPr>
                <w:rFonts w:hint="default" w:ascii="Times New Roman" w:hAnsi="Times New Roman" w:cs="Times New Roman"/>
                <w:color w:val="auto"/>
                <w:sz w:val="24"/>
              </w:rPr>
              <w:t>由</w:t>
            </w:r>
            <w:r>
              <w:rPr>
                <w:rFonts w:hint="eastAsia" w:ascii="Times New Roman" w:hAnsi="Times New Roman" w:cs="Times New Roman"/>
                <w:color w:val="auto"/>
                <w:sz w:val="24"/>
              </w:rPr>
              <w:t>明月镇</w:t>
            </w:r>
            <w:r>
              <w:rPr>
                <w:rFonts w:hint="default" w:ascii="Times New Roman" w:hAnsi="Times New Roman" w:cs="Times New Roman"/>
                <w:color w:val="auto"/>
                <w:sz w:val="24"/>
              </w:rPr>
              <w:t>人民政府负责运行管理</w:t>
            </w:r>
            <w:r>
              <w:rPr>
                <w:rFonts w:hint="eastAsia" w:ascii="Times New Roman" w:hAnsi="Times New Roman" w:cs="Times New Roman"/>
                <w:color w:val="auto"/>
                <w:sz w:val="24"/>
              </w:rPr>
              <w:t>。在水利局现有编制人员中，配置</w:t>
            </w:r>
            <w:r>
              <w:rPr>
                <w:rFonts w:hint="default" w:ascii="Times New Roman" w:hAnsi="Times New Roman" w:cs="Times New Roman"/>
                <w:color w:val="auto"/>
                <w:sz w:val="24"/>
              </w:rPr>
              <w:t>1</w:t>
            </w:r>
            <w:r>
              <w:rPr>
                <w:rFonts w:hint="eastAsia" w:ascii="Times New Roman" w:hAnsi="Times New Roman" w:cs="Times New Roman"/>
                <w:color w:val="auto"/>
                <w:sz w:val="24"/>
              </w:rPr>
              <w:t>名人员对本工程进行监测和管理</w:t>
            </w:r>
            <w:r>
              <w:rPr>
                <w:rFonts w:hint="default" w:ascii="Times New Roman" w:hAnsi="Times New Roman" w:cs="Times New Roman"/>
                <w:color w:val="auto"/>
                <w:sz w:val="24"/>
              </w:rPr>
              <w:t>，不新增管理员工</w:t>
            </w:r>
            <w:r>
              <w:rPr>
                <w:rFonts w:hint="default" w:ascii="Times New Roman" w:hAnsi="Times New Roman" w:cs="Times New Roman"/>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528" w:type="dxa"/>
            <w:vAlign w:val="center"/>
          </w:tcPr>
          <w:p>
            <w:pPr>
              <w:adjustRightInd w:val="0"/>
              <w:snapToGrid w:val="0"/>
              <w:jc w:val="center"/>
              <w:rPr>
                <w:rFonts w:hint="default" w:ascii="Times New Roman" w:hAnsi="Times New Roman" w:cs="Times New Roman"/>
                <w:color w:val="FF0000"/>
                <w:kern w:val="0"/>
                <w:sz w:val="24"/>
              </w:rPr>
            </w:pPr>
            <w:r>
              <w:rPr>
                <w:rFonts w:hint="default" w:ascii="Times New Roman" w:hAnsi="Times New Roman" w:cs="Times New Roman"/>
                <w:color w:val="auto"/>
                <w:kern w:val="0"/>
                <w:sz w:val="24"/>
              </w:rPr>
              <w:t>总平面及现场布置</w:t>
            </w:r>
          </w:p>
        </w:tc>
        <w:tc>
          <w:tcPr>
            <w:tcW w:w="9591" w:type="dxa"/>
            <w:vAlign w:val="center"/>
          </w:tcPr>
          <w:p>
            <w:pPr>
              <w:adjustRightInd w:val="0"/>
              <w:snapToGrid w:val="0"/>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一、工程布局</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1、堤线布置</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堤线布置原则，充分利用现状地理地势情况，布置堤线尽量与流向相适应，在保证有足够的行洪过水断面，确保河宽基本稳定的情况下，同时尽量减少移民搬迁和少占耕地。堤线按照本阶段推荐堤距布设，对本河段堤线布置叙述如下：</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本工程共布置4段护岸堤，长度合计1135.06m。</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（1）芝溪河左一段堤线布置</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对芝溪河明月镇河段左岸新建护岸堤。芝溪河左一段护岸长度271.90m（桩号为：芝左一0+000.00～芝左一0+271.90），上游起始于望江楼桥（105°37′13.80″，30°44′35.01″），止于下游已建护岸堤（105°37′9.38″，30°44′27.57″），为泥岩石渣填筑的复合式斜坡护岸堤。</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（2）芝溪河左二段堤线布置</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芝溪河左二段护岸长度271.30m（桩号为：芝左二0+000.00～芝左二0+271.30），上游起点接已建护岸堤（105°36′49.00″，30°44′22.60″），止于河五沟小桥处（105°36′40.81″，30°44′20.24″），为斜坡式护岸堤。</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（3）芝溪河左三段堤线布置</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芝溪河左三段护岸长度318.96m（桩号为：芝左三0+000.00～芝左三0+318.96），上游起点接已建堡坎（105°36′36.66″，30°44′20.75″），止于污水处理厂泵站旁山体（105°36′25.58″，30°44′18.45″），为斜坡式护岸堤。</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（4）牛家河左岸段堤线布置</w:t>
            </w:r>
          </w:p>
          <w:p>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牛家河左岸段护岸长度272.90m（桩号为：牛左0+000.00～牛左0+272.90），起于牛家河前锋桥上游260m处石河堰左岸岸坡（105°36′47.27″，30°44′34.26″），止于前锋桥桥墩（105°36′56.58″，30°44′31.26″）。</w:t>
            </w:r>
          </w:p>
          <w:p>
            <w:pPr>
              <w:pStyle w:val="236"/>
              <w:keepNext w:val="0"/>
              <w:keepLines w:val="0"/>
              <w:pageBreakBefore w:val="0"/>
              <w:kinsoku/>
              <w:wordWrap/>
              <w:overflowPunct/>
              <w:topLinePunct w:val="0"/>
              <w:autoSpaceDE/>
              <w:autoSpaceDN/>
              <w:bidi w:val="0"/>
              <w:adjustRightInd w:val="0"/>
              <w:spacing w:line="360" w:lineRule="auto"/>
              <w:ind w:firstLine="480" w:firstLineChars="200"/>
              <w:jc w:val="left"/>
              <w:textAlignment w:val="auto"/>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14:textFill>
                  <w14:solidFill>
                    <w14:schemeClr w14:val="tx1"/>
                  </w14:solidFill>
                </w14:textFill>
              </w:rPr>
              <w:t>本护岸堤基本沿现状岸线进行布置，兴建堤防工程后河床与原河床稳定性基本一致，不会因为堤防工程的兴建发生整体的、大规模的河床再造情况，也不会发生河型转化等情况。从河道水流、泥沙输移等方面看，工程的兴建将使河段水沙运动、河床变形朝有利方向发展。堤线沿现状岸线布置，堤线未侵占行洪断面，维持了现状行洪河道的基本格局，堤防建设前后的洪水面及水力要素变化很小，不会对对岸造成加大冲刷影响。因此本阶段拟定的堤线布置方案是合理的。</w:t>
            </w:r>
          </w:p>
          <w:p>
            <w:pPr>
              <w:adjustRightInd w:val="0"/>
              <w:snapToGrid w:val="0"/>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二、施工布局</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1、施工道路</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lang w:eastAsia="zh-CN"/>
              </w:rPr>
              <w:t>施工区场内</w:t>
            </w:r>
            <w:r>
              <w:rPr>
                <w:rFonts w:hint="default" w:ascii="Times New Roman" w:hAnsi="Times New Roman" w:cs="Times New Roman"/>
                <w:color w:val="auto"/>
                <w:sz w:val="24"/>
              </w:rPr>
              <w:t>有沿河岸线的村道，交通路网完善，基本能够满足场内施工要求。场内交通采用汽车运输，可利用工程河段沿线均存在已有道路可至施工场地，本次施工临时措施中平整</w:t>
            </w:r>
            <w:r>
              <w:rPr>
                <w:rFonts w:hint="eastAsia" w:cs="Times New Roman"/>
                <w:color w:val="auto"/>
                <w:sz w:val="24"/>
                <w:lang w:val="en-US" w:eastAsia="zh-CN"/>
              </w:rPr>
              <w:t>2</w:t>
            </w:r>
            <w:r>
              <w:rPr>
                <w:rFonts w:hint="default" w:ascii="Times New Roman" w:hAnsi="Times New Roman" w:cs="Times New Roman"/>
                <w:color w:val="auto"/>
                <w:sz w:val="24"/>
              </w:rPr>
              <w:t>条施工临时道路，总长</w:t>
            </w:r>
            <w:r>
              <w:rPr>
                <w:rFonts w:hint="eastAsia" w:cs="Times New Roman"/>
                <w:color w:val="auto"/>
                <w:sz w:val="24"/>
                <w:lang w:val="en-US" w:eastAsia="zh-CN"/>
              </w:rPr>
              <w:t>5</w:t>
            </w:r>
            <w:r>
              <w:rPr>
                <w:rFonts w:hint="default" w:ascii="Times New Roman" w:hAnsi="Times New Roman" w:cs="Times New Roman"/>
                <w:color w:val="auto"/>
                <w:sz w:val="24"/>
              </w:rPr>
              <w:t>00m，宽度</w:t>
            </w:r>
            <w:r>
              <w:rPr>
                <w:rFonts w:hint="eastAsia" w:cs="Times New Roman"/>
                <w:color w:val="auto"/>
                <w:sz w:val="24"/>
                <w:lang w:val="en-US" w:eastAsia="zh-CN"/>
              </w:rPr>
              <w:t>4.0</w:t>
            </w:r>
            <w:r>
              <w:rPr>
                <w:rFonts w:hint="default" w:ascii="Times New Roman" w:hAnsi="Times New Roman" w:cs="Times New Roman"/>
                <w:color w:val="auto"/>
                <w:sz w:val="24"/>
              </w:rPr>
              <w:t>m。</w:t>
            </w:r>
          </w:p>
          <w:p>
            <w:pPr>
              <w:pStyle w:val="65"/>
              <w:numPr>
                <w:ilvl w:val="0"/>
                <w:numId w:val="9"/>
              </w:numPr>
              <w:adjustRightInd w:val="0"/>
              <w:snapToGrid w:val="0"/>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场内施工公路特性表</w:t>
            </w:r>
          </w:p>
          <w:tbl>
            <w:tblPr>
              <w:tblStyle w:val="37"/>
              <w:tblW w:w="4997" w:type="pct"/>
              <w:jc w:val="center"/>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336"/>
              <w:gridCol w:w="2336"/>
              <w:gridCol w:w="2338"/>
              <w:gridCol w:w="2355"/>
            </w:tblGrid>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2336" w:type="dxa"/>
                  <w:tcBorders>
                    <w:top w:val="single" w:color="000000" w:sz="12" w:space="0"/>
                    <w:left w:val="nil"/>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名称</w:t>
                  </w:r>
                </w:p>
              </w:tc>
              <w:tc>
                <w:tcPr>
                  <w:tcW w:w="2336" w:type="dxa"/>
                  <w:tcBorders>
                    <w:top w:val="single" w:color="000000" w:sz="12" w:space="0"/>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长度（米）</w:t>
                  </w:r>
                </w:p>
              </w:tc>
              <w:tc>
                <w:tcPr>
                  <w:tcW w:w="2338" w:type="dxa"/>
                  <w:tcBorders>
                    <w:top w:val="single" w:color="000000" w:sz="12" w:space="0"/>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路面宽度（米</w:t>
                  </w:r>
                  <w:r>
                    <w:rPr>
                      <w:rFonts w:hint="default" w:ascii="Times New Roman" w:hAnsi="Times New Roman" w:eastAsia="宋体" w:cs="Times New Roman"/>
                      <w:b w:val="0"/>
                      <w:i w:val="0"/>
                      <w:iCs w:val="0"/>
                      <w:color w:val="auto"/>
                      <w:kern w:val="0"/>
                      <w:sz w:val="21"/>
                      <w:szCs w:val="21"/>
                      <w:u w:val="none"/>
                      <w:lang w:val="en-US" w:eastAsia="zh-CN" w:bidi="ar"/>
                    </w:rPr>
                    <w:t>)</w:t>
                  </w:r>
                </w:p>
              </w:tc>
              <w:tc>
                <w:tcPr>
                  <w:tcW w:w="2355" w:type="dxa"/>
                  <w:tcBorders>
                    <w:top w:val="single" w:color="000000" w:sz="12" w:space="0"/>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公路标准</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jc w:val="center"/>
              </w:trPr>
              <w:tc>
                <w:tcPr>
                  <w:tcW w:w="2336" w:type="dxa"/>
                  <w:tcBorders>
                    <w:left w:val="nil"/>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牛左</w:t>
                  </w:r>
                </w:p>
              </w:tc>
              <w:tc>
                <w:tcPr>
                  <w:tcW w:w="2336" w:type="dxa"/>
                  <w:tcBorders>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200</w:t>
                  </w:r>
                </w:p>
              </w:tc>
              <w:tc>
                <w:tcPr>
                  <w:tcW w:w="2338" w:type="dxa"/>
                  <w:tcBorders>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4.0</w:t>
                  </w:r>
                </w:p>
              </w:tc>
              <w:tc>
                <w:tcPr>
                  <w:tcW w:w="2355" w:type="dxa"/>
                  <w:tcBorders>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四级，泥结碎石路面</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jc w:val="center"/>
              </w:trPr>
              <w:tc>
                <w:tcPr>
                  <w:tcW w:w="2336" w:type="dxa"/>
                  <w:tcBorders>
                    <w:left w:val="nil"/>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芝左三</w:t>
                  </w:r>
                </w:p>
              </w:tc>
              <w:tc>
                <w:tcPr>
                  <w:tcW w:w="2336" w:type="dxa"/>
                  <w:tcBorders>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3</w:t>
                  </w:r>
                  <w:r>
                    <w:rPr>
                      <w:rFonts w:hint="default" w:ascii="Times New Roman" w:hAnsi="Times New Roman" w:eastAsia="宋体" w:cs="Times New Roman"/>
                      <w:b w:val="0"/>
                      <w:i w:val="0"/>
                      <w:iCs w:val="0"/>
                      <w:color w:val="auto"/>
                      <w:kern w:val="0"/>
                      <w:sz w:val="21"/>
                      <w:szCs w:val="21"/>
                      <w:u w:val="none"/>
                      <w:lang w:val="en-US" w:eastAsia="zh-CN" w:bidi="ar"/>
                    </w:rPr>
                    <w:t>0</w:t>
                  </w:r>
                  <w:r>
                    <w:rPr>
                      <w:rFonts w:hint="eastAsia" w:ascii="Times New Roman" w:hAnsi="Times New Roman" w:eastAsia="宋体" w:cs="Times New Roman"/>
                      <w:b w:val="0"/>
                      <w:i w:val="0"/>
                      <w:iCs w:val="0"/>
                      <w:color w:val="auto"/>
                      <w:kern w:val="0"/>
                      <w:sz w:val="21"/>
                      <w:szCs w:val="21"/>
                      <w:u w:val="none"/>
                      <w:lang w:val="en-US" w:eastAsia="zh-CN" w:bidi="ar"/>
                    </w:rPr>
                    <w:t>0</w:t>
                  </w:r>
                </w:p>
              </w:tc>
              <w:tc>
                <w:tcPr>
                  <w:tcW w:w="2338" w:type="dxa"/>
                  <w:tcBorders>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4.0</w:t>
                  </w:r>
                </w:p>
              </w:tc>
              <w:tc>
                <w:tcPr>
                  <w:tcW w:w="2355" w:type="dxa"/>
                  <w:tcBorders>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四级，泥结碎石路面</w:t>
                  </w:r>
                </w:p>
              </w:tc>
            </w:tr>
            <w:tr>
              <w:tblPrEx>
                <w:tblBorders>
                  <w:top w:val="single" w:color="000000" w:sz="4" w:space="0"/>
                  <w:left w:val="single" w:color="000000" w:sz="4" w:space="0"/>
                  <w:bottom w:val="single" w:color="000000" w:sz="4" w:space="0"/>
                  <w:right w:val="single" w:color="000000"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3" w:hRule="atLeast"/>
                <w:jc w:val="center"/>
              </w:trPr>
              <w:tc>
                <w:tcPr>
                  <w:tcW w:w="2336" w:type="dxa"/>
                  <w:tcBorders>
                    <w:left w:val="nil"/>
                    <w:bottom w:val="single" w:color="000000" w:sz="12" w:space="0"/>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合计</w:t>
                  </w:r>
                </w:p>
              </w:tc>
              <w:tc>
                <w:tcPr>
                  <w:tcW w:w="2336" w:type="dxa"/>
                  <w:tcBorders>
                    <w:bottom w:val="single" w:color="000000" w:sz="12" w:space="0"/>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500</w:t>
                  </w:r>
                </w:p>
              </w:tc>
              <w:tc>
                <w:tcPr>
                  <w:tcW w:w="2338" w:type="dxa"/>
                  <w:tcBorders>
                    <w:bottom w:val="single" w:color="000000" w:sz="12" w:space="0"/>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4.0</w:t>
                  </w:r>
                </w:p>
              </w:tc>
              <w:tc>
                <w:tcPr>
                  <w:tcW w:w="2355" w:type="dxa"/>
                  <w:tcBorders>
                    <w:bottom w:val="single" w:color="000000" w:sz="12" w:space="0"/>
                    <w:tl2br w:val="nil"/>
                    <w:tr2bl w:val="nil"/>
                  </w:tcBorders>
                  <w:shd w:val="clear" w:color="auto" w:fill="auto"/>
                  <w:noWrap/>
                  <w:vAlign w:val="center"/>
                </w:tcPr>
                <w:p>
                  <w:pPr>
                    <w:pStyle w:val="244"/>
                    <w:ind w:firstLine="0" w:firstLineChars="0"/>
                    <w:rPr>
                      <w:rFonts w:hint="default" w:ascii="Times New Roman" w:hAnsi="Times New Roman" w:eastAsia="宋体" w:cs="Times New Roman"/>
                      <w:b w:val="0"/>
                      <w:i w:val="0"/>
                      <w:iCs w:val="0"/>
                      <w:color w:val="auto"/>
                      <w:kern w:val="0"/>
                      <w:sz w:val="21"/>
                      <w:szCs w:val="21"/>
                      <w:u w:val="none"/>
                      <w:lang w:val="en-US" w:eastAsia="zh-CN" w:bidi="ar"/>
                    </w:rPr>
                  </w:pPr>
                  <w:r>
                    <w:rPr>
                      <w:rFonts w:hint="eastAsia" w:eastAsia="宋体" w:cs="Times New Roman"/>
                      <w:b w:val="0"/>
                      <w:i w:val="0"/>
                      <w:iCs w:val="0"/>
                      <w:color w:val="auto"/>
                      <w:kern w:val="0"/>
                      <w:sz w:val="21"/>
                      <w:szCs w:val="21"/>
                      <w:u w:val="none"/>
                      <w:lang w:val="en-US" w:eastAsia="zh-CN" w:bidi="ar"/>
                    </w:rPr>
                    <w:t>/</w:t>
                  </w:r>
                </w:p>
              </w:tc>
            </w:tr>
          </w:tbl>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2、施工营地</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项目区位于</w:t>
            </w:r>
            <w:r>
              <w:rPr>
                <w:rFonts w:hint="eastAsia" w:cs="Times New Roman"/>
                <w:color w:val="auto"/>
                <w:sz w:val="24"/>
                <w:lang w:val="en-US" w:eastAsia="zh-CN"/>
              </w:rPr>
              <w:t>遂宁</w:t>
            </w:r>
            <w:r>
              <w:rPr>
                <w:rFonts w:hint="default" w:ascii="Times New Roman" w:hAnsi="Times New Roman" w:cs="Times New Roman"/>
                <w:color w:val="auto"/>
                <w:sz w:val="24"/>
              </w:rPr>
              <w:t>市</w:t>
            </w:r>
            <w:r>
              <w:rPr>
                <w:rFonts w:hint="eastAsia" w:cs="Times New Roman"/>
                <w:color w:val="auto"/>
                <w:sz w:val="24"/>
                <w:lang w:val="en-US" w:eastAsia="zh-CN"/>
              </w:rPr>
              <w:t>蓬溪县明月</w:t>
            </w:r>
            <w:r>
              <w:rPr>
                <w:rFonts w:hint="default" w:ascii="Times New Roman" w:hAnsi="Times New Roman" w:cs="Times New Roman"/>
                <w:color w:val="auto"/>
                <w:sz w:val="24"/>
                <w:lang w:val="en-US" w:eastAsia="zh-CN"/>
              </w:rPr>
              <w:t>镇</w:t>
            </w:r>
            <w:r>
              <w:rPr>
                <w:rFonts w:hint="default" w:ascii="Times New Roman" w:hAnsi="Times New Roman" w:cs="Times New Roman"/>
                <w:color w:val="auto"/>
                <w:sz w:val="24"/>
              </w:rPr>
              <w:t>，附近居民点分布较多，人口较为密集，因此施工单位办公及住宿就近向区域居民租房。项目施工期产生的生活污水依托租用居民房屋已建化粪池处理后用于周边农田及林地施肥，不外排。</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3、施工供电</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工程施工用电由</w:t>
            </w:r>
            <w:r>
              <w:rPr>
                <w:rFonts w:hint="eastAsia" w:ascii="Times New Roman" w:hAnsi="Times New Roman" w:cs="Times New Roman"/>
                <w:color w:val="auto"/>
                <w:sz w:val="24"/>
              </w:rPr>
              <w:t>工程附近</w:t>
            </w:r>
            <w:r>
              <w:rPr>
                <w:rFonts w:hint="default" w:ascii="Times New Roman" w:hAnsi="Times New Roman" w:cs="Times New Roman"/>
                <w:color w:val="auto"/>
                <w:sz w:val="24"/>
              </w:rPr>
              <w:t>所在城镇变电站供给，根据施工布置和电量需用要求，直接从明月场镇搭设</w:t>
            </w:r>
            <w:r>
              <w:rPr>
                <w:rFonts w:hint="eastAsia" w:ascii="Times New Roman" w:hAnsi="Times New Roman" w:cs="Times New Roman"/>
                <w:color w:val="auto"/>
                <w:sz w:val="24"/>
              </w:rPr>
              <w:t>380V线路至工区即可</w:t>
            </w:r>
            <w:r>
              <w:rPr>
                <w:rFonts w:hint="default" w:ascii="Times New Roman" w:hAnsi="Times New Roman" w:cs="Times New Roman"/>
                <w:color w:val="auto"/>
                <w:sz w:val="24"/>
                <w:lang w:val="en-US" w:eastAsia="zh-CN"/>
              </w:rPr>
              <w:t>满足用电要求，</w:t>
            </w:r>
            <w:r>
              <w:rPr>
                <w:rFonts w:hint="default" w:ascii="Times New Roman" w:hAnsi="Times New Roman" w:cs="Times New Roman"/>
                <w:color w:val="auto"/>
                <w:sz w:val="24"/>
              </w:rPr>
              <w:t>考虑因事故停电的用电需求，工区</w:t>
            </w:r>
            <w:r>
              <w:rPr>
                <w:rFonts w:hint="eastAsia" w:ascii="Times New Roman" w:hAnsi="Times New Roman" w:cs="Times New Roman"/>
                <w:color w:val="auto"/>
                <w:sz w:val="24"/>
              </w:rPr>
              <w:t>内</w:t>
            </w:r>
            <w:r>
              <w:rPr>
                <w:rFonts w:hint="default" w:ascii="Times New Roman" w:hAnsi="Times New Roman" w:cs="Times New Roman"/>
                <w:color w:val="auto"/>
                <w:sz w:val="24"/>
              </w:rPr>
              <w:t>配备</w:t>
            </w:r>
            <w:r>
              <w:rPr>
                <w:rFonts w:hint="eastAsia" w:ascii="Times New Roman" w:hAnsi="Times New Roman" w:cs="Times New Roman"/>
                <w:color w:val="auto"/>
                <w:sz w:val="24"/>
              </w:rPr>
              <w:t>2</w:t>
            </w:r>
            <w:r>
              <w:rPr>
                <w:rFonts w:hint="default" w:ascii="Times New Roman" w:hAnsi="Times New Roman" w:cs="Times New Roman"/>
                <w:color w:val="auto"/>
                <w:sz w:val="24"/>
              </w:rPr>
              <w:t>台小型柴油机发电机</w:t>
            </w:r>
            <w:r>
              <w:rPr>
                <w:rFonts w:hint="default" w:ascii="Times New Roman" w:hAnsi="Times New Roman" w:cs="Times New Roman"/>
                <w:color w:val="auto"/>
                <w:sz w:val="24"/>
                <w:lang w:val="en-US" w:eastAsia="zh-CN"/>
              </w:rPr>
              <w:t>，作为备用电源。</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4、施工供水</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施工用水采用水泵从</w:t>
            </w:r>
            <w:r>
              <w:rPr>
                <w:rFonts w:hint="eastAsia" w:cs="Times New Roman"/>
                <w:color w:val="auto"/>
                <w:sz w:val="24"/>
                <w:lang w:val="en-US" w:eastAsia="zh-CN"/>
              </w:rPr>
              <w:t>芝溪</w:t>
            </w:r>
            <w:r>
              <w:rPr>
                <w:rFonts w:hint="default" w:ascii="Times New Roman" w:hAnsi="Times New Roman" w:cs="Times New Roman"/>
                <w:color w:val="auto"/>
                <w:sz w:val="24"/>
              </w:rPr>
              <w:t>河中直接抽取。生活用水依托</w:t>
            </w:r>
            <w:r>
              <w:rPr>
                <w:rFonts w:hint="eastAsia" w:cs="Times New Roman"/>
                <w:color w:val="auto"/>
                <w:sz w:val="24"/>
                <w:lang w:val="en-US" w:eastAsia="zh-CN"/>
              </w:rPr>
              <w:t>明月镇</w:t>
            </w:r>
            <w:r>
              <w:rPr>
                <w:rFonts w:hint="default" w:ascii="Times New Roman" w:hAnsi="Times New Roman" w:cs="Times New Roman"/>
                <w:color w:val="auto"/>
                <w:sz w:val="24"/>
              </w:rPr>
              <w:t>租用农户房屋管网集中供水。</w:t>
            </w:r>
          </w:p>
          <w:p>
            <w:pPr>
              <w:adjustRightInd w:val="0"/>
              <w:snapToGrid w:val="0"/>
              <w:spacing w:line="360" w:lineRule="auto"/>
              <w:ind w:firstLine="482" w:firstLineChars="200"/>
              <w:jc w:val="left"/>
              <w:rPr>
                <w:rFonts w:hint="default" w:ascii="Times New Roman" w:hAnsi="Times New Roman" w:cs="Times New Roman"/>
                <w:b/>
                <w:bCs/>
                <w:color w:val="auto"/>
                <w:sz w:val="24"/>
              </w:rPr>
            </w:pPr>
            <w:bookmarkStart w:id="6" w:name="OLE_LINK114"/>
            <w:bookmarkStart w:id="7" w:name="OLE_LINK115"/>
            <w:r>
              <w:rPr>
                <w:rFonts w:hint="default" w:ascii="Times New Roman" w:hAnsi="Times New Roman" w:cs="Times New Roman"/>
                <w:b/>
                <w:bCs/>
                <w:color w:val="auto"/>
                <w:sz w:val="24"/>
              </w:rPr>
              <w:t>5、施工场地</w:t>
            </w:r>
            <w:bookmarkEnd w:id="6"/>
            <w:bookmarkEnd w:id="7"/>
          </w:p>
          <w:p>
            <w:pPr>
              <w:adjustRightInd w:val="0"/>
              <w:snapToGrid w:val="0"/>
              <w:spacing w:line="360" w:lineRule="auto"/>
              <w:ind w:firstLine="480" w:firstLineChars="200"/>
              <w:rPr>
                <w:rFonts w:hint="default" w:ascii="Times New Roman" w:hAnsi="Times New Roman" w:cs="Times New Roman"/>
                <w:color w:val="FF0000"/>
                <w:sz w:val="24"/>
              </w:rPr>
            </w:pPr>
            <w:r>
              <w:rPr>
                <w:rFonts w:hint="default" w:ascii="Times New Roman" w:hAnsi="Times New Roman" w:cs="Times New Roman"/>
                <w:color w:val="auto"/>
                <w:sz w:val="24"/>
                <w:szCs w:val="24"/>
              </w:rPr>
              <w:t>根据堤防工程的分布，为便于施工管理，本堤防工程设置1个施工场地，位于</w:t>
            </w:r>
            <w:r>
              <w:rPr>
                <w:rFonts w:hint="eastAsia"/>
                <w:color w:val="auto"/>
                <w:sz w:val="24"/>
                <w:szCs w:val="24"/>
              </w:rPr>
              <w:t>芝左二0+080.00</w:t>
            </w:r>
            <w:r>
              <w:rPr>
                <w:rFonts w:hint="default" w:ascii="Times New Roman" w:hAnsi="Times New Roman" w:cs="Times New Roman"/>
                <w:color w:val="auto"/>
                <w:sz w:val="24"/>
                <w:szCs w:val="24"/>
              </w:rPr>
              <w:t>，占地面积约</w:t>
            </w:r>
            <w:r>
              <w:rPr>
                <w:rFonts w:hint="eastAsia" w:cs="Times New Roman"/>
                <w:color w:val="auto"/>
                <w:sz w:val="24"/>
                <w:szCs w:val="24"/>
                <w:lang w:val="en-US" w:eastAsia="zh-CN"/>
              </w:rPr>
              <w:t>8</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，场地内主要设置</w:t>
            </w:r>
            <w:r>
              <w:rPr>
                <w:rFonts w:hint="default" w:ascii="Times New Roman" w:hAnsi="Times New Roman" w:cs="Times New Roman"/>
                <w:color w:val="auto"/>
                <w:sz w:val="24"/>
                <w:szCs w:val="24"/>
                <w:lang w:val="en-US" w:eastAsia="zh-CN"/>
              </w:rPr>
              <w:t>1个综合仓库、1个钢木材加工房、1个机械设备停放场、1</w:t>
            </w:r>
            <w:r>
              <w:rPr>
                <w:rFonts w:hint="eastAsia" w:ascii="Times New Roman" w:hAnsi="Times New Roman" w:cs="Times New Roman"/>
                <w:color w:val="auto"/>
                <w:sz w:val="24"/>
                <w:szCs w:val="24"/>
                <w:lang w:val="en-US" w:eastAsia="zh-CN"/>
              </w:rPr>
              <w:t>个混凝土拌合站和预制场</w:t>
            </w:r>
            <w:r>
              <w:rPr>
                <w:rFonts w:hint="default" w:ascii="Times New Roman" w:hAnsi="Times New Roman" w:cs="Times New Roman"/>
                <w:color w:val="auto"/>
                <w:sz w:val="24"/>
                <w:szCs w:val="24"/>
              </w:rPr>
              <w:t>以及</w:t>
            </w:r>
            <w:r>
              <w:rPr>
                <w:rFonts w:hint="eastAsia" w:ascii="Times New Roman" w:hAnsi="Times New Roman" w:cs="Times New Roman"/>
                <w:color w:val="auto"/>
                <w:sz w:val="24"/>
                <w:szCs w:val="24"/>
                <w:lang w:val="en-US" w:eastAsia="zh-CN"/>
              </w:rPr>
              <w:t>水泥库</w:t>
            </w:r>
            <w:r>
              <w:rPr>
                <w:rFonts w:hint="default" w:ascii="Times New Roman" w:hAnsi="Times New Roman" w:cs="Times New Roman"/>
                <w:color w:val="auto"/>
                <w:sz w:val="24"/>
                <w:szCs w:val="24"/>
              </w:rPr>
              <w:t>。</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6、弃渣场</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本项目不设置弃渣场，施工产生的余方全部用于堤防堤后低洼处回填。堤后共布置3个堤后回填区，分别位于左右岸堤后凹地，占地面积14.52亩，堆渣后作水保措施。</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7、临时堆料场</w:t>
            </w:r>
          </w:p>
          <w:p>
            <w:pPr>
              <w:adjustRightInd w:val="0"/>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rPr>
              <w:t>本项目不设置临时堆料场，施工剥离表土临时堆放至堤后弃渣回填区，后期用框格绿化覆土</w:t>
            </w:r>
            <w:r>
              <w:rPr>
                <w:rFonts w:hint="default" w:ascii="Times New Roman" w:hAnsi="Times New Roman" w:cs="Times New Roman"/>
                <w:color w:val="auto"/>
                <w:sz w:val="24"/>
                <w:szCs w:val="24"/>
              </w:rPr>
              <w:t>。</w:t>
            </w:r>
          </w:p>
          <w:p>
            <w:pPr>
              <w:adjustRightInd w:val="0"/>
              <w:snapToGrid w:val="0"/>
              <w:spacing w:line="360" w:lineRule="auto"/>
              <w:ind w:firstLine="482" w:firstLineChars="200"/>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8、车辆维修</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本工程施工机械及设备大修委托</w:t>
            </w:r>
            <w:r>
              <w:rPr>
                <w:rFonts w:hint="eastAsia" w:cs="Times New Roman"/>
                <w:color w:val="auto"/>
                <w:sz w:val="24"/>
                <w:lang w:val="en-US" w:eastAsia="zh-CN"/>
              </w:rPr>
              <w:t>明月镇</w:t>
            </w:r>
            <w:r>
              <w:rPr>
                <w:rFonts w:hint="default" w:ascii="Times New Roman" w:hAnsi="Times New Roman" w:cs="Times New Roman"/>
                <w:color w:val="auto"/>
                <w:sz w:val="24"/>
                <w:lang w:val="en-US" w:eastAsia="zh-CN"/>
              </w:rPr>
              <w:t>镇</w:t>
            </w:r>
            <w:r>
              <w:rPr>
                <w:rFonts w:hint="default" w:ascii="Times New Roman" w:hAnsi="Times New Roman" w:cs="Times New Roman"/>
                <w:color w:val="auto"/>
                <w:sz w:val="24"/>
              </w:rPr>
              <w:t>汽修厂解决，施工现场不设大型机械修配厂和汽车保养站，工程区主要施工机械设备在进场前完成修配和保养，施工区布置汽车停放场。</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同时，</w:t>
            </w:r>
            <w:r>
              <w:rPr>
                <w:rFonts w:hint="default" w:ascii="Times New Roman" w:hAnsi="Times New Roman" w:cs="Times New Roman"/>
                <w:b/>
                <w:bCs/>
                <w:color w:val="auto"/>
                <w:sz w:val="24"/>
              </w:rPr>
              <w:t>环评要求，所有施工机械设备进场前应完成大修及保养。</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9、施工导流</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（1）导流标准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本工程为修建护岸堤，对河道进行护岸防冲，护岸堤不设定防洪标准，按10年一遇洪水进行防冲设计，堤防工程的级别为5级，主要建筑物级别为5级，次要建筑物级别为5级。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w:t>
            </w:r>
            <w:r>
              <w:rPr>
                <w:color w:val="000000" w:themeColor="text1"/>
                <w:sz w:val="24"/>
                <w:szCs w:val="24"/>
                <w14:textFill>
                  <w14:solidFill>
                    <w14:schemeClr w14:val="tx1"/>
                  </w14:solidFill>
                </w14:textFill>
              </w:rPr>
              <w:t>SL303–2017《水利水电工程施工组织设计规范》</w:t>
            </w:r>
            <w:r>
              <w:rPr>
                <w:rFonts w:hint="eastAsia"/>
                <w:color w:val="000000" w:themeColor="text1"/>
                <w:sz w:val="24"/>
                <w:szCs w:val="24"/>
                <w14:textFill>
                  <w14:solidFill>
                    <w14:schemeClr w14:val="tx1"/>
                  </w14:solidFill>
                </w14:textFill>
              </w:rPr>
              <w:t>规定，</w:t>
            </w:r>
            <w:r>
              <w:rPr>
                <w:color w:val="000000" w:themeColor="text1"/>
                <w:sz w:val="24"/>
                <w:szCs w:val="24"/>
                <w14:textFill>
                  <w14:solidFill>
                    <w14:schemeClr w14:val="tx1"/>
                  </w14:solidFill>
                </w14:textFill>
              </w:rPr>
              <w:t>施工导流建筑物为5级，</w:t>
            </w:r>
            <w:r>
              <w:rPr>
                <w:rFonts w:hint="eastAsia"/>
                <w:color w:val="000000" w:themeColor="text1"/>
                <w:sz w:val="24"/>
                <w:szCs w:val="24"/>
                <w14:textFill>
                  <w14:solidFill>
                    <w14:schemeClr w14:val="tx1"/>
                  </w14:solidFill>
                </w14:textFill>
              </w:rPr>
              <w:t>采用土石围堰，导流标准为5～10年一遇，本工程</w:t>
            </w:r>
            <w:r>
              <w:rPr>
                <w:color w:val="000000" w:themeColor="text1"/>
                <w:sz w:val="24"/>
                <w:szCs w:val="24"/>
                <w14:textFill>
                  <w14:solidFill>
                    <w14:schemeClr w14:val="tx1"/>
                  </w14:solidFill>
                </w14:textFill>
              </w:rPr>
              <w:t>选择导流标准为5年一遇设计洪水。</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（2）导流时段和导流流量</w:t>
            </w:r>
          </w:p>
          <w:p>
            <w:pPr>
              <w:adjustRightInd w:val="0"/>
              <w:snapToGrid w:val="0"/>
              <w:spacing w:line="360" w:lineRule="auto"/>
              <w:ind w:firstLine="480" w:firstLineChars="200"/>
              <w:jc w:val="left"/>
              <w:rPr>
                <w:rFonts w:hint="default" w:ascii="Times New Roman" w:hAnsi="Times New Roman" w:cs="Times New Roman"/>
                <w:color w:val="auto"/>
                <w:sz w:val="24"/>
                <w:szCs w:val="24"/>
              </w:rPr>
            </w:pPr>
            <w:r>
              <w:rPr>
                <w:rFonts w:hint="eastAsia"/>
                <w:color w:val="auto"/>
                <w:sz w:val="24"/>
                <w:szCs w:val="24"/>
              </w:rPr>
              <w:t>本工程分为四段护岸，长度均不长，根据分期洪水计算，本阶段选在第一年12月~次年2月的施工导流时段，芝二芝三两段护岸堤导流流量为</w:t>
            </w:r>
            <w:r>
              <w:rPr>
                <w:color w:val="auto"/>
                <w:sz w:val="24"/>
                <w:szCs w:val="24"/>
              </w:rPr>
              <w:t>2.5m³/s</w:t>
            </w:r>
            <w:r>
              <w:rPr>
                <w:rFonts w:hint="eastAsia"/>
                <w:color w:val="auto"/>
                <w:sz w:val="24"/>
                <w:szCs w:val="24"/>
              </w:rPr>
              <w:t>；芝一施工导流流量为</w:t>
            </w:r>
            <w:r>
              <w:rPr>
                <w:color w:val="auto"/>
                <w:sz w:val="24"/>
                <w:szCs w:val="24"/>
              </w:rPr>
              <w:t>1.9m³/s</w:t>
            </w:r>
            <w:r>
              <w:rPr>
                <w:rFonts w:hint="eastAsia"/>
                <w:color w:val="auto"/>
                <w:sz w:val="24"/>
                <w:szCs w:val="24"/>
              </w:rPr>
              <w:t>；牛家河段施工导流流量为</w:t>
            </w:r>
            <w:r>
              <w:rPr>
                <w:color w:val="auto"/>
                <w:sz w:val="24"/>
                <w:szCs w:val="24"/>
              </w:rPr>
              <w:t>0.5m³/s</w:t>
            </w:r>
            <w:r>
              <w:rPr>
                <w:rFonts w:hint="default" w:ascii="Times New Roman" w:hAnsi="Times New Roman" w:cs="Times New Roman"/>
                <w:color w:val="auto"/>
                <w:sz w:val="24"/>
                <w:szCs w:val="24"/>
              </w:rPr>
              <w:t>。</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（3）导流方式及构筑物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根据河床情况，河床无开挖施工导流明渠的条件，本工程施工导流方式为分段填筑纵向围堰束窄河段河床的方式进行施工导流，施工导流围堰采用开挖的石填筑围堰。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Cs w:val="21"/>
              </w:rPr>
            </w:pPr>
            <w:r>
              <w:rPr>
                <w:rFonts w:hint="eastAsia"/>
                <w:color w:val="000000" w:themeColor="text1"/>
                <w:sz w:val="24"/>
                <w:szCs w:val="24"/>
                <w14:textFill>
                  <w14:solidFill>
                    <w14:schemeClr w14:val="tx1"/>
                  </w14:solidFill>
                </w14:textFill>
              </w:rPr>
              <w:t>通过施工平面布置，明月镇四段护岸齿墙开挖面均在水面线以内，需要布置围堰，通过施工平面布置图，需要填筑4段围堰，芝左一长272m，芝左二长190m，芝左三长178m，牛左长250m，施工导流围堰采用开挖的土石填筑围堰，袋装土和防渗土工布防渗的方式。顶宽1.0-3.0m，两侧边坡1:1.5，高度约为1.0-3.0m，围堰采用400g/</w:t>
            </w:r>
            <w:r>
              <w:rPr>
                <w:rFonts w:hint="eastAsia"/>
                <w:color w:val="000000" w:themeColor="text1"/>
                <w:sz w:val="24"/>
                <w:szCs w:val="24"/>
                <w:lang w:val="en-US" w:eastAsia="zh-CN"/>
                <w14:textFill>
                  <w14:solidFill>
                    <w14:schemeClr w14:val="tx1"/>
                  </w14:solidFill>
                </w14:textFill>
              </w:rPr>
              <w:t>m</w:t>
            </w:r>
            <w:r>
              <w:rPr>
                <w:rFonts w:hint="eastAsia"/>
                <w:color w:val="000000" w:themeColor="text1"/>
                <w:sz w:val="24"/>
                <w:szCs w:val="24"/>
                <w:vertAlign w:val="superscript"/>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土工膜防渗。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528" w:type="dxa"/>
            <w:vAlign w:val="center"/>
          </w:tcPr>
          <w:p>
            <w:pPr>
              <w:adjustRightInd w:val="0"/>
              <w:snapToGrid w:val="0"/>
              <w:jc w:val="center"/>
              <w:rPr>
                <w:rFonts w:hint="default" w:ascii="Times New Roman" w:hAnsi="Times New Roman" w:cs="Times New Roman"/>
                <w:color w:val="FF0000"/>
                <w:kern w:val="0"/>
                <w:sz w:val="24"/>
              </w:rPr>
            </w:pPr>
            <w:r>
              <w:rPr>
                <w:rFonts w:hint="default" w:ascii="Times New Roman" w:hAnsi="Times New Roman" w:cs="Times New Roman"/>
                <w:color w:val="auto"/>
                <w:kern w:val="0"/>
                <w:sz w:val="24"/>
              </w:rPr>
              <w:t>施工方案</w:t>
            </w:r>
          </w:p>
        </w:tc>
        <w:tc>
          <w:tcPr>
            <w:tcW w:w="9591" w:type="dxa"/>
          </w:tcPr>
          <w:p>
            <w:pPr>
              <w:adjustRightInd w:val="0"/>
              <w:snapToGrid w:val="0"/>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一、施工工艺</w:t>
            </w:r>
          </w:p>
          <w:p>
            <w:pPr>
              <w:adjustRightInd w:val="0"/>
              <w:snapToGrid w:val="0"/>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1、护岸堤工程施工工艺</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24"/>
              </w:rPr>
              <w:t>主要进行护岸堤的新建，护岸堤工程施工工</w:t>
            </w:r>
            <w:r>
              <w:rPr>
                <w:rFonts w:hint="default" w:ascii="Times New Roman" w:hAnsi="Times New Roman" w:cs="Times New Roman"/>
                <w:color w:val="auto"/>
                <w:sz w:val="24"/>
              </w:rPr>
              <w:t>艺如下图所示：</w:t>
            </w:r>
          </w:p>
          <w:p>
            <w:pPr>
              <w:pStyle w:val="12"/>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FF0000"/>
                <w:sz w:val="24"/>
                <w:szCs w:val="24"/>
              </w:rPr>
            </w:pPr>
            <w:r>
              <w:rPr>
                <w:color w:val="FF0000"/>
              </w:rPr>
              <w:object>
                <v:shape id="_x0000_i1025" o:spt="75" type="#_x0000_t75" style="height:315.6pt;width:283.45pt;" o:ole="t" filled="f" o:preferrelative="t" stroked="f" coordsize="21600,21600">
                  <v:path/>
                  <v:fill on="f" focussize="0,0"/>
                  <v:stroke on="f"/>
                  <v:imagedata r:id="rId23" cropleft="946f" croptop="2231f" cropright="3206f" cropbottom="2609f" o:title=""/>
                  <o:lock v:ext="edit" aspectratio="t"/>
                  <w10:wrap type="none"/>
                  <w10:anchorlock/>
                </v:shape>
                <o:OLEObject Type="Embed" ProgID="Visio.Drawing.15" ShapeID="_x0000_i1025" DrawAspect="Content" ObjectID="_1468075725" r:id="rId22">
                  <o:LockedField>false</o:LockedField>
                </o:OLEObject>
              </w:object>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护岸堤工程施工工艺图</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工艺流程简述：</w:t>
            </w:r>
          </w:p>
          <w:p>
            <w:pPr>
              <w:spacing w:line="360" w:lineRule="auto"/>
              <w:ind w:firstLine="480" w:firstLineChars="2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（1）</w:t>
            </w:r>
            <w:r>
              <w:rPr>
                <w:rFonts w:hint="eastAsia" w:ascii="Times New Roman" w:hAnsi="Times New Roman" w:cs="Times New Roman"/>
                <w:color w:val="auto"/>
                <w:sz w:val="24"/>
                <w:highlight w:val="none"/>
                <w:lang w:val="en-US" w:eastAsia="zh-CN"/>
              </w:rPr>
              <w:t>施工导流</w:t>
            </w:r>
          </w:p>
          <w:p>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rPr>
              <w:t>本工程施工导流方式为分段填筑纵向围堰束窄河段河床的方式进行施工导流，施工导流围堰采用开挖的石填筑围堰。</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（2）基坑排水</w:t>
            </w:r>
          </w:p>
          <w:p>
            <w:pPr>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基坑排水分为初期排水和经常性排水。</w:t>
            </w:r>
          </w:p>
          <w:p>
            <w:pPr>
              <w:spacing w:line="360" w:lineRule="auto"/>
              <w:ind w:firstLine="480" w:firstLineChars="200"/>
              <w:rPr>
                <w:rFonts w:hint="eastAsia" w:ascii="Times New Roman" w:hAnsi="Times New Roman" w:cs="Times New Roman"/>
                <w:color w:val="auto"/>
                <w:sz w:val="24"/>
                <w:highlight w:val="none"/>
              </w:rPr>
            </w:pPr>
            <w:r>
              <w:rPr>
                <w:rFonts w:hint="eastAsia" w:ascii="Times New Roman" w:hAnsi="Times New Roman" w:cs="Times New Roman"/>
                <w:color w:val="auto"/>
                <w:sz w:val="24"/>
                <w:highlight w:val="none"/>
              </w:rPr>
              <w:t>堤防采用分期施工，经计算，渗透流量为25m</w:t>
            </w:r>
            <w:r>
              <w:rPr>
                <w:rFonts w:hint="eastAsia" w:ascii="Times New Roman" w:hAnsi="Times New Roman" w:cs="Times New Roman"/>
                <w:color w:val="auto"/>
                <w:sz w:val="24"/>
                <w:highlight w:val="none"/>
                <w:vertAlign w:val="superscript"/>
              </w:rPr>
              <w:t>3</w:t>
            </w:r>
            <w:r>
              <w:rPr>
                <w:rFonts w:hint="eastAsia" w:ascii="Times New Roman" w:hAnsi="Times New Roman" w:cs="Times New Roman"/>
                <w:color w:val="auto"/>
                <w:sz w:val="24"/>
                <w:highlight w:val="none"/>
              </w:rPr>
              <w:t>/d。施工期间采用强排水法施工，每段选用排水设备IS150—125—200型离心水泵（Q=200m³/h，H=12.5m，N=11KW）3台</w:t>
            </w:r>
            <w:r>
              <w:rPr>
                <w:rFonts w:hint="eastAsia" w:cs="Times New Roman"/>
                <w:color w:val="auto"/>
                <w:sz w:val="24"/>
                <w:highlight w:val="none"/>
                <w:lang w:eastAsia="zh-CN"/>
              </w:rPr>
              <w:t>，</w:t>
            </w:r>
            <w:r>
              <w:rPr>
                <w:rFonts w:hint="eastAsia" w:ascii="Times New Roman" w:hAnsi="Times New Roman" w:cs="Times New Roman"/>
                <w:color w:val="auto"/>
                <w:sz w:val="24"/>
                <w:highlight w:val="none"/>
              </w:rPr>
              <w:t>基坑开挖和齿墙浇筑工期计划60天。</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）土石方开挖</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土方开挖采用2.0m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液压反铲挖渣，装10t~15t自卸汽车运输，部分作为围堰填筑料和堤后回填料。其他料运往指定渣场。</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在工程实施范围内所有杂物清除运走，进行0.5m~1.0m的护坡清理开挖，将弃渣运到指定地点废弃，当表层土清除后，仍发现有特别大的石头、及废弃的垃圾时，要进行处理，然后进行堤身的回填处理，清基使用液压1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单斗挖掘机进行，由74kw推土机推运至弃土区摊平。</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清基结束后，即可进行护坡土方开挖及修整，将多余土方用液压1m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单斗挖掘机挖去，用74kw推土机就近运至施工附近区域堆铺平整，堆土高度不超过2m。在进行机械削坡时，建基面以上预留10cm厚的保护层，该保护层在上部护坡施工前用人工进行开挖，1t机动翻斗车运至临时堆料场，作为后期堤后回填回填料。</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石方开挖采用人工配合挖机装破碎头进行开挖，预留保护层，避免对基础面破坏。</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）堤身浇筑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堤</w:t>
            </w:r>
            <w:r>
              <w:rPr>
                <w:rFonts w:hint="default" w:ascii="Times New Roman" w:hAnsi="Times New Roman" w:eastAsia="宋体" w:cs="Times New Roman"/>
                <w:color w:val="000000" w:themeColor="text1"/>
                <w:sz w:val="24"/>
                <w:szCs w:val="24"/>
                <w14:textFill>
                  <w14:solidFill>
                    <w14:schemeClr w14:val="tx1"/>
                  </w14:solidFill>
                </w14:textFill>
              </w:rPr>
              <w:t>身填筑采用泥岩石渣填筑，泥岩石渣填筑采用2.0m³挖掘机料场装料运至堤身部位，石料采用进占法铺筑，推土机平料、铺料厚度0.3～0.5m，人工水管洒水，13.5t振动平碾碾压，轮距2.0m，碾压边数6-8遍，振动碾的行车速度1.5～2.0km/h，振动碾碾压不到的部位，采用蛙式打夯机夯实，由于右岸堤防距离当地房屋很近，为保证工程及当地老百姓生命财产安全，进行回填碾压时，应调查房屋基础结构形式，加强观测，采用静碾碾压。为使堤边坡碾压密实，填筑时两边应超填1.0m宽，填筑完成后应削除超填部分，边坡采用斜坡碾碾压，下坡静碾，上坡动碾，各2～4遍，泥岩石渣参数按照填料设计干密度不小于1.9g/c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，且填料固体体积率大于76%，相对孔隙率小于24%。施工碾压参数通过试验确定。施工顺序按：铺料、洒水、碾压和质检等内容流水作业。</w:t>
            </w:r>
          </w:p>
          <w:p>
            <w:pPr>
              <w:adjustRightInd w:val="0"/>
              <w:snapToGrid w:val="0"/>
              <w:spacing w:line="360" w:lineRule="auto"/>
              <w:ind w:firstLine="480"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砼浇筑</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本工程砼主要为面板、路面、压顶、齿墙、排水沟、下河梯步等砼工程。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rPr>
              <w:t>常规砼浇筑</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砼采用0.4m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拌和机拌制，采用1t机动翻斗车运输转溜槽入仓，卵石在堆料场人工运50～100m，人工摆放，组合钢模施工，2.2kw插入式振捣器振捣。模板采用组合钢膜，按各部位砼需求量，配合双胶轮车分别运输到浇筑点的平台上，路肩、路面、排水沟、压顶、基础利用人工入仓平仓，砼入仓每层厚度控制在30cm左右，用电动插入式振捣器振实，砼浇筑后根据气候情况及时洒水养护，洒水养护时间不少于 14 天。</w:t>
            </w:r>
          </w:p>
          <w:p>
            <w:pPr>
              <w:pStyle w:val="251"/>
              <w:keepNext w:val="0"/>
              <w:keepLines w:val="0"/>
              <w:pageBreakBefore w:val="0"/>
              <w:widowControl w:val="0"/>
              <w:numPr>
                <w:ilvl w:val="3"/>
                <w:numId w:val="0"/>
              </w:numPr>
              <w:kinsoku/>
              <w:wordWrap/>
              <w:overflowPunct/>
              <w:topLinePunct w:val="0"/>
              <w:autoSpaceDE/>
              <w:autoSpaceDN/>
              <w:bidi w:val="0"/>
              <w:spacing w:line="360" w:lineRule="auto"/>
              <w:ind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rPr>
              <w:t>砼面板</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砼采用0.4 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拌和机拌制，采用1t机动翻斗车运输转溜槽入仓，滑模施工。混凝土面板浇筑采用</w:t>
            </w:r>
            <w:r>
              <w:rPr>
                <w:rFonts w:hint="eastAsia" w:ascii="宋体" w:hAnsi="宋体" w:eastAsia="宋体" w:cs="宋体"/>
                <w:color w:val="auto"/>
                <w:sz w:val="24"/>
                <w:szCs w:val="24"/>
              </w:rPr>
              <w:t>“跳块法”</w:t>
            </w:r>
            <w:r>
              <w:rPr>
                <w:rFonts w:hint="default" w:ascii="Times New Roman" w:hAnsi="Times New Roman" w:eastAsia="宋体" w:cs="Times New Roman"/>
                <w:color w:val="auto"/>
                <w:sz w:val="24"/>
                <w:szCs w:val="24"/>
              </w:rPr>
              <w:t>进行，模板按照设计面板尺寸定制槽钢滑模，结合φ20的钢筋以将槽钢固定。采用自拌砼运输到工作面，综合运距 0.4km，溜槽入仓人工进行平整，采用平板振动器进行振捣密实，将砼振出浆后，滑模慢速同步提升，提升长度控制在60cm左右，然后继续浇筑，本层浇筑完成后继续向上提升。视气温及护坡面凝固的实际情况，再分次人工抹平、压光，确保护坡混凝土外观质量。混凝土浇筑完毕后12～18h内专人洒水养护，并保持混凝土表面湿润，养护期不少于14d。</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6</w:t>
            </w:r>
            <w:r>
              <w:rPr>
                <w:rFonts w:hint="default" w:ascii="Times New Roman" w:hAnsi="Times New Roman" w:cs="Times New Roman"/>
                <w:color w:val="auto"/>
                <w:sz w:val="24"/>
              </w:rPr>
              <w:t>）</w:t>
            </w:r>
            <w:r>
              <w:rPr>
                <w:rFonts w:hint="eastAsia" w:cs="Times New Roman"/>
                <w:color w:val="auto"/>
                <w:sz w:val="24"/>
                <w:lang w:val="en-US" w:eastAsia="zh-CN"/>
              </w:rPr>
              <w:t>生态</w:t>
            </w:r>
            <w:r>
              <w:rPr>
                <w:rFonts w:hint="default" w:ascii="Times New Roman" w:hAnsi="Times New Roman" w:cs="Times New Roman"/>
                <w:color w:val="auto"/>
                <w:sz w:val="24"/>
                <w:lang w:val="en-US" w:eastAsia="zh-CN"/>
              </w:rPr>
              <w:t>护坡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lang w:val="en-US" w:eastAsia="zh-CN"/>
              </w:rPr>
              <w:t>①</w:t>
            </w:r>
            <w:r>
              <w:rPr>
                <w:rFonts w:hint="eastAsia" w:ascii="Times New Roman" w:hAnsi="Times New Roman" w:eastAsia="宋体" w:cs="Times New Roman"/>
                <w:color w:val="auto"/>
                <w:sz w:val="24"/>
                <w:szCs w:val="24"/>
              </w:rPr>
              <w:t>修坡：按照设计边坡坡度要求，进行边坡地基处理，清除杂草、突出物，用适当的材料填充空洞并振实，使边坡表面平整、密实，并符合设计边坡要求。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②</w:t>
            </w:r>
            <w:r>
              <w:rPr>
                <w:rFonts w:hint="eastAsia" w:ascii="Times New Roman" w:hAnsi="Times New Roman" w:eastAsia="宋体" w:cs="Times New Roman"/>
                <w:color w:val="auto"/>
                <w:sz w:val="24"/>
                <w:szCs w:val="24"/>
              </w:rPr>
              <w:t>覆土：在区域上回填2-3cm耕植土。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w:t>
            </w:r>
            <w:r>
              <w:rPr>
                <w:rFonts w:hint="eastAsia" w:ascii="Times New Roman" w:hAnsi="Times New Roman" w:eastAsia="宋体" w:cs="Times New Roman"/>
                <w:color w:val="auto"/>
                <w:sz w:val="24"/>
                <w:szCs w:val="24"/>
              </w:rPr>
              <w:t>播种：根据不同地理位置及当地气候特征选择适宜草种均匀播种，并使草子进入土壤之中。草籽播种后填表土，表土应保证一定深度。</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auto"/>
                <w:sz w:val="24"/>
                <w:szCs w:val="24"/>
              </w:rPr>
            </w:pPr>
            <w:r>
              <w:rPr>
                <w:rFonts w:hint="eastAsia" w:cs="Times New Roman"/>
                <w:color w:val="auto"/>
                <w:sz w:val="24"/>
                <w:szCs w:val="24"/>
                <w:lang w:val="en-US" w:eastAsia="zh-CN"/>
              </w:rPr>
              <w:t>④</w:t>
            </w:r>
            <w:r>
              <w:rPr>
                <w:rFonts w:hint="eastAsia" w:ascii="Times New Roman" w:hAnsi="Times New Roman" w:eastAsia="宋体" w:cs="Times New Roman"/>
                <w:color w:val="auto"/>
                <w:sz w:val="24"/>
                <w:szCs w:val="24"/>
              </w:rPr>
              <w:t>养护：草皮施工应选择在雨季前3～4个月进行，以利于草籽。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（7）</w:t>
            </w:r>
            <w:r>
              <w:rPr>
                <w:rFonts w:hint="default" w:ascii="Times New Roman" w:hAnsi="Times New Roman" w:eastAsia="宋体" w:cs="Times New Roman"/>
                <w:color w:val="auto"/>
                <w:sz w:val="24"/>
                <w:lang w:val="en-US" w:eastAsia="zh-CN"/>
              </w:rPr>
              <w:t>围堰拆除</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施工完毕后对围堰进行拆除，拆除后的土工膜、编织袋外售废品回收站，沙卵石用于基槽回填，并进行迹地恢复</w:t>
            </w:r>
            <w:r>
              <w:rPr>
                <w:rFonts w:hint="eastAsia" w:cs="Times New Roman"/>
                <w:color w:val="auto"/>
                <w:sz w:val="24"/>
                <w:lang w:val="en-US" w:eastAsia="zh-CN"/>
              </w:rPr>
              <w:t>。</w:t>
            </w:r>
          </w:p>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二、施工周期</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施工工期：</w:t>
            </w:r>
            <w:r>
              <w:rPr>
                <w:rFonts w:hint="default" w:ascii="Times New Roman" w:hAnsi="Times New Roman" w:cs="Times New Roman"/>
                <w:color w:val="auto"/>
                <w:sz w:val="24"/>
              </w:rPr>
              <w:t>本项目施工总工期为</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个月，从10月~次年</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月进行施工。</w:t>
            </w:r>
          </w:p>
          <w:p>
            <w:pPr>
              <w:adjustRightInd w:val="0"/>
              <w:snapToGrid w:val="0"/>
              <w:spacing w:line="360" w:lineRule="auto"/>
              <w:ind w:firstLine="482" w:firstLineChars="200"/>
              <w:jc w:val="left"/>
              <w:rPr>
                <w:rFonts w:hint="default" w:ascii="Times New Roman" w:hAnsi="Times New Roman" w:cs="Times New Roman"/>
                <w:color w:val="auto"/>
                <w:sz w:val="24"/>
              </w:rPr>
            </w:pPr>
            <w:r>
              <w:rPr>
                <w:rFonts w:hint="default" w:ascii="Times New Roman" w:hAnsi="Times New Roman" w:cs="Times New Roman"/>
                <w:b/>
                <w:bCs/>
                <w:color w:val="auto"/>
                <w:sz w:val="24"/>
              </w:rPr>
              <w:t>施工时序：</w:t>
            </w:r>
            <w:r>
              <w:rPr>
                <w:rFonts w:hint="default" w:ascii="Times New Roman" w:hAnsi="Times New Roman" w:cs="Times New Roman"/>
                <w:color w:val="auto"/>
                <w:sz w:val="24"/>
              </w:rPr>
              <w:t>从10月~次年</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月对堤防工程进行施工，本工程所有施工内容应避开雨季施工。</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（1）工程准备期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工程准备期内由施工单位进行场地平整、场内交通、场内供水、供电设施、施工辅助企业、临时房屋等施工施工所需的临时设施。工程准备工期1个月，即第一年10月。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（2）主体工程施工期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自第一年的11月至第二年2月为主体工程施工期，共计4个月。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主体工程施工要求砼齿墙和面板必须在第二年1月底完成，上部结构等需要在2月底完成。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（3）工程完建期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工程完建期内完成堤顶路面、排水沟等以及其它全部扫尾工作。安排在第二年的3月。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工程验收</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对工程进行验收，安排在第二年的4月。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28" w:type="dxa"/>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w:t>
            </w:r>
          </w:p>
        </w:tc>
        <w:tc>
          <w:tcPr>
            <w:tcW w:w="9591"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eastAsia" w:ascii="Times New Roman" w:hAnsi="Times New Roman" w:eastAsia="宋体" w:cs="Times New Roman"/>
                <w:b/>
                <w:bCs/>
                <w:color w:val="auto"/>
                <w:sz w:val="24"/>
                <w:lang w:val="en-US" w:eastAsia="zh-CN"/>
              </w:rPr>
            </w:pPr>
            <w:r>
              <w:rPr>
                <w:rFonts w:hint="eastAsia" w:cs="Times New Roman"/>
                <w:b/>
                <w:bCs/>
                <w:color w:val="auto"/>
                <w:sz w:val="24"/>
                <w:lang w:val="en-US" w:eastAsia="zh-CN"/>
              </w:rPr>
              <w:t>一、</w:t>
            </w:r>
            <w:r>
              <w:rPr>
                <w:rFonts w:hint="eastAsia" w:ascii="Times New Roman" w:hAnsi="Times New Roman" w:eastAsia="宋体" w:cs="Times New Roman"/>
                <w:b/>
                <w:bCs/>
                <w:color w:val="auto"/>
                <w:sz w:val="24"/>
                <w:lang w:val="en-US" w:eastAsia="zh-CN"/>
              </w:rPr>
              <w:t>堤型比选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防洪堤是防洪综合整治工程中主要的建筑物，其布置和结构既要满足防洪、当地建设需要，又要尽量增加土地使用面积、提高工程经济效益。同时其结构型式要尽可能适应建筑物区地形地质条件，既要安全可靠、也应便于施工、节省工程投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堤型比较的基本原则和方法为：</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（1）选一个代表性地质横剖面进行断面设计，计算工程量和相对投资；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（2）根据工程范围内的地形、地质条件、河道水流形态、建筑材料储量及工程要求等，综合比较选定各段堤型。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2" w:firstLineChars="200"/>
              <w:jc w:val="both"/>
              <w:textAlignment w:val="auto"/>
              <w:outlineLvl w:val="9"/>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1、芝溪河左一段堤型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本段堤防位于望江楼桥下游左岸，现状为天然岸坡，临近河道有基本农田分布，该段结合基本农田划线、断面数据和地勘成果，本阶段研究了两种堤防结构型式：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bookmarkStart w:id="8" w:name="_Hlk149568289"/>
            <w:r>
              <w:rPr>
                <w:rFonts w:hint="eastAsia" w:cs="Times New Roman"/>
                <w:color w:val="auto"/>
                <w:sz w:val="24"/>
                <w:lang w:val="en-US" w:eastAsia="zh-CN"/>
              </w:rPr>
              <w:t>（1）方案1：斜坡式堤防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利用当地泥岩石渣作筑堤材料，采用砼面板护面，迎水面坡比为1：1.75，迎水面板为C25砼厚度0.25m，下设5cm厚M7.5砂浆垫层找平，垫层之下采用泥岩石渣填筑或换填，换填宽度不小于3.0m，齿槽为C20砼浇筑，置于泥岩或满足冲刷深度。堤顶总宽3.0m，堤顶结构依次下设5cm厚C25彩色透水砼路面和15cm厚C25透水砼堤顶，下设20cm厚碎石稳定层。具体断面详见下图：</w:t>
            </w:r>
          </w:p>
          <w:p>
            <w:pPr>
              <w:pStyle w:val="249"/>
            </w:pPr>
            <w:r>
              <w:drawing>
                <wp:inline distT="0" distB="0" distL="0" distR="0">
                  <wp:extent cx="5219700" cy="2821940"/>
                  <wp:effectExtent l="0" t="0" r="0" b="16510"/>
                  <wp:docPr id="1385047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047161" name="图片 1"/>
                          <pic:cNvPicPr>
                            <a:picLocks noChangeAspect="1"/>
                          </pic:cNvPicPr>
                        </pic:nvPicPr>
                        <pic:blipFill>
                          <a:blip r:embed="rId24"/>
                          <a:stretch>
                            <a:fillRect/>
                          </a:stretch>
                        </pic:blipFill>
                        <pic:spPr>
                          <a:xfrm>
                            <a:off x="0" y="0"/>
                            <a:ext cx="5219700" cy="2821940"/>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斜坡式堤防</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（2）复合式斜坡堤</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堤顶高程以下设重力式挡墙，挡墙下接砼面板护坡。C20砼挡墙总高2.5m，墙顶宽0.5m，迎水面坡竖直，背水面坡1:0.35。面板坡比为1：1.75，面板为25cm厚的C25砼，下设5cm厚M7.5砂浆垫层找平，垫层之下采用泥岩石渣填筑或换填，换填宽度不小于3.0m，坡脚设防滑齿墙，C20砼浇筑，置于基岩或满足埋深要求。堤顶总宽3.0m，堤顶结构依次下设5cm厚C25彩色透水砼路面和15cm厚C25透水砼堤顶，下设20cm厚碎石稳定层。具体断面详见下图：</w:t>
            </w:r>
            <w:bookmarkEnd w:id="8"/>
          </w:p>
          <w:p>
            <w:pPr>
              <w:pStyle w:val="249"/>
            </w:pPr>
            <w:r>
              <w:drawing>
                <wp:inline distT="0" distB="0" distL="0" distR="0">
                  <wp:extent cx="5219700" cy="2867660"/>
                  <wp:effectExtent l="0" t="0" r="0" b="8890"/>
                  <wp:docPr id="5254986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98600" name="图片 1"/>
                          <pic:cNvPicPr>
                            <a:picLocks noChangeAspect="1"/>
                          </pic:cNvPicPr>
                        </pic:nvPicPr>
                        <pic:blipFill>
                          <a:blip r:embed="rId25"/>
                          <a:stretch>
                            <a:fillRect/>
                          </a:stretch>
                        </pic:blipFill>
                        <pic:spPr>
                          <a:xfrm>
                            <a:off x="0" y="0"/>
                            <a:ext cx="5219700" cy="2867660"/>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复合式斜坡堤</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本报告从投资情况、技术条件、地质条件、外观协调性几个方面进行比较。</w:t>
            </w:r>
          </w:p>
          <w:p>
            <w:pPr>
              <w:pStyle w:val="65"/>
              <w:numPr>
                <w:ilvl w:val="0"/>
                <w:numId w:val="9"/>
              </w:numPr>
              <w:adjustRightInd w:val="0"/>
              <w:snapToGrid w:val="0"/>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投资比较表</w:t>
            </w:r>
          </w:p>
          <w:tbl>
            <w:tblPr>
              <w:tblStyle w:val="2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91"/>
              <w:gridCol w:w="1858"/>
              <w:gridCol w:w="1091"/>
              <w:gridCol w:w="1091"/>
              <w:gridCol w:w="981"/>
              <w:gridCol w:w="1101"/>
              <w:gridCol w:w="990"/>
              <w:gridCol w:w="11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序号</w:t>
                  </w:r>
                </w:p>
              </w:tc>
              <w:tc>
                <w:tcPr>
                  <w:tcW w:w="991"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主要比选项目</w:t>
                  </w:r>
                </w:p>
              </w:tc>
              <w:tc>
                <w:tcPr>
                  <w:tcW w:w="582"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单位</w:t>
                  </w:r>
                </w:p>
              </w:tc>
              <w:tc>
                <w:tcPr>
                  <w:tcW w:w="582" w:type="pct"/>
                  <w:vMerge w:val="restar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单价（元）</w:t>
                  </w:r>
                </w:p>
              </w:tc>
              <w:tc>
                <w:tcPr>
                  <w:tcW w:w="1110" w:type="pct"/>
                  <w:gridSpan w:val="2"/>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斜坡堤</w:t>
                  </w:r>
                </w:p>
              </w:tc>
              <w:tc>
                <w:tcPr>
                  <w:tcW w:w="1153" w:type="pct"/>
                  <w:gridSpan w:val="2"/>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复合式斜坡堤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991"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582"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582" w:type="pct"/>
                  <w:vMerge w:val="continue"/>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工程量</w:t>
                  </w:r>
                </w:p>
              </w:tc>
              <w:tc>
                <w:tcPr>
                  <w:tcW w:w="587"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投资（万元）</w:t>
                  </w:r>
                </w:p>
              </w:tc>
              <w:tc>
                <w:tcPr>
                  <w:tcW w:w="528"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工程量</w:t>
                  </w:r>
                </w:p>
              </w:tc>
              <w:tc>
                <w:tcPr>
                  <w:tcW w:w="625"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1</w:t>
                  </w:r>
                </w:p>
              </w:tc>
              <w:tc>
                <w:tcPr>
                  <w:tcW w:w="99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土方开挖</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m</w:t>
                  </w:r>
                  <w:r>
                    <w:rPr>
                      <w:rFonts w:hint="eastAsia" w:ascii="Times New Roman" w:hAnsi="Times New Roman" w:eastAsia="宋体" w:cs="Times New Roman"/>
                      <w:b w:val="0"/>
                      <w:i w:val="0"/>
                      <w:iCs w:val="0"/>
                      <w:color w:val="auto"/>
                      <w:kern w:val="0"/>
                      <w:sz w:val="21"/>
                      <w:szCs w:val="21"/>
                      <w:u w:val="none"/>
                      <w:vertAlign w:val="superscript"/>
                      <w:lang w:val="en-US" w:eastAsia="zh-CN" w:bidi="ar"/>
                    </w:rPr>
                    <w:t>3</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6.7</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32.2</w:t>
                  </w:r>
                </w:p>
              </w:tc>
              <w:tc>
                <w:tcPr>
                  <w:tcW w:w="58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0.022 </w:t>
                  </w:r>
                </w:p>
              </w:tc>
              <w:tc>
                <w:tcPr>
                  <w:tcW w:w="528"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46.48</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0.031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2</w:t>
                  </w:r>
                </w:p>
              </w:tc>
              <w:tc>
                <w:tcPr>
                  <w:tcW w:w="99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石渣填筑</w:t>
                  </w:r>
                </w:p>
              </w:tc>
              <w:tc>
                <w:tcPr>
                  <w:tcW w:w="582"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m</w:t>
                  </w:r>
                  <w:r>
                    <w:rPr>
                      <w:rFonts w:hint="eastAsia" w:ascii="Times New Roman" w:hAnsi="Times New Roman" w:eastAsia="宋体" w:cs="Times New Roman"/>
                      <w:b w:val="0"/>
                      <w:i w:val="0"/>
                      <w:iCs w:val="0"/>
                      <w:color w:val="auto"/>
                      <w:kern w:val="0"/>
                      <w:sz w:val="21"/>
                      <w:szCs w:val="21"/>
                      <w:u w:val="none"/>
                      <w:vertAlign w:val="superscript"/>
                      <w:lang w:val="en-US" w:eastAsia="zh-CN" w:bidi="ar"/>
                    </w:rPr>
                    <w:t>3</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31.34</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36.6</w:t>
                  </w:r>
                </w:p>
              </w:tc>
              <w:tc>
                <w:tcPr>
                  <w:tcW w:w="58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0.115 </w:t>
                  </w:r>
                </w:p>
              </w:tc>
              <w:tc>
                <w:tcPr>
                  <w:tcW w:w="528"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31.4</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0.098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3</w:t>
                  </w:r>
                </w:p>
              </w:tc>
              <w:tc>
                <w:tcPr>
                  <w:tcW w:w="99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块石回填</w:t>
                  </w:r>
                </w:p>
              </w:tc>
              <w:tc>
                <w:tcPr>
                  <w:tcW w:w="582"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m</w:t>
                  </w:r>
                  <w:r>
                    <w:rPr>
                      <w:rFonts w:hint="eastAsia" w:ascii="Times New Roman" w:hAnsi="Times New Roman" w:eastAsia="宋体" w:cs="Times New Roman"/>
                      <w:b w:val="0"/>
                      <w:i w:val="0"/>
                      <w:iCs w:val="0"/>
                      <w:color w:val="auto"/>
                      <w:kern w:val="0"/>
                      <w:sz w:val="21"/>
                      <w:szCs w:val="21"/>
                      <w:u w:val="none"/>
                      <w:vertAlign w:val="superscript"/>
                      <w:lang w:val="en-US" w:eastAsia="zh-CN" w:bidi="ar"/>
                    </w:rPr>
                    <w:t>3</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241.01</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7.15</w:t>
                  </w:r>
                </w:p>
              </w:tc>
              <w:tc>
                <w:tcPr>
                  <w:tcW w:w="58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0.172 </w:t>
                  </w:r>
                </w:p>
              </w:tc>
              <w:tc>
                <w:tcPr>
                  <w:tcW w:w="528"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7.82</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0.188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4</w:t>
                  </w:r>
                </w:p>
              </w:tc>
              <w:tc>
                <w:tcPr>
                  <w:tcW w:w="99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C25砼面板护坡</w:t>
                  </w:r>
                </w:p>
              </w:tc>
              <w:tc>
                <w:tcPr>
                  <w:tcW w:w="582"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m</w:t>
                  </w:r>
                  <w:r>
                    <w:rPr>
                      <w:rFonts w:hint="eastAsia" w:ascii="Times New Roman" w:hAnsi="Times New Roman" w:eastAsia="宋体" w:cs="Times New Roman"/>
                      <w:b w:val="0"/>
                      <w:i w:val="0"/>
                      <w:iCs w:val="0"/>
                      <w:color w:val="auto"/>
                      <w:kern w:val="0"/>
                      <w:sz w:val="21"/>
                      <w:szCs w:val="21"/>
                      <w:u w:val="none"/>
                      <w:vertAlign w:val="superscript"/>
                      <w:lang w:val="en-US" w:eastAsia="zh-CN" w:bidi="ar"/>
                    </w:rPr>
                    <w:t>3</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597.41</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4.505</w:t>
                  </w:r>
                </w:p>
              </w:tc>
              <w:tc>
                <w:tcPr>
                  <w:tcW w:w="58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0.269 </w:t>
                  </w:r>
                </w:p>
              </w:tc>
              <w:tc>
                <w:tcPr>
                  <w:tcW w:w="528"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3.44</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0.206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5</w:t>
                  </w:r>
                </w:p>
              </w:tc>
              <w:tc>
                <w:tcPr>
                  <w:tcW w:w="99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滑模</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m</w:t>
                  </w:r>
                  <w:r>
                    <w:rPr>
                      <w:rFonts w:hint="eastAsia" w:ascii="Times New Roman" w:hAnsi="Times New Roman" w:eastAsia="宋体" w:cs="Times New Roman"/>
                      <w:b w:val="0"/>
                      <w:i w:val="0"/>
                      <w:iCs w:val="0"/>
                      <w:color w:val="auto"/>
                      <w:kern w:val="0"/>
                      <w:sz w:val="21"/>
                      <w:szCs w:val="21"/>
                      <w:u w:val="none"/>
                      <w:vertAlign w:val="superscript"/>
                      <w:lang w:val="en-US" w:eastAsia="zh-CN" w:bidi="ar"/>
                    </w:rPr>
                    <w:t>2</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34.56</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18.02</w:t>
                  </w:r>
                </w:p>
              </w:tc>
              <w:tc>
                <w:tcPr>
                  <w:tcW w:w="58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0.062 </w:t>
                  </w:r>
                </w:p>
              </w:tc>
              <w:tc>
                <w:tcPr>
                  <w:tcW w:w="528"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13.76</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0.048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6</w:t>
                  </w:r>
                </w:p>
              </w:tc>
              <w:tc>
                <w:tcPr>
                  <w:tcW w:w="99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C20砼压顶</w:t>
                  </w:r>
                </w:p>
              </w:tc>
              <w:tc>
                <w:tcPr>
                  <w:tcW w:w="582"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m</w:t>
                  </w:r>
                  <w:r>
                    <w:rPr>
                      <w:rFonts w:hint="eastAsia" w:ascii="Times New Roman" w:hAnsi="Times New Roman" w:eastAsia="宋体" w:cs="Times New Roman"/>
                      <w:b w:val="0"/>
                      <w:i w:val="0"/>
                      <w:iCs w:val="0"/>
                      <w:color w:val="auto"/>
                      <w:kern w:val="0"/>
                      <w:sz w:val="21"/>
                      <w:szCs w:val="21"/>
                      <w:u w:val="none"/>
                      <w:vertAlign w:val="superscript"/>
                      <w:lang w:val="en-US" w:eastAsia="zh-CN" w:bidi="ar"/>
                    </w:rPr>
                    <w:t>3</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649.42</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0.24</w:t>
                  </w:r>
                </w:p>
              </w:tc>
              <w:tc>
                <w:tcPr>
                  <w:tcW w:w="58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0.016 </w:t>
                  </w:r>
                </w:p>
              </w:tc>
              <w:tc>
                <w:tcPr>
                  <w:tcW w:w="528"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7</w:t>
                  </w:r>
                </w:p>
              </w:tc>
              <w:tc>
                <w:tcPr>
                  <w:tcW w:w="99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C20砼挡墙</w:t>
                  </w:r>
                </w:p>
              </w:tc>
              <w:tc>
                <w:tcPr>
                  <w:tcW w:w="582"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m</w:t>
                  </w:r>
                  <w:r>
                    <w:rPr>
                      <w:rFonts w:hint="eastAsia" w:ascii="Times New Roman" w:hAnsi="Times New Roman" w:eastAsia="宋体" w:cs="Times New Roman"/>
                      <w:b w:val="0"/>
                      <w:i w:val="0"/>
                      <w:iCs w:val="0"/>
                      <w:color w:val="auto"/>
                      <w:kern w:val="0"/>
                      <w:sz w:val="21"/>
                      <w:szCs w:val="21"/>
                      <w:u w:val="none"/>
                      <w:vertAlign w:val="superscript"/>
                      <w:lang w:val="en-US" w:eastAsia="zh-CN" w:bidi="ar"/>
                    </w:rPr>
                    <w:t>3</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558.35</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58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528"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2.31</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0.129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8</w:t>
                  </w:r>
                </w:p>
              </w:tc>
              <w:tc>
                <w:tcPr>
                  <w:tcW w:w="99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模板</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m</w:t>
                  </w:r>
                  <w:r>
                    <w:rPr>
                      <w:rFonts w:hint="eastAsia" w:ascii="Times New Roman" w:hAnsi="Times New Roman" w:eastAsia="宋体" w:cs="Times New Roman"/>
                      <w:b w:val="0"/>
                      <w:i w:val="0"/>
                      <w:iCs w:val="0"/>
                      <w:color w:val="auto"/>
                      <w:kern w:val="0"/>
                      <w:sz w:val="21"/>
                      <w:szCs w:val="21"/>
                      <w:u w:val="none"/>
                      <w:vertAlign w:val="superscript"/>
                      <w:lang w:val="en-US" w:eastAsia="zh-CN" w:bidi="ar"/>
                    </w:rPr>
                    <w:t>2</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46.08</w:t>
                  </w: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58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528"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4.97</w:t>
                  </w: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9</w:t>
                  </w:r>
                </w:p>
              </w:tc>
              <w:tc>
                <w:tcPr>
                  <w:tcW w:w="991"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汇总</w:t>
                  </w: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582"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523"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587"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0.656 </w:t>
                  </w:r>
                </w:p>
              </w:tc>
              <w:tc>
                <w:tcPr>
                  <w:tcW w:w="528"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p>
              </w:tc>
              <w:tc>
                <w:tcPr>
                  <w:tcW w:w="625" w:type="pct"/>
                  <w:noWrap/>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 xml:space="preserve">0.723 </w:t>
                  </w:r>
                </w:p>
              </w:tc>
            </w:tr>
          </w:tbl>
          <w:p>
            <w:pPr>
              <w:pStyle w:val="65"/>
              <w:numPr>
                <w:ilvl w:val="0"/>
                <w:numId w:val="9"/>
              </w:numPr>
              <w:adjustRightInd w:val="0"/>
              <w:snapToGrid w:val="0"/>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堤型比较列表</w:t>
            </w:r>
          </w:p>
          <w:tbl>
            <w:tblPr>
              <w:tblStyle w:val="38"/>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168"/>
              <w:gridCol w:w="4103"/>
              <w:gridCol w:w="4104"/>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62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设计堤型</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斜坡堤</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复合式斜坡堤</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62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地形地质</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对地基承载力要求低，受地形条件影响。</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对地基承载力要求较低，基本不受限于地形条件。</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62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施工条件</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施工技术成熟，施工条件要求简单。</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施工技术成熟，施工条件要求简单。</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62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行洪条件</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较复合式斜坡堤形式占行洪断面多。</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占行洪断面较少。</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62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建筑材料</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建材储量大，可就地取材，运距短</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建材储量大，运距较远。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62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工程功能</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抗冲刷能力强，工程运行安全性好，运行寿命长，年维护工作量小，有利于加快施工进度</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抗冲刷能力强，工程运行安全性好，运行寿命长，施工较复杂，工期较长。</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12" w:hRule="atLeast"/>
              </w:trPr>
              <w:tc>
                <w:tcPr>
                  <w:tcW w:w="623"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经济指标</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砼用量少，每延米投资较小</w:t>
                  </w:r>
                </w:p>
              </w:tc>
              <w:tc>
                <w:tcPr>
                  <w:tcW w:w="2188"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b w:val="0"/>
                      <w:i w:val="0"/>
                      <w:iCs w:val="0"/>
                      <w:color w:val="auto"/>
                      <w:kern w:val="0"/>
                      <w:sz w:val="21"/>
                      <w:szCs w:val="21"/>
                      <w:u w:val="none"/>
                      <w:lang w:val="en-US" w:eastAsia="zh-CN" w:bidi="ar"/>
                    </w:rPr>
                  </w:pPr>
                  <w:r>
                    <w:rPr>
                      <w:rFonts w:hint="eastAsia" w:ascii="Times New Roman" w:hAnsi="Times New Roman" w:eastAsia="宋体" w:cs="Times New Roman"/>
                      <w:b w:val="0"/>
                      <w:i w:val="0"/>
                      <w:iCs w:val="0"/>
                      <w:color w:val="auto"/>
                      <w:kern w:val="0"/>
                      <w:sz w:val="21"/>
                      <w:szCs w:val="21"/>
                      <w:u w:val="none"/>
                      <w:lang w:val="en-US" w:eastAsia="zh-CN" w:bidi="ar"/>
                    </w:rPr>
                    <w:t>砼用量较多，每延米投资较大</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bookmarkStart w:id="9" w:name="_Hlk149571605"/>
            <w:r>
              <w:rPr>
                <w:rFonts w:hint="eastAsia" w:cs="Times New Roman"/>
                <w:color w:val="auto"/>
                <w:sz w:val="24"/>
                <w:lang w:val="en-US" w:eastAsia="zh-CN"/>
              </w:rPr>
              <w:t>通过以上两种堤防形式的比较，方案1（斜坡堤）具有投资省、施工简单、工期短的优势，</w:t>
            </w:r>
            <w:bookmarkEnd w:id="9"/>
            <w:r>
              <w:rPr>
                <w:rFonts w:hint="eastAsia" w:cs="Times New Roman"/>
                <w:color w:val="auto"/>
                <w:sz w:val="24"/>
                <w:lang w:val="en-US" w:eastAsia="zh-CN"/>
              </w:rPr>
              <w:t>但在地形条件受限的位置不适用方案1；方案2（复合式斜坡堤）较方案1投资稍高，施工较复杂，但是具有适应特殊地形，占行洪断面较少的有点。结合芝溪河左一段在周家沟（桩号芝左一0+145）之前的地形条件及基本农田划线情况，本阶段芝溪河左一段在桩号芝左一0+000～0+145将方案2（复合式斜坡堤）作为推荐方案，桩号芝左一0+145～0+271.90将方案1（斜坡堤）作为推荐方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2" w:firstLineChars="200"/>
              <w:jc w:val="both"/>
              <w:textAlignment w:val="auto"/>
              <w:outlineLvl w:val="9"/>
              <w:rPr>
                <w:rFonts w:hint="eastAsia" w:cs="Times New Roman"/>
                <w:b/>
                <w:bCs/>
                <w:color w:val="auto"/>
                <w:sz w:val="24"/>
                <w:lang w:val="en-US" w:eastAsia="zh-CN"/>
              </w:rPr>
            </w:pPr>
            <w:r>
              <w:rPr>
                <w:rFonts w:hint="eastAsia" w:cs="Times New Roman"/>
                <w:b/>
                <w:bCs/>
                <w:color w:val="auto"/>
                <w:sz w:val="24"/>
                <w:lang w:val="en-US" w:eastAsia="zh-CN"/>
              </w:rPr>
              <w:t>2、芝溪河左二段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芝溪河左二段护岸长度271.30m，桩号为芝左二0+000.00～芝左二0+271.30。上游起点接已建护岸，迎水面坡比为1：1.75，面板为25cm厚的C25砼，下设5cm厚M7.5砂浆垫层找平，垫层之下采用泥岩石渣填筑或换填，换填宽度不小于3.0m，坡脚设防滑齿墙，C20砼浇筑，置于基岩或满足埋深要求，在回填地面线以上0.5m起设置DN50PVC排水管，间距1.5m，梅花型布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堤顶宽3.0m，依次下设5cm厚C25彩色透水砼路面和15cm厚C25透水砼堤顶，下设20cm厚碎石稳定层；堤后设置排水沟。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cs="Times New Roman"/>
                <w:color w:val="auto"/>
                <w:sz w:val="24"/>
                <w:lang w:val="en-US" w:eastAsia="zh-CN"/>
              </w:rPr>
            </w:pPr>
            <w:r>
              <w:rPr>
                <w:rFonts w:hint="eastAsia" w:cs="Times New Roman"/>
                <w:color w:val="auto"/>
                <w:sz w:val="24"/>
                <w:lang w:val="en-US" w:eastAsia="zh-CN"/>
              </w:rPr>
              <w:t>典型断面图如下：</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20" w:firstLineChars="200"/>
              <w:jc w:val="both"/>
              <w:textAlignment w:val="auto"/>
              <w:outlineLvl w:val="9"/>
              <w:rPr>
                <w:rFonts w:hint="default" w:cs="Times New Roman"/>
                <w:color w:val="auto"/>
                <w:sz w:val="24"/>
                <w:lang w:val="en-US" w:eastAsia="zh-CN"/>
              </w:rPr>
            </w:pPr>
            <w:r>
              <w:drawing>
                <wp:inline distT="0" distB="0" distL="0" distR="0">
                  <wp:extent cx="5274310" cy="3200400"/>
                  <wp:effectExtent l="0" t="0" r="254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8"/>
                          <a:stretch>
                            <a:fillRect/>
                          </a:stretch>
                        </pic:blipFill>
                        <pic:spPr>
                          <a:xfrm>
                            <a:off x="0" y="0"/>
                            <a:ext cx="5274310" cy="3200400"/>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芝左二段典型断面图</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2" w:firstLineChars="200"/>
              <w:jc w:val="both"/>
              <w:textAlignment w:val="auto"/>
              <w:outlineLvl w:val="9"/>
              <w:rPr>
                <w:rFonts w:hint="eastAsia" w:cs="Times New Roman"/>
                <w:b/>
                <w:bCs/>
                <w:color w:val="auto"/>
                <w:sz w:val="24"/>
                <w:lang w:val="en-US" w:eastAsia="zh-CN"/>
              </w:rPr>
            </w:pPr>
            <w:r>
              <w:rPr>
                <w:rFonts w:hint="eastAsia" w:cs="Times New Roman"/>
                <w:b/>
                <w:bCs/>
                <w:color w:val="auto"/>
                <w:sz w:val="24"/>
                <w:lang w:val="en-US" w:eastAsia="zh-CN"/>
              </w:rPr>
              <w:t>3、芝溪河左三段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芝溪河左三段护岸长度318.96m，桩号为芝左三0+000.00～芝左三0+318.96，上游起点接已建堡坎，迎水面坡比为1：1.75，面板为25cm厚的C25砼，下设5cm厚M7.5砂浆垫层找平，垫层之下采用泥岩石渣填筑或换填，换填宽度不小于3.0m，坡脚设防滑齿墙，C20砼浇筑，置于基岩或满足埋深要求，在回填地面线以上0.5m起设置DN50PVC排水管，间距1.5m，梅花型布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堤顶宽3.0m，依次下设5cm厚C25彩色透水砼路面和15cm厚C25透水砼堤顶，下设20cm厚碎石稳定层；堤后设置排水沟。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eastAsia" w:cs="Times New Roman"/>
                <w:color w:val="auto"/>
                <w:sz w:val="24"/>
                <w:lang w:val="en-US" w:eastAsia="zh-CN"/>
              </w:rPr>
            </w:pPr>
            <w:r>
              <w:rPr>
                <w:rFonts w:hint="eastAsia" w:cs="Times New Roman"/>
                <w:color w:val="auto"/>
                <w:sz w:val="24"/>
                <w:lang w:val="en-US" w:eastAsia="zh-CN"/>
              </w:rPr>
              <w:t>典型断面图如下：</w:t>
            </w:r>
          </w:p>
          <w:p>
            <w:pPr>
              <w:ind w:firstLine="0" w:firstLineChars="0"/>
              <w:jc w:val="center"/>
              <w:rPr>
                <w:color w:val="000000" w:themeColor="text1"/>
                <w14:textFill>
                  <w14:solidFill>
                    <w14:schemeClr w14:val="tx1"/>
                  </w14:solidFill>
                </w14:textFill>
              </w:rPr>
            </w:pPr>
            <w:r>
              <w:drawing>
                <wp:inline distT="0" distB="0" distL="0" distR="0">
                  <wp:extent cx="5219700" cy="2562225"/>
                  <wp:effectExtent l="0" t="0" r="0"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9"/>
                          <a:stretch>
                            <a:fillRect/>
                          </a:stretch>
                        </pic:blipFill>
                        <pic:spPr>
                          <a:xfrm>
                            <a:off x="0" y="0"/>
                            <a:ext cx="5219700" cy="2562225"/>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芝左三段典型断面图</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000000" w:themeColor="text1"/>
                <w:sz w:val="24"/>
                <w:szCs w:val="24"/>
                <w14:textFill>
                  <w14:solidFill>
                    <w14:schemeClr w14:val="tx1"/>
                  </w14:solidFill>
                </w14:textFill>
              </w:rPr>
              <w:t>牛家河左岸段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牛家河左岸段护岸长度272.90m，桩号为牛左0+000.00～牛左0+272.90，起于牛家河前锋桥上游260m处石河堰左岸岸坡，止于前锋桥桥墩。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桩号牛左0+000.00～牛左0+130.00堤防断面迎水面结构为：迎水面坡比为1：1.75，面板为25cm厚的C25砼，下设5cm厚M7.5砂浆垫层找平，垫层之下采用泥岩石渣填筑或换填，换填宽度不小于3.0m，坡脚设防滑齿墙，C20砼浇筑，置于基岩或满足埋深要求，在回填地面线以上0.5m起设置DN50PVC排水管，间距1.5m，梅花型布置。</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桩号牛左0+130.00～牛左0+160.00为渐变段，断面结构从斜坡形式渐变为仰斜式挡墙，桩号牛左0+160.00～牛左0+215.00为仰斜式挡墙，挡墙顶宽0.6m，迎水面坡比1: 1.0，背水面坡比1:0.75，墙身采用C20砼浇筑，挡墙基础深入基岩0.5～1.0m，在回填地面线以上0.5m起设置DN50PVC排水管，间距1.5m，梅花型布置。在靠近房屋集中位置，桩号牛左0+190.00～牛左0+220.00尽量减少开挖扰动，对于仰斜式挡墙的开挖面采用土钉支护，土钉采用φ40地质钢管，长3.0m，纵横间距1.0m，并用钢筋网挂网喷锚，C20砼喷锚厚度10cm。在桩号牛左0+215.00～牛左0+244.20为渐变段，断面结构从仰斜式挡墙渐变为衡重式挡墙，接下游居民院坝堡坎，桩号牛左0+244.20～牛左0+272.90段采用C25现浇面板对现状河岸护坡。</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堤顶宽原则为3.0m，在靠近房屋较窄位置，仅保留挡墙顶宽度。堤顶结构为20cm厚C25透水砼堤顶，下设20cm厚碎石稳定层；背水坡坡比1：1.5，堤身范围内采用泥岩石渣填筑，堤后设排水沟。</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themeColor="text1"/>
                <w:sz w:val="24"/>
                <w:szCs w:val="24"/>
                <w14:textFill>
                  <w14:solidFill>
                    <w14:schemeClr w14:val="tx1"/>
                  </w14:solidFill>
                </w14:textFill>
              </w:rPr>
              <w:t>典型断面图如下：</w:t>
            </w:r>
          </w:p>
          <w:p>
            <w:pPr>
              <w:ind w:firstLine="0" w:firstLineChars="0"/>
              <w:jc w:val="center"/>
              <w:rPr>
                <w:color w:val="000000" w:themeColor="text1"/>
                <w14:textFill>
                  <w14:solidFill>
                    <w14:schemeClr w14:val="tx1"/>
                  </w14:solidFill>
                </w14:textFill>
              </w:rPr>
            </w:pPr>
            <w:r>
              <w:drawing>
                <wp:inline distT="0" distB="0" distL="0" distR="0">
                  <wp:extent cx="5219700" cy="2787015"/>
                  <wp:effectExtent l="0" t="0" r="0" b="1333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0"/>
                          <a:stretch>
                            <a:fillRect/>
                          </a:stretch>
                        </pic:blipFill>
                        <pic:spPr>
                          <a:xfrm>
                            <a:off x="0" y="0"/>
                            <a:ext cx="5219700" cy="2787015"/>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牛家河左岸典型断面图一</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firstLine="0" w:firstLineChars="0"/>
              <w:jc w:val="center"/>
              <w:textAlignment w:val="auto"/>
              <w:outlineLvl w:val="9"/>
              <w:rPr>
                <w:rFonts w:hint="default" w:ascii="Times New Roman" w:hAnsi="Times New Roman" w:eastAsia="宋体" w:cs="Times New Roman"/>
                <w:color w:val="auto"/>
                <w:sz w:val="24"/>
                <w:lang w:val="en-US" w:eastAsia="zh-CN"/>
              </w:rPr>
            </w:pPr>
            <w:r>
              <w:drawing>
                <wp:inline distT="0" distB="0" distL="0" distR="0">
                  <wp:extent cx="5219700" cy="2710180"/>
                  <wp:effectExtent l="0" t="0" r="0" b="1397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1"/>
                          <a:stretch>
                            <a:fillRect/>
                          </a:stretch>
                        </pic:blipFill>
                        <pic:spPr>
                          <a:xfrm>
                            <a:off x="0" y="0"/>
                            <a:ext cx="5219700" cy="2710180"/>
                          </a:xfrm>
                          <a:prstGeom prst="rect">
                            <a:avLst/>
                          </a:prstGeom>
                        </pic:spPr>
                      </pic:pic>
                    </a:graphicData>
                  </a:graphic>
                </wp:inline>
              </w:drawing>
            </w:r>
          </w:p>
          <w:p>
            <w:pPr>
              <w:keepNext w:val="0"/>
              <w:keepLines w:val="0"/>
              <w:pageBreakBefore w:val="0"/>
              <w:widowControl w:val="0"/>
              <w:numPr>
                <w:ilvl w:val="0"/>
                <w:numId w:val="10"/>
              </w:numPr>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牛家河左岸典型断面图</w:t>
            </w:r>
            <w:r>
              <w:rPr>
                <w:rFonts w:hint="eastAsia" w:cs="Times New Roman"/>
                <w:b/>
                <w:bCs/>
                <w:color w:val="auto"/>
                <w:sz w:val="21"/>
                <w:szCs w:val="21"/>
                <w:lang w:val="en-US" w:eastAsia="zh-CN"/>
              </w:rPr>
              <w:t>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eastAsia" w:cs="Times New Roman"/>
                <w:b/>
                <w:bCs/>
                <w:color w:val="auto"/>
                <w:sz w:val="24"/>
                <w:lang w:val="en-US" w:eastAsia="zh-CN"/>
              </w:rPr>
            </w:pP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right="0" w:rightChars="0" w:firstLine="482" w:firstLineChars="200"/>
              <w:jc w:val="both"/>
              <w:textAlignment w:val="auto"/>
              <w:outlineLvl w:val="9"/>
              <w:rPr>
                <w:rFonts w:hint="eastAsia" w:cs="Times New Roman"/>
                <w:b/>
                <w:bCs/>
                <w:color w:val="auto"/>
                <w:sz w:val="24"/>
                <w:lang w:val="en-US" w:eastAsia="zh-CN"/>
              </w:rPr>
            </w:pPr>
            <w:r>
              <w:rPr>
                <w:rFonts w:hint="eastAsia" w:cs="Times New Roman"/>
                <w:b/>
                <w:bCs/>
                <w:color w:val="auto"/>
                <w:sz w:val="24"/>
                <w:lang w:val="en-US" w:eastAsia="zh-CN"/>
              </w:rPr>
              <w:t>堤型选择</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本次结合各段地形条件和边界限制情况，对各段均进行了堤型方案比选。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①本阶段芝溪河左一段在桩号芝左一0+000～0+145将复合式斜坡堤作为推荐方案，桩号芝左一0+145～0+271.90将斜坡堤作为推荐方案。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②本阶段芝溪河左二段和芝溪河左三段将斜坡堤作为推荐方案。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③本阶段牛家河左岸在桩号牛左0+000～0+160将斜坡堤作为推荐方案，桩号牛左0+160～0+244.20该段为居民楼较靠近河岸边位置，将占行洪断面较小的仰斜式防洪墙作为推荐方案。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firstLine="480" w:firstLineChars="200"/>
              <w:jc w:val="both"/>
              <w:textAlignment w:val="auto"/>
              <w:outlineLvl w:val="9"/>
              <w:rPr>
                <w:rFonts w:hint="default" w:ascii="Times New Roman" w:hAnsi="Times New Roman" w:eastAsia="宋体" w:cs="Times New Roman"/>
                <w:color w:val="auto"/>
                <w:sz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right="0" w:rightChars="0"/>
              <w:jc w:val="both"/>
              <w:textAlignment w:val="auto"/>
              <w:outlineLvl w:val="9"/>
              <w:rPr>
                <w:rFonts w:hint="default" w:ascii="Times New Roman" w:hAnsi="Times New Roman" w:eastAsia="宋体" w:cs="Times New Roman"/>
                <w:color w:val="auto"/>
                <w:sz w:val="24"/>
                <w:lang w:val="en-US" w:eastAsia="zh-CN"/>
              </w:rPr>
            </w:pPr>
          </w:p>
        </w:tc>
      </w:tr>
    </w:tbl>
    <w:p>
      <w:pPr>
        <w:pStyle w:val="32"/>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仿宋_GB2312" w:cs="Times New Roman"/>
          <w:b/>
          <w:bCs/>
          <w:color w:val="FF0000"/>
        </w:rPr>
        <w:br w:type="page"/>
      </w:r>
      <w:r>
        <w:rPr>
          <w:rFonts w:hint="default" w:ascii="Times New Roman" w:hAnsi="Times New Roman" w:eastAsia="黑体" w:cs="Times New Roman"/>
          <w:snapToGrid w:val="0"/>
          <w:color w:val="auto"/>
          <w:sz w:val="30"/>
          <w:szCs w:val="30"/>
        </w:rPr>
        <w:t>三、生态环境现状、保护目标及评价标准</w:t>
      </w:r>
    </w:p>
    <w:tbl>
      <w:tblPr>
        <w:tblStyle w:val="37"/>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6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463" w:type="dxa"/>
            <w:vAlign w:val="center"/>
          </w:tcPr>
          <w:p>
            <w:pPr>
              <w:adjustRightInd w:val="0"/>
              <w:snapToGrid w:val="0"/>
              <w:jc w:val="center"/>
              <w:rPr>
                <w:rFonts w:hint="default" w:ascii="Times New Roman" w:hAnsi="Times New Roman" w:cs="Times New Roman"/>
                <w:color w:val="FF0000"/>
                <w:kern w:val="0"/>
                <w:sz w:val="24"/>
              </w:rPr>
            </w:pPr>
            <w:r>
              <w:rPr>
                <w:rFonts w:hint="default" w:ascii="Times New Roman" w:hAnsi="Times New Roman" w:cs="Times New Roman"/>
                <w:color w:val="auto"/>
                <w:kern w:val="0"/>
                <w:sz w:val="24"/>
              </w:rPr>
              <w:t>生态环境现状</w:t>
            </w:r>
          </w:p>
        </w:tc>
        <w:tc>
          <w:tcPr>
            <w:tcW w:w="8694" w:type="dxa"/>
            <w:vAlign w:val="center"/>
          </w:tcPr>
          <w:p>
            <w:pPr>
              <w:adjustRightInd w:val="0"/>
              <w:snapToGrid w:val="0"/>
              <w:spacing w:line="360" w:lineRule="auto"/>
              <w:rPr>
                <w:rFonts w:hint="default" w:ascii="Times New Roman" w:hAnsi="Times New Roman" w:eastAsia="宋体" w:cs="Times New Roman"/>
                <w:color w:val="auto"/>
                <w:sz w:val="24"/>
                <w:szCs w:val="32"/>
                <w:lang w:val="en-US" w:eastAsia="zh-CN"/>
              </w:rPr>
            </w:pPr>
            <w:r>
              <w:rPr>
                <w:rFonts w:hint="default" w:ascii="Times New Roman" w:hAnsi="Times New Roman" w:cs="Times New Roman"/>
                <w:b/>
                <w:bCs/>
                <w:color w:val="auto"/>
                <w:kern w:val="0"/>
                <w:sz w:val="24"/>
              </w:rPr>
              <w:t>一、</w:t>
            </w:r>
            <w:r>
              <w:rPr>
                <w:rFonts w:hint="default" w:ascii="Times New Roman" w:hAnsi="Times New Roman" w:cs="Times New Roman"/>
                <w:b/>
                <w:bCs/>
                <w:color w:val="auto"/>
                <w:kern w:val="0"/>
                <w:sz w:val="24"/>
                <w:lang w:val="en-US" w:eastAsia="zh-CN"/>
              </w:rPr>
              <w:t>大气环境</w:t>
            </w:r>
            <w:r>
              <w:rPr>
                <w:rFonts w:hint="default" w:ascii="Times New Roman" w:hAnsi="Times New Roman" w:cs="Times New Roman"/>
                <w:b/>
                <w:bCs/>
                <w:color w:val="auto"/>
                <w:sz w:val="24"/>
              </w:rPr>
              <w:t>质量</w:t>
            </w:r>
          </w:p>
          <w:p>
            <w:pPr>
              <w:adjustRightInd w:val="0"/>
              <w:snapToGrid w:val="0"/>
              <w:spacing w:line="360" w:lineRule="auto"/>
              <w:ind w:firstLine="480" w:firstLineChars="200"/>
              <w:rPr>
                <w:kern w:val="0"/>
                <w:sz w:val="24"/>
              </w:rPr>
            </w:pPr>
            <w:r>
              <w:rPr>
                <w:kern w:val="0"/>
                <w:sz w:val="24"/>
              </w:rPr>
              <w:t>根据《建设项目环境影响报告表编制技术指南》（生态影响类）（试行）</w:t>
            </w:r>
            <w:r>
              <w:rPr>
                <w:rFonts w:hint="eastAsia"/>
                <w:kern w:val="0"/>
                <w:sz w:val="24"/>
              </w:rPr>
              <w:t>“</w:t>
            </w:r>
            <w:r>
              <w:rPr>
                <w:kern w:val="0"/>
                <w:sz w:val="24"/>
              </w:rPr>
              <w:t>不开展专项评价的环境要素，引用与项目距离近的有效数据和调查资料，国家、地方环境质量监测网数据或生态环境主管部门公布的生态环境质量数据等</w:t>
            </w:r>
            <w:r>
              <w:rPr>
                <w:rFonts w:hint="eastAsia"/>
                <w:kern w:val="0"/>
                <w:sz w:val="24"/>
              </w:rPr>
              <w:t>”</w:t>
            </w:r>
            <w:r>
              <w:rPr>
                <w:kern w:val="0"/>
                <w:sz w:val="24"/>
              </w:rPr>
              <w:t>。</w:t>
            </w:r>
          </w:p>
          <w:p>
            <w:pPr>
              <w:adjustRightInd w:val="0"/>
              <w:snapToGrid w:val="0"/>
              <w:spacing w:line="360" w:lineRule="auto"/>
              <w:ind w:firstLine="480" w:firstLineChars="200"/>
              <w:rPr>
                <w:color w:val="auto"/>
                <w:kern w:val="0"/>
                <w:sz w:val="24"/>
              </w:rPr>
            </w:pPr>
            <w:r>
              <w:rPr>
                <w:kern w:val="0"/>
                <w:sz w:val="24"/>
              </w:rPr>
              <w:t>本项目位于</w:t>
            </w:r>
            <w:r>
              <w:rPr>
                <w:rFonts w:hint="eastAsia"/>
                <w:kern w:val="0"/>
                <w:sz w:val="24"/>
              </w:rPr>
              <w:t>四川省</w:t>
            </w:r>
            <w:r>
              <w:rPr>
                <w:rFonts w:hint="eastAsia"/>
                <w:kern w:val="0"/>
                <w:sz w:val="24"/>
                <w:lang w:val="en-US" w:eastAsia="zh-CN"/>
              </w:rPr>
              <w:t>遂宁市蓬溪县明月镇</w:t>
            </w:r>
            <w:r>
              <w:rPr>
                <w:kern w:val="0"/>
                <w:sz w:val="24"/>
              </w:rPr>
              <w:t>，区域环境空气质量现状达标判定，选用202</w:t>
            </w:r>
            <w:r>
              <w:rPr>
                <w:rFonts w:hint="eastAsia"/>
                <w:kern w:val="0"/>
                <w:sz w:val="24"/>
                <w:lang w:val="en-US" w:eastAsia="zh-CN"/>
              </w:rPr>
              <w:t>4</w:t>
            </w:r>
            <w:r>
              <w:rPr>
                <w:kern w:val="0"/>
                <w:sz w:val="24"/>
              </w:rPr>
              <w:t>年</w:t>
            </w:r>
            <w:r>
              <w:rPr>
                <w:rFonts w:hint="eastAsia"/>
                <w:kern w:val="0"/>
                <w:sz w:val="24"/>
                <w:lang w:val="en-US" w:eastAsia="zh-CN"/>
              </w:rPr>
              <w:t>1</w:t>
            </w:r>
            <w:r>
              <w:rPr>
                <w:kern w:val="0"/>
                <w:sz w:val="24"/>
              </w:rPr>
              <w:t>月</w:t>
            </w:r>
            <w:r>
              <w:rPr>
                <w:rFonts w:hint="eastAsia"/>
                <w:kern w:val="0"/>
                <w:sz w:val="24"/>
                <w:lang w:val="en-US" w:eastAsia="zh-CN"/>
              </w:rPr>
              <w:t>15日遂宁市</w:t>
            </w:r>
            <w:r>
              <w:rPr>
                <w:kern w:val="0"/>
                <w:sz w:val="24"/>
              </w:rPr>
              <w:t>生态环境局发布的</w:t>
            </w:r>
            <w:r>
              <w:rPr>
                <w:rFonts w:hint="eastAsia"/>
                <w:kern w:val="0"/>
                <w:sz w:val="24"/>
              </w:rPr>
              <w:t>《2023年遂宁市环境质量公告》，本年度遂宁市城区环境空气质量119天优、199 天良、43天轻度污染、3天中度污染、1天重度污染，空气质量达标率为87.1%，主要污染物SO</w:t>
            </w:r>
            <w:r>
              <w:rPr>
                <w:rFonts w:hint="eastAsia"/>
                <w:kern w:val="0"/>
                <w:sz w:val="24"/>
                <w:vertAlign w:val="subscript"/>
              </w:rPr>
              <w:t>2</w:t>
            </w:r>
            <w:r>
              <w:rPr>
                <w:rFonts w:hint="eastAsia"/>
                <w:kern w:val="0"/>
                <w:sz w:val="24"/>
              </w:rPr>
              <w:t>、NO</w:t>
            </w:r>
            <w:r>
              <w:rPr>
                <w:rFonts w:hint="eastAsia"/>
                <w:kern w:val="0"/>
                <w:sz w:val="24"/>
                <w:vertAlign w:val="subscript"/>
              </w:rPr>
              <w:t>2</w:t>
            </w:r>
            <w:r>
              <w:rPr>
                <w:rFonts w:hint="eastAsia"/>
                <w:kern w:val="0"/>
                <w:sz w:val="24"/>
              </w:rPr>
              <w:t>、PM1</w:t>
            </w:r>
            <w:r>
              <w:rPr>
                <w:rFonts w:hint="eastAsia"/>
                <w:kern w:val="0"/>
                <w:sz w:val="24"/>
                <w:vertAlign w:val="subscript"/>
              </w:rPr>
              <w:t>0</w:t>
            </w:r>
            <w:r>
              <w:rPr>
                <w:rFonts w:hint="eastAsia"/>
                <w:kern w:val="0"/>
                <w:sz w:val="24"/>
              </w:rPr>
              <w:t>、PM</w:t>
            </w:r>
            <w:r>
              <w:rPr>
                <w:rFonts w:hint="eastAsia"/>
                <w:kern w:val="0"/>
                <w:sz w:val="24"/>
                <w:vertAlign w:val="subscript"/>
              </w:rPr>
              <w:t>2.5</w:t>
            </w:r>
            <w:r>
              <w:rPr>
                <w:rFonts w:hint="eastAsia"/>
                <w:kern w:val="0"/>
                <w:sz w:val="24"/>
              </w:rPr>
              <w:t>、CO和O</w:t>
            </w:r>
            <w:r>
              <w:rPr>
                <w:rFonts w:hint="eastAsia"/>
                <w:kern w:val="0"/>
                <w:sz w:val="24"/>
                <w:vertAlign w:val="subscript"/>
              </w:rPr>
              <w:t>3</w:t>
            </w:r>
            <w:r>
              <w:rPr>
                <w:rFonts w:hint="eastAsia"/>
                <w:kern w:val="0"/>
                <w:sz w:val="24"/>
              </w:rPr>
              <w:t>的年均值分别为7.7微克/立方米、24.6微克/立方米、51.7微克/立方米、30.0微克/立方米、1.0毫克/立方米和144.4微克/立方米。同比SO</w:t>
            </w:r>
            <w:r>
              <w:rPr>
                <w:rFonts w:hint="eastAsia"/>
                <w:kern w:val="0"/>
                <w:sz w:val="24"/>
                <w:vertAlign w:val="subscript"/>
              </w:rPr>
              <w:t>2</w:t>
            </w:r>
            <w:r>
              <w:rPr>
                <w:rFonts w:hint="eastAsia"/>
                <w:kern w:val="0"/>
                <w:sz w:val="24"/>
              </w:rPr>
              <w:t>、PM</w:t>
            </w:r>
            <w:r>
              <w:rPr>
                <w:rFonts w:hint="eastAsia"/>
                <w:kern w:val="0"/>
                <w:sz w:val="24"/>
                <w:vertAlign w:val="subscript"/>
              </w:rPr>
              <w:t>10</w:t>
            </w:r>
            <w:r>
              <w:rPr>
                <w:rFonts w:hint="eastAsia"/>
                <w:kern w:val="0"/>
                <w:sz w:val="24"/>
              </w:rPr>
              <w:t>和O</w:t>
            </w:r>
            <w:r>
              <w:rPr>
                <w:rFonts w:hint="eastAsia"/>
                <w:kern w:val="0"/>
                <w:sz w:val="24"/>
                <w:vertAlign w:val="subscript"/>
              </w:rPr>
              <w:t>3</w:t>
            </w:r>
            <w:r>
              <w:rPr>
                <w:rFonts w:hint="eastAsia"/>
                <w:kern w:val="0"/>
                <w:sz w:val="24"/>
              </w:rPr>
              <w:t>浓度分别下降了21.</w:t>
            </w:r>
            <w:r>
              <w:rPr>
                <w:rFonts w:hint="eastAsia"/>
                <w:color w:val="auto"/>
                <w:kern w:val="0"/>
                <w:sz w:val="24"/>
              </w:rPr>
              <w:t>4%、4.3%和1.1%，NO</w:t>
            </w:r>
            <w:r>
              <w:rPr>
                <w:rFonts w:hint="eastAsia"/>
                <w:color w:val="auto"/>
                <w:kern w:val="0"/>
                <w:sz w:val="24"/>
                <w:vertAlign w:val="subscript"/>
              </w:rPr>
              <w:t>2</w:t>
            </w:r>
            <w:r>
              <w:rPr>
                <w:rFonts w:hint="eastAsia"/>
                <w:color w:val="auto"/>
                <w:kern w:val="0"/>
                <w:sz w:val="24"/>
              </w:rPr>
              <w:t>、PM</w:t>
            </w:r>
            <w:r>
              <w:rPr>
                <w:rFonts w:hint="eastAsia"/>
                <w:color w:val="auto"/>
                <w:kern w:val="0"/>
                <w:sz w:val="24"/>
                <w:vertAlign w:val="subscript"/>
              </w:rPr>
              <w:t>2.5</w:t>
            </w:r>
            <w:r>
              <w:rPr>
                <w:rFonts w:hint="eastAsia"/>
                <w:color w:val="auto"/>
                <w:kern w:val="0"/>
                <w:sz w:val="24"/>
              </w:rPr>
              <w:t>、和CO浓度分别上升了22.4%、0.7%和11.1%</w:t>
            </w:r>
            <w:r>
              <w:rPr>
                <w:color w:val="auto"/>
                <w:kern w:val="0"/>
                <w:sz w:val="24"/>
              </w:rPr>
              <w:t>。</w:t>
            </w:r>
          </w:p>
          <w:p>
            <w:pPr>
              <w:numPr>
                <w:ilvl w:val="0"/>
                <w:numId w:val="12"/>
              </w:num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区域空气质量现状评价表</w:t>
            </w:r>
            <w:r>
              <w:rPr>
                <w:rFonts w:hint="eastAsia" w:cs="Times New Roman"/>
                <w:b/>
                <w:color w:val="auto"/>
                <w:szCs w:val="21"/>
                <w:lang w:val="en-US" w:eastAsia="zh-CN"/>
              </w:rPr>
              <w:t xml:space="preserve">     </w:t>
            </w:r>
            <w:r>
              <w:rPr>
                <w:rFonts w:hint="default" w:ascii="Times New Roman" w:hAnsi="Times New Roman" w:eastAsia="宋体" w:cs="Times New Roman"/>
                <w:b/>
                <w:color w:val="auto"/>
                <w:szCs w:val="21"/>
              </w:rPr>
              <w:t>单位：μg/m</w:t>
            </w:r>
            <w:r>
              <w:rPr>
                <w:rFonts w:hint="default" w:ascii="Times New Roman" w:hAnsi="Times New Roman" w:eastAsia="宋体" w:cs="Times New Roman"/>
                <w:b/>
                <w:color w:val="auto"/>
                <w:szCs w:val="21"/>
                <w:vertAlign w:val="superscript"/>
              </w:rPr>
              <w:t>3</w:t>
            </w:r>
            <w:r>
              <w:rPr>
                <w:rFonts w:hint="default" w:ascii="Times New Roman" w:hAnsi="Times New Roman" w:eastAsia="宋体" w:cs="Times New Roman"/>
                <w:b/>
                <w:color w:val="auto"/>
                <w:szCs w:val="21"/>
              </w:rPr>
              <w:t>，CO为mg/m</w:t>
            </w:r>
            <w:r>
              <w:rPr>
                <w:rFonts w:hint="default" w:ascii="Times New Roman" w:hAnsi="Times New Roman" w:eastAsia="宋体" w:cs="Times New Roman"/>
                <w:b/>
                <w:color w:val="auto"/>
                <w:szCs w:val="21"/>
                <w:vertAlign w:val="superscript"/>
              </w:rPr>
              <w:t>3</w:t>
            </w:r>
          </w:p>
          <w:tbl>
            <w:tblPr>
              <w:tblStyle w:val="254"/>
              <w:tblW w:w="4997"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38"/>
              <w:gridCol w:w="2100"/>
              <w:gridCol w:w="1669"/>
              <w:gridCol w:w="1380"/>
              <w:gridCol w:w="1253"/>
              <w:gridCol w:w="1128"/>
            </w:tblGrid>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1004" w:type="dxa"/>
                  <w:tcBorders>
                    <w:top w:val="single" w:color="000000" w:sz="12" w:space="0"/>
                    <w:left w:val="nil"/>
                    <w:tl2br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val="0"/>
                      <w:color w:val="auto"/>
                      <w:sz w:val="21"/>
                      <w:szCs w:val="21"/>
                    </w:rPr>
                  </w:pPr>
                  <w:r>
                    <w:rPr>
                      <w:b/>
                      <w:bCs w:val="0"/>
                      <w:color w:val="auto"/>
                      <w:spacing w:val="-4"/>
                      <w:sz w:val="21"/>
                      <w:szCs w:val="21"/>
                    </w:rPr>
                    <w:t>污染物</w:t>
                  </w:r>
                </w:p>
              </w:tc>
              <w:tc>
                <w:tcPr>
                  <w:tcW w:w="2249" w:type="dxa"/>
                  <w:tcBorders>
                    <w:top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val="0"/>
                      <w:color w:val="auto"/>
                      <w:sz w:val="21"/>
                      <w:szCs w:val="21"/>
                    </w:rPr>
                  </w:pPr>
                  <w:r>
                    <w:rPr>
                      <w:b/>
                      <w:bCs w:val="0"/>
                      <w:color w:val="auto"/>
                      <w:spacing w:val="-4"/>
                      <w:sz w:val="21"/>
                      <w:szCs w:val="21"/>
                    </w:rPr>
                    <w:t>平均指</w:t>
                  </w:r>
                </w:p>
              </w:tc>
              <w:tc>
                <w:tcPr>
                  <w:tcW w:w="1787" w:type="dxa"/>
                  <w:tcBorders>
                    <w:top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val="0"/>
                      <w:color w:val="auto"/>
                      <w:sz w:val="21"/>
                      <w:szCs w:val="21"/>
                    </w:rPr>
                  </w:pPr>
                  <w:r>
                    <w:rPr>
                      <w:b/>
                      <w:bCs w:val="0"/>
                      <w:color w:val="auto"/>
                      <w:spacing w:val="-4"/>
                      <w:sz w:val="21"/>
                      <w:szCs w:val="21"/>
                    </w:rPr>
                    <w:t>现状浓度</w:t>
                  </w:r>
                </w:p>
              </w:tc>
              <w:tc>
                <w:tcPr>
                  <w:tcW w:w="1478" w:type="dxa"/>
                  <w:tcBorders>
                    <w:top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val="0"/>
                      <w:color w:val="auto"/>
                      <w:sz w:val="21"/>
                      <w:szCs w:val="21"/>
                    </w:rPr>
                  </w:pPr>
                  <w:r>
                    <w:rPr>
                      <w:b/>
                      <w:bCs w:val="0"/>
                      <w:color w:val="auto"/>
                      <w:spacing w:val="-3"/>
                      <w:sz w:val="21"/>
                      <w:szCs w:val="21"/>
                    </w:rPr>
                    <w:t>评价标准</w:t>
                  </w:r>
                </w:p>
              </w:tc>
              <w:tc>
                <w:tcPr>
                  <w:tcW w:w="1341" w:type="dxa"/>
                  <w:tcBorders>
                    <w:top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bCs w:val="0"/>
                      <w:color w:val="auto"/>
                      <w:sz w:val="21"/>
                      <w:szCs w:val="21"/>
                    </w:rPr>
                  </w:pPr>
                  <w:r>
                    <w:rPr>
                      <w:b/>
                      <w:bCs w:val="0"/>
                      <w:color w:val="auto"/>
                      <w:spacing w:val="-12"/>
                      <w:sz w:val="21"/>
                      <w:szCs w:val="21"/>
                    </w:rPr>
                    <w:t>占标率</w:t>
                  </w:r>
                  <w:r>
                    <w:rPr>
                      <w:rFonts w:ascii="Times New Roman" w:hAnsi="Times New Roman" w:eastAsia="Times New Roman" w:cs="Times New Roman"/>
                      <w:b/>
                      <w:bCs w:val="0"/>
                      <w:color w:val="auto"/>
                      <w:spacing w:val="-12"/>
                      <w:sz w:val="21"/>
                      <w:szCs w:val="21"/>
                    </w:rPr>
                    <w:t>%</w:t>
                  </w:r>
                </w:p>
              </w:tc>
              <w:tc>
                <w:tcPr>
                  <w:tcW w:w="1208" w:type="dxa"/>
                  <w:tcBorders>
                    <w:top w:val="single" w:color="000000" w:sz="12" w:space="0"/>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bCs w:val="0"/>
                      <w:color w:val="auto"/>
                      <w:sz w:val="21"/>
                      <w:szCs w:val="21"/>
                    </w:rPr>
                  </w:pPr>
                  <w:r>
                    <w:rPr>
                      <w:b/>
                      <w:bCs w:val="0"/>
                      <w:color w:val="auto"/>
                      <w:spacing w:val="-3"/>
                      <w:sz w:val="21"/>
                      <w:szCs w:val="21"/>
                    </w:rPr>
                    <w:t>达标情况</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1004"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pacing w:val="-2"/>
                      <w:sz w:val="21"/>
                      <w:szCs w:val="21"/>
                    </w:rPr>
                    <w:t>SO</w:t>
                  </w:r>
                  <w:r>
                    <w:rPr>
                      <w:rFonts w:ascii="Times New Roman" w:hAnsi="Times New Roman" w:eastAsia="Times New Roman" w:cs="Times New Roman"/>
                      <w:b w:val="0"/>
                      <w:color w:val="auto"/>
                      <w:spacing w:val="-2"/>
                      <w:position w:val="-1"/>
                      <w:sz w:val="13"/>
                      <w:szCs w:val="13"/>
                    </w:rPr>
                    <w:t>2</w:t>
                  </w:r>
                </w:p>
              </w:tc>
              <w:tc>
                <w:tcPr>
                  <w:tcW w:w="2249"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1"/>
                      <w:sz w:val="21"/>
                      <w:szCs w:val="21"/>
                    </w:rPr>
                    <w:t>年平均浓度值</w:t>
                  </w:r>
                </w:p>
              </w:tc>
              <w:tc>
                <w:tcPr>
                  <w:tcW w:w="17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7.7</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2"/>
                      <w:sz w:val="21"/>
                      <w:szCs w:val="21"/>
                    </w:rPr>
                    <w:t>60</w:t>
                  </w:r>
                </w:p>
              </w:tc>
              <w:tc>
                <w:tcPr>
                  <w:tcW w:w="13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12.8</w:t>
                  </w:r>
                </w:p>
              </w:tc>
              <w:tc>
                <w:tcPr>
                  <w:tcW w:w="1208"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1004"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z w:val="21"/>
                      <w:szCs w:val="21"/>
                    </w:rPr>
                    <w:t>NO</w:t>
                  </w:r>
                  <w:r>
                    <w:rPr>
                      <w:rFonts w:ascii="Times New Roman" w:hAnsi="Times New Roman" w:eastAsia="Times New Roman" w:cs="Times New Roman"/>
                      <w:b w:val="0"/>
                      <w:color w:val="auto"/>
                      <w:spacing w:val="8"/>
                      <w:position w:val="-1"/>
                      <w:sz w:val="13"/>
                      <w:szCs w:val="13"/>
                    </w:rPr>
                    <w:t>2</w:t>
                  </w:r>
                </w:p>
              </w:tc>
              <w:tc>
                <w:tcPr>
                  <w:tcW w:w="2249"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1"/>
                      <w:sz w:val="21"/>
                      <w:szCs w:val="21"/>
                    </w:rPr>
                    <w:t>年平均浓度值</w:t>
                  </w:r>
                </w:p>
              </w:tc>
              <w:tc>
                <w:tcPr>
                  <w:tcW w:w="17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24.6</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1"/>
                      <w:sz w:val="21"/>
                      <w:szCs w:val="21"/>
                    </w:rPr>
                    <w:t>40</w:t>
                  </w:r>
                </w:p>
              </w:tc>
              <w:tc>
                <w:tcPr>
                  <w:tcW w:w="13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61.5</w:t>
                  </w:r>
                </w:p>
              </w:tc>
              <w:tc>
                <w:tcPr>
                  <w:tcW w:w="1208"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1004"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2"/>
                      <w:sz w:val="21"/>
                      <w:szCs w:val="21"/>
                    </w:rPr>
                    <w:t>CO</w:t>
                  </w:r>
                </w:p>
              </w:tc>
              <w:tc>
                <w:tcPr>
                  <w:tcW w:w="2249"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百分位数平均</w:t>
                  </w:r>
                </w:p>
              </w:tc>
              <w:tc>
                <w:tcPr>
                  <w:tcW w:w="17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pacing w:val="-3"/>
                      <w:sz w:val="21"/>
                      <w:szCs w:val="21"/>
                    </w:rPr>
                    <w:t>1.</w:t>
                  </w:r>
                  <w:r>
                    <w:rPr>
                      <w:rFonts w:hint="eastAsia" w:ascii="Times New Roman" w:hAnsi="Times New Roman" w:eastAsia="宋体" w:cs="Times New Roman"/>
                      <w:b w:val="0"/>
                      <w:color w:val="auto"/>
                      <w:spacing w:val="-3"/>
                      <w:sz w:val="21"/>
                      <w:szCs w:val="21"/>
                      <w:lang w:val="en-US" w:eastAsia="zh-CN"/>
                    </w:rPr>
                    <w:t>0</w:t>
                  </w:r>
                  <w:r>
                    <w:rPr>
                      <w:rFonts w:ascii="Times New Roman" w:hAnsi="Times New Roman" w:eastAsia="Times New Roman" w:cs="Times New Roman"/>
                      <w:b w:val="0"/>
                      <w:color w:val="auto"/>
                      <w:spacing w:val="-3"/>
                      <w:sz w:val="21"/>
                      <w:szCs w:val="21"/>
                    </w:rPr>
                    <w:t>mg/m</w:t>
                  </w:r>
                  <w:r>
                    <w:rPr>
                      <w:rFonts w:ascii="Times New Roman" w:hAnsi="Times New Roman" w:eastAsia="Times New Roman" w:cs="Times New Roman"/>
                      <w:b w:val="0"/>
                      <w:color w:val="auto"/>
                      <w:spacing w:val="-3"/>
                      <w:position w:val="6"/>
                      <w:sz w:val="13"/>
                      <w:szCs w:val="13"/>
                    </w:rPr>
                    <w:t>3</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z w:val="21"/>
                      <w:szCs w:val="21"/>
                    </w:rPr>
                    <w:t>4mg/m</w:t>
                  </w:r>
                  <w:r>
                    <w:rPr>
                      <w:rFonts w:ascii="Times New Roman" w:hAnsi="Times New Roman" w:eastAsia="Times New Roman" w:cs="Times New Roman"/>
                      <w:b w:val="0"/>
                      <w:color w:val="auto"/>
                      <w:position w:val="6"/>
                      <w:sz w:val="13"/>
                      <w:szCs w:val="13"/>
                    </w:rPr>
                    <w:t>3</w:t>
                  </w:r>
                </w:p>
              </w:tc>
              <w:tc>
                <w:tcPr>
                  <w:tcW w:w="13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25.0</w:t>
                  </w:r>
                </w:p>
              </w:tc>
              <w:tc>
                <w:tcPr>
                  <w:tcW w:w="1208"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1004"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pacing w:val="-1"/>
                      <w:sz w:val="21"/>
                      <w:szCs w:val="21"/>
                    </w:rPr>
                    <w:t>O</w:t>
                  </w:r>
                  <w:r>
                    <w:rPr>
                      <w:rFonts w:ascii="Times New Roman" w:hAnsi="Times New Roman" w:eastAsia="Times New Roman" w:cs="Times New Roman"/>
                      <w:b w:val="0"/>
                      <w:color w:val="auto"/>
                      <w:spacing w:val="-1"/>
                      <w:position w:val="-1"/>
                      <w:sz w:val="13"/>
                      <w:szCs w:val="13"/>
                    </w:rPr>
                    <w:t>3</w:t>
                  </w:r>
                </w:p>
              </w:tc>
              <w:tc>
                <w:tcPr>
                  <w:tcW w:w="2249"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9"/>
                      <w:sz w:val="21"/>
                      <w:szCs w:val="21"/>
                    </w:rPr>
                    <w:t>日最大</w:t>
                  </w:r>
                  <w:r>
                    <w:rPr>
                      <w:b w:val="0"/>
                      <w:color w:val="auto"/>
                      <w:spacing w:val="-37"/>
                      <w:sz w:val="21"/>
                      <w:szCs w:val="21"/>
                    </w:rPr>
                    <w:t xml:space="preserve"> </w:t>
                  </w:r>
                  <w:r>
                    <w:rPr>
                      <w:rFonts w:ascii="Times New Roman" w:hAnsi="Times New Roman" w:eastAsia="Times New Roman" w:cs="Times New Roman"/>
                      <w:b w:val="0"/>
                      <w:color w:val="auto"/>
                      <w:spacing w:val="-9"/>
                      <w:sz w:val="21"/>
                      <w:szCs w:val="21"/>
                    </w:rPr>
                    <w:t>8</w:t>
                  </w:r>
                  <w:r>
                    <w:rPr>
                      <w:b w:val="0"/>
                      <w:color w:val="auto"/>
                      <w:spacing w:val="-9"/>
                      <w:sz w:val="21"/>
                      <w:szCs w:val="21"/>
                    </w:rPr>
                    <w:t>小时平均</w:t>
                  </w:r>
                </w:p>
              </w:tc>
              <w:tc>
                <w:tcPr>
                  <w:tcW w:w="17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144.4</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6"/>
                      <w:sz w:val="21"/>
                      <w:szCs w:val="21"/>
                    </w:rPr>
                    <w:t>160</w:t>
                  </w:r>
                </w:p>
              </w:tc>
              <w:tc>
                <w:tcPr>
                  <w:tcW w:w="13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90.3</w:t>
                  </w:r>
                </w:p>
              </w:tc>
              <w:tc>
                <w:tcPr>
                  <w:tcW w:w="1208"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1004" w:type="dxa"/>
                  <w:tcBorders>
                    <w:lef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z w:val="21"/>
                      <w:szCs w:val="21"/>
                    </w:rPr>
                    <w:t>PM</w:t>
                  </w:r>
                  <w:r>
                    <w:rPr>
                      <w:rFonts w:ascii="Times New Roman" w:hAnsi="Times New Roman" w:eastAsia="Times New Roman" w:cs="Times New Roman"/>
                      <w:b w:val="0"/>
                      <w:color w:val="auto"/>
                      <w:spacing w:val="5"/>
                      <w:position w:val="-1"/>
                      <w:sz w:val="13"/>
                      <w:szCs w:val="13"/>
                    </w:rPr>
                    <w:t>10</w:t>
                  </w:r>
                </w:p>
              </w:tc>
              <w:tc>
                <w:tcPr>
                  <w:tcW w:w="2249"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1"/>
                      <w:sz w:val="21"/>
                      <w:szCs w:val="21"/>
                    </w:rPr>
                    <w:t>年平均浓度值</w:t>
                  </w:r>
                </w:p>
              </w:tc>
              <w:tc>
                <w:tcPr>
                  <w:tcW w:w="178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51.7</w:t>
                  </w:r>
                </w:p>
              </w:tc>
              <w:tc>
                <w:tcPr>
                  <w:tcW w:w="1478"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2"/>
                      <w:sz w:val="21"/>
                      <w:szCs w:val="21"/>
                    </w:rPr>
                    <w:t>70</w:t>
                  </w:r>
                </w:p>
              </w:tc>
              <w:tc>
                <w:tcPr>
                  <w:tcW w:w="13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73.9</w:t>
                  </w:r>
                </w:p>
              </w:tc>
              <w:tc>
                <w:tcPr>
                  <w:tcW w:w="1208"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1004" w:type="dxa"/>
                  <w:tcBorders>
                    <w:left w:val="nil"/>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13"/>
                      <w:szCs w:val="13"/>
                    </w:rPr>
                  </w:pPr>
                  <w:r>
                    <w:rPr>
                      <w:rFonts w:ascii="Times New Roman" w:hAnsi="Times New Roman" w:eastAsia="Times New Roman" w:cs="Times New Roman"/>
                      <w:b w:val="0"/>
                      <w:color w:val="auto"/>
                      <w:sz w:val="21"/>
                      <w:szCs w:val="21"/>
                    </w:rPr>
                    <w:t>PM</w:t>
                  </w:r>
                  <w:r>
                    <w:rPr>
                      <w:rFonts w:ascii="Times New Roman" w:hAnsi="Times New Roman" w:eastAsia="Times New Roman" w:cs="Times New Roman"/>
                      <w:b w:val="0"/>
                      <w:color w:val="auto"/>
                      <w:spacing w:val="3"/>
                      <w:position w:val="-1"/>
                      <w:sz w:val="13"/>
                      <w:szCs w:val="13"/>
                    </w:rPr>
                    <w:t>2.5</w:t>
                  </w:r>
                </w:p>
              </w:tc>
              <w:tc>
                <w:tcPr>
                  <w:tcW w:w="2249" w:type="dxa"/>
                  <w:tcBorders>
                    <w:bottom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年平均浓度值</w:t>
                  </w:r>
                </w:p>
              </w:tc>
              <w:tc>
                <w:tcPr>
                  <w:tcW w:w="1787"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30.0</w:t>
                  </w:r>
                </w:p>
              </w:tc>
              <w:tc>
                <w:tcPr>
                  <w:tcW w:w="1478"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Times New Roman" w:eastAsia="Times New Roman" w:cs="Times New Roman"/>
                      <w:b w:val="0"/>
                      <w:color w:val="auto"/>
                      <w:sz w:val="21"/>
                      <w:szCs w:val="21"/>
                    </w:rPr>
                  </w:pPr>
                  <w:r>
                    <w:rPr>
                      <w:rFonts w:ascii="Times New Roman" w:hAnsi="Times New Roman" w:eastAsia="Times New Roman" w:cs="Times New Roman"/>
                      <w:b w:val="0"/>
                      <w:color w:val="auto"/>
                      <w:spacing w:val="-2"/>
                      <w:sz w:val="21"/>
                      <w:szCs w:val="21"/>
                    </w:rPr>
                    <w:t>35</w:t>
                  </w:r>
                </w:p>
              </w:tc>
              <w:tc>
                <w:tcPr>
                  <w:tcW w:w="1341" w:type="dxa"/>
                  <w:tcBorders>
                    <w:bottom w:val="single" w:color="000000" w:sz="12"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sz w:val="21"/>
                      <w:szCs w:val="21"/>
                      <w:lang w:val="en-US" w:eastAsia="zh-CN"/>
                    </w:rPr>
                  </w:pPr>
                  <w:r>
                    <w:rPr>
                      <w:rFonts w:hint="eastAsia" w:ascii="Times New Roman" w:hAnsi="Times New Roman" w:eastAsia="宋体" w:cs="Times New Roman"/>
                      <w:b w:val="0"/>
                      <w:color w:val="auto"/>
                      <w:sz w:val="21"/>
                      <w:szCs w:val="21"/>
                      <w:lang w:val="en-US" w:eastAsia="zh-CN"/>
                    </w:rPr>
                    <w:t>85.7</w:t>
                  </w:r>
                </w:p>
              </w:tc>
              <w:tc>
                <w:tcPr>
                  <w:tcW w:w="1208" w:type="dxa"/>
                  <w:tcBorders>
                    <w:bottom w:val="single" w:color="000000" w:sz="12" w:space="0"/>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b w:val="0"/>
                      <w:color w:val="auto"/>
                      <w:sz w:val="21"/>
                      <w:szCs w:val="21"/>
                    </w:rPr>
                  </w:pPr>
                  <w:r>
                    <w:rPr>
                      <w:b w:val="0"/>
                      <w:color w:val="auto"/>
                      <w:spacing w:val="-2"/>
                      <w:sz w:val="21"/>
                      <w:szCs w:val="21"/>
                    </w:rPr>
                    <w:t>达标</w:t>
                  </w:r>
                </w:p>
              </w:tc>
            </w:tr>
          </w:tbl>
          <w:p>
            <w:pPr>
              <w:adjustRightInd w:val="0"/>
              <w:snapToGrid w:val="0"/>
              <w:spacing w:line="360" w:lineRule="auto"/>
              <w:ind w:firstLine="480" w:firstLineChars="200"/>
              <w:jc w:val="left"/>
              <w:rPr>
                <w:rFonts w:hint="default" w:ascii="Times New Roman" w:hAnsi="Times New Roman" w:cs="Times New Roman"/>
                <w:color w:val="FF0000"/>
                <w:sz w:val="24"/>
                <w:szCs w:val="32"/>
              </w:rPr>
            </w:pPr>
            <w:r>
              <w:rPr>
                <w:rFonts w:hint="default" w:ascii="Times New Roman" w:hAnsi="Times New Roman" w:cs="Times New Roman"/>
                <w:color w:val="auto"/>
                <w:sz w:val="24"/>
              </w:rPr>
              <w:t>根据上表可知，</w:t>
            </w:r>
            <w:r>
              <w:rPr>
                <w:rFonts w:hint="eastAsia" w:cs="Times New Roman"/>
                <w:color w:val="auto"/>
                <w:sz w:val="24"/>
                <w:lang w:val="en-US" w:eastAsia="zh-CN"/>
              </w:rPr>
              <w:t>遂宁</w:t>
            </w:r>
            <w:r>
              <w:rPr>
                <w:rFonts w:hint="default" w:ascii="Times New Roman" w:hAnsi="Times New Roman" w:cs="Times New Roman"/>
                <w:color w:val="auto"/>
                <w:sz w:val="24"/>
              </w:rPr>
              <w:t>市SO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年均浓度，O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日最大8小时均值的第90百分位数、CO日均值第95百分位数均达到《环境空气质量标准》(GB3095-2012)及其修改单二级标准，项目所在区域为达标区</w:t>
            </w:r>
            <w:r>
              <w:rPr>
                <w:rFonts w:hint="default" w:ascii="Times New Roman" w:hAnsi="Times New Roman" w:cs="Times New Roman"/>
                <w:color w:val="auto"/>
                <w:sz w:val="24"/>
                <w:szCs w:val="32"/>
              </w:rPr>
              <w:t>。</w:t>
            </w:r>
          </w:p>
          <w:p>
            <w:pPr>
              <w:adjustRightInd w:val="0"/>
              <w:snapToGrid w:val="0"/>
              <w:spacing w:line="360" w:lineRule="auto"/>
              <w:jc w:val="left"/>
              <w:rPr>
                <w:rFonts w:hint="default" w:ascii="Times New Roman" w:hAnsi="Times New Roman" w:cs="Times New Roman"/>
                <w:b/>
                <w:bCs/>
                <w:color w:val="auto"/>
                <w:sz w:val="24"/>
              </w:rPr>
            </w:pPr>
            <w:r>
              <w:rPr>
                <w:rFonts w:hint="default" w:ascii="Times New Roman" w:hAnsi="Times New Roman" w:cs="Times New Roman"/>
                <w:b/>
                <w:bCs/>
                <w:color w:val="auto"/>
                <w:sz w:val="24"/>
                <w:lang w:val="en-US" w:eastAsia="zh-CN"/>
              </w:rPr>
              <w:t>二</w:t>
            </w:r>
            <w:r>
              <w:rPr>
                <w:rFonts w:hint="default" w:ascii="Times New Roman" w:hAnsi="Times New Roman" w:cs="Times New Roman"/>
                <w:b/>
                <w:bCs/>
                <w:color w:val="auto"/>
                <w:sz w:val="24"/>
              </w:rPr>
              <w:t>、地表水环境质量</w:t>
            </w:r>
          </w:p>
          <w:p>
            <w:pPr>
              <w:adjustRightInd w:val="0"/>
              <w:snapToGrid w:val="0"/>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本项目编制报告表，根据《建设项目环境影响报告编制技术指南》（生态影响类），应优先选用国务院生态环境主管部门统一发布的水环境状况信息。</w:t>
            </w:r>
          </w:p>
          <w:p>
            <w:pPr>
              <w:adjustRightInd w:val="0"/>
              <w:snapToGrid w:val="0"/>
              <w:spacing w:line="360" w:lineRule="auto"/>
              <w:ind w:firstLine="480" w:firstLineChars="200"/>
              <w:jc w:val="left"/>
              <w:rPr>
                <w:spacing w:val="-7"/>
                <w:sz w:val="24"/>
                <w:szCs w:val="24"/>
              </w:rPr>
            </w:pPr>
            <w:r>
              <w:rPr>
                <w:rFonts w:hint="default" w:ascii="Times New Roman" w:hAnsi="Times New Roman" w:cs="Times New Roman"/>
                <w:sz w:val="24"/>
                <w:szCs w:val="24"/>
              </w:rPr>
              <w:t>根据遂宁市生态环境局2024年1月15日发布的《2023年遂宁市环境质量公告》，</w:t>
            </w:r>
            <w:r>
              <w:rPr>
                <w:rFonts w:hint="eastAsia" w:ascii="Times New Roman" w:hAnsi="Times New Roman" w:cs="Times New Roman"/>
                <w:sz w:val="24"/>
                <w:szCs w:val="24"/>
                <w:lang w:val="en-US" w:eastAsia="zh-CN"/>
              </w:rPr>
              <w:t>遂宁市水质情况如下</w:t>
            </w:r>
            <w:r>
              <w:rPr>
                <w:spacing w:val="-7"/>
                <w:sz w:val="24"/>
                <w:szCs w:val="24"/>
              </w:rPr>
              <w:t>。</w:t>
            </w:r>
          </w:p>
          <w:p>
            <w:pPr>
              <w:adjustRightInd w:val="0"/>
              <w:snapToGrid w:val="0"/>
              <w:spacing w:line="360" w:lineRule="auto"/>
              <w:ind w:firstLine="452" w:firstLineChars="200"/>
              <w:jc w:val="left"/>
              <w:rPr>
                <w:spacing w:val="-7"/>
                <w:sz w:val="24"/>
                <w:szCs w:val="24"/>
              </w:rPr>
            </w:pPr>
          </w:p>
          <w:p>
            <w:pPr>
              <w:adjustRightInd w:val="0"/>
              <w:snapToGrid w:val="0"/>
              <w:spacing w:line="360" w:lineRule="auto"/>
              <w:ind w:firstLine="452" w:firstLineChars="200"/>
              <w:jc w:val="left"/>
              <w:rPr>
                <w:spacing w:val="-7"/>
                <w:sz w:val="24"/>
                <w:szCs w:val="24"/>
              </w:rPr>
            </w:pPr>
          </w:p>
          <w:p>
            <w:pPr>
              <w:numPr>
                <w:ilvl w:val="0"/>
                <w:numId w:val="12"/>
              </w:numPr>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szCs w:val="21"/>
              </w:rPr>
              <w:t>202</w:t>
            </w:r>
            <w:r>
              <w:rPr>
                <w:rFonts w:hint="eastAsia" w:cs="Times New Roman"/>
                <w:b/>
                <w:color w:val="auto"/>
                <w:szCs w:val="21"/>
                <w:lang w:val="en-US" w:eastAsia="zh-CN"/>
              </w:rPr>
              <w:t>3</w:t>
            </w:r>
            <w:r>
              <w:rPr>
                <w:rFonts w:hint="default" w:ascii="Times New Roman" w:hAnsi="Times New Roman" w:cs="Times New Roman"/>
                <w:b/>
                <w:color w:val="auto"/>
                <w:szCs w:val="21"/>
              </w:rPr>
              <w:t>年</w:t>
            </w:r>
            <w:r>
              <w:rPr>
                <w:rFonts w:hint="eastAsia" w:cs="Times New Roman"/>
                <w:b/>
                <w:color w:val="auto"/>
                <w:szCs w:val="21"/>
                <w:lang w:val="en-US" w:eastAsia="zh-CN"/>
              </w:rPr>
              <w:t>遂宁</w:t>
            </w:r>
            <w:r>
              <w:rPr>
                <w:rFonts w:hint="default" w:ascii="Times New Roman" w:hAnsi="Times New Roman" w:cs="Times New Roman"/>
                <w:b/>
                <w:color w:val="auto"/>
                <w:szCs w:val="21"/>
                <w:lang w:val="en-US" w:eastAsia="zh-CN"/>
              </w:rPr>
              <w:t>市地表水水质评价结果</w:t>
            </w:r>
            <w:r>
              <w:rPr>
                <w:rFonts w:hint="default" w:ascii="Times New Roman" w:hAnsi="Times New Roman" w:cs="Times New Roman"/>
                <w:b/>
                <w:color w:val="auto"/>
                <w:szCs w:val="21"/>
              </w:rPr>
              <w:t>表</w:t>
            </w:r>
          </w:p>
          <w:tbl>
            <w:tblPr>
              <w:tblStyle w:val="254"/>
              <w:tblW w:w="4982" w:type="pct"/>
              <w:jc w:val="center"/>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847"/>
              <w:gridCol w:w="1191"/>
              <w:gridCol w:w="1666"/>
              <w:gridCol w:w="827"/>
              <w:gridCol w:w="1127"/>
              <w:gridCol w:w="1008"/>
              <w:gridCol w:w="888"/>
              <w:gridCol w:w="888"/>
            </w:tblGrid>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907" w:type="dxa"/>
                  <w:tcBorders>
                    <w:top w:val="single" w:color="000000" w:sz="12" w:space="0"/>
                    <w:left w:val="nil"/>
                    <w:tl2br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断面名称</w:t>
                  </w:r>
                </w:p>
              </w:tc>
              <w:tc>
                <w:tcPr>
                  <w:tcW w:w="1275" w:type="dxa"/>
                  <w:tcBorders>
                    <w:top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所在地</w:t>
                  </w:r>
                </w:p>
              </w:tc>
              <w:tc>
                <w:tcPr>
                  <w:tcW w:w="1785" w:type="dxa"/>
                  <w:tcBorders>
                    <w:top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断面类别</w:t>
                  </w:r>
                </w:p>
              </w:tc>
              <w:tc>
                <w:tcPr>
                  <w:tcW w:w="885" w:type="dxa"/>
                  <w:tcBorders>
                    <w:top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规定类别</w:t>
                  </w:r>
                </w:p>
              </w:tc>
              <w:tc>
                <w:tcPr>
                  <w:tcW w:w="1207" w:type="dxa"/>
                  <w:tcBorders>
                    <w:top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上年度类别</w:t>
                  </w:r>
                </w:p>
              </w:tc>
              <w:tc>
                <w:tcPr>
                  <w:tcW w:w="1080" w:type="dxa"/>
                  <w:tcBorders>
                    <w:top w:val="single" w:color="000000" w:sz="12" w:space="0"/>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本年度类别</w:t>
                  </w:r>
                </w:p>
              </w:tc>
              <w:tc>
                <w:tcPr>
                  <w:tcW w:w="951" w:type="dxa"/>
                  <w:tcBorders>
                    <w:top w:val="single" w:color="000000" w:sz="12" w:space="0"/>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主要污染指标/超标倍数</w:t>
                  </w:r>
                </w:p>
              </w:tc>
              <w:tc>
                <w:tcPr>
                  <w:tcW w:w="951" w:type="dxa"/>
                  <w:tcBorders>
                    <w:top w:val="single" w:color="000000" w:sz="12" w:space="0"/>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主要污染指标/超标倍数</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07" w:type="dxa"/>
                  <w:tcBorders>
                    <w:lef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红江渡口</w:t>
                  </w:r>
                </w:p>
              </w:tc>
              <w:tc>
                <w:tcPr>
                  <w:tcW w:w="127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蓬溪县</w:t>
                  </w:r>
                </w:p>
              </w:tc>
              <w:tc>
                <w:tcPr>
                  <w:tcW w:w="17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国控</w:t>
                  </w:r>
                </w:p>
              </w:tc>
              <w:tc>
                <w:tcPr>
                  <w:tcW w:w="8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1207"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1080"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07" w:type="dxa"/>
                  <w:tcBorders>
                    <w:lef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玉溪</w:t>
                  </w:r>
                </w:p>
              </w:tc>
              <w:tc>
                <w:tcPr>
                  <w:tcW w:w="127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重庆潼南</w:t>
                  </w:r>
                </w:p>
              </w:tc>
              <w:tc>
                <w:tcPr>
                  <w:tcW w:w="17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国控</w:t>
                  </w:r>
                </w:p>
              </w:tc>
              <w:tc>
                <w:tcPr>
                  <w:tcW w:w="8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1207"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1080"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Ⅱ</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b w:val="0"/>
                      <w:color w:val="auto"/>
                      <w:sz w:val="21"/>
                      <w:szCs w:val="21"/>
                      <w:lang w:val="en-US" w:eastAsia="zh-CN"/>
                    </w:rPr>
                  </w:pPr>
                  <w:r>
                    <w:rPr>
                      <w:rFonts w:hint="default" w:ascii="Times New Roman" w:hAnsi="Times New Roman" w:cs="Times New Roman"/>
                      <w:b w:val="0"/>
                      <w:color w:val="auto"/>
                      <w:sz w:val="21"/>
                      <w:szCs w:val="21"/>
                      <w:lang w:val="en-US" w:eastAsia="zh-CN"/>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07" w:type="dxa"/>
                  <w:tcBorders>
                    <w:lef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跑马滩</w:t>
                  </w:r>
                </w:p>
              </w:tc>
              <w:tc>
                <w:tcPr>
                  <w:tcW w:w="12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安居区</w:t>
                  </w:r>
                </w:p>
              </w:tc>
              <w:tc>
                <w:tcPr>
                  <w:tcW w:w="17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8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2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08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51"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07" w:type="dxa"/>
                  <w:tcBorders>
                    <w:lef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大安</w:t>
                  </w:r>
                </w:p>
              </w:tc>
              <w:tc>
                <w:tcPr>
                  <w:tcW w:w="127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安居区</w:t>
                  </w:r>
                </w:p>
              </w:tc>
              <w:tc>
                <w:tcPr>
                  <w:tcW w:w="17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88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2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080"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51"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07" w:type="dxa"/>
                  <w:tcBorders>
                    <w:lef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郪江口</w:t>
                  </w:r>
                </w:p>
              </w:tc>
              <w:tc>
                <w:tcPr>
                  <w:tcW w:w="127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大安县</w:t>
                  </w:r>
                </w:p>
              </w:tc>
              <w:tc>
                <w:tcPr>
                  <w:tcW w:w="17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8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207"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080"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07" w:type="dxa"/>
                  <w:tcBorders>
                    <w:lef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梓江大桥</w:t>
                  </w:r>
                </w:p>
              </w:tc>
              <w:tc>
                <w:tcPr>
                  <w:tcW w:w="127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射洪市</w:t>
                  </w:r>
                </w:p>
              </w:tc>
              <w:tc>
                <w:tcPr>
                  <w:tcW w:w="17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国控</w:t>
                  </w:r>
                </w:p>
              </w:tc>
              <w:tc>
                <w:tcPr>
                  <w:tcW w:w="8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207"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080"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07" w:type="dxa"/>
                  <w:tcBorders>
                    <w:lef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白鹤桥</w:t>
                  </w:r>
                </w:p>
              </w:tc>
              <w:tc>
                <w:tcPr>
                  <w:tcW w:w="127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安居区</w:t>
                  </w:r>
                </w:p>
              </w:tc>
              <w:tc>
                <w:tcPr>
                  <w:tcW w:w="17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省控（长江经济带）</w:t>
                  </w:r>
                </w:p>
              </w:tc>
              <w:tc>
                <w:tcPr>
                  <w:tcW w:w="8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207"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Ⅳ</w:t>
                  </w:r>
                </w:p>
              </w:tc>
              <w:tc>
                <w:tcPr>
                  <w:tcW w:w="1080"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07" w:type="dxa"/>
                  <w:tcBorders>
                    <w:lef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涪山坝</w:t>
                  </w:r>
                </w:p>
              </w:tc>
              <w:tc>
                <w:tcPr>
                  <w:tcW w:w="127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蓬溪县</w:t>
                  </w:r>
                </w:p>
              </w:tc>
              <w:tc>
                <w:tcPr>
                  <w:tcW w:w="17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省控（长江经济带）</w:t>
                  </w:r>
                </w:p>
              </w:tc>
              <w:tc>
                <w:tcPr>
                  <w:tcW w:w="885"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207" w:type="dxa"/>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1080"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Ⅲ</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粪大肠菌群/0.09</w:t>
                  </w:r>
                </w:p>
              </w:tc>
            </w:tr>
            <w:tr>
              <w:tblPrEx>
                <w:tblBorders>
                  <w:top w:val="single" w:color="000000" w:sz="2" w:space="0"/>
                  <w:left w:val="single" w:color="000000" w:sz="2" w:space="0"/>
                  <w:bottom w:val="single" w:color="000000" w:sz="2" w:space="0"/>
                  <w:right w:val="single" w:color="000000" w:sz="2" w:space="0"/>
                  <w:insideH w:val="single" w:color="auto" w:sz="4" w:space="0"/>
                  <w:insideV w:val="single" w:color="auto" w:sz="4" w:space="0"/>
                </w:tblBorders>
                <w:shd w:val="clear" w:color="auto" w:fill="auto"/>
                <w:tblCellMar>
                  <w:top w:w="0" w:type="dxa"/>
                  <w:left w:w="0" w:type="dxa"/>
                  <w:bottom w:w="0" w:type="dxa"/>
                  <w:right w:w="0" w:type="dxa"/>
                </w:tblCellMar>
              </w:tblPrEx>
              <w:trPr>
                <w:trHeight w:val="312" w:hRule="atLeast"/>
                <w:jc w:val="center"/>
              </w:trPr>
              <w:tc>
                <w:tcPr>
                  <w:tcW w:w="907" w:type="dxa"/>
                  <w:tcBorders>
                    <w:left w:val="nil"/>
                    <w:bottom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涪山坝</w:t>
                  </w:r>
                </w:p>
              </w:tc>
              <w:tc>
                <w:tcPr>
                  <w:tcW w:w="1275" w:type="dxa"/>
                  <w:tcBorders>
                    <w:bottom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船山区</w:t>
                  </w:r>
                </w:p>
              </w:tc>
              <w:tc>
                <w:tcPr>
                  <w:tcW w:w="1785" w:type="dxa"/>
                  <w:tcBorders>
                    <w:bottom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省控</w:t>
                  </w:r>
                </w:p>
              </w:tc>
              <w:tc>
                <w:tcPr>
                  <w:tcW w:w="885" w:type="dxa"/>
                  <w:tcBorders>
                    <w:bottom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207" w:type="dxa"/>
                  <w:tcBorders>
                    <w:bottom w:val="single" w:color="000000" w:sz="12" w:space="0"/>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1080" w:type="dxa"/>
                  <w:tcBorders>
                    <w:bottom w:val="single" w:color="000000" w:sz="12" w:space="0"/>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Ⅱ</w:t>
                  </w:r>
                </w:p>
              </w:tc>
              <w:tc>
                <w:tcPr>
                  <w:tcW w:w="951" w:type="dxa"/>
                  <w:tcBorders>
                    <w:bottom w:val="single" w:color="000000" w:sz="12" w:space="0"/>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c>
                <w:tcPr>
                  <w:tcW w:w="951" w:type="dxa"/>
                  <w:tcBorders>
                    <w:bottom w:val="single" w:color="000000" w:sz="12" w:space="0"/>
                    <w:right w:val="nil"/>
                  </w:tcBorders>
                  <w:shd w:val="clear" w:color="auto" w:fill="auto"/>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lang w:val="en-US" w:eastAsia="zh-CN" w:bidi="ar-SA"/>
                    </w:rPr>
                  </w:pPr>
                  <w:r>
                    <w:rPr>
                      <w:rFonts w:hint="default" w:ascii="Times New Roman" w:hAnsi="Times New Roman" w:eastAsia="宋体" w:cs="Times New Roman"/>
                      <w:b w:val="0"/>
                      <w:color w:val="auto"/>
                      <w:kern w:val="2"/>
                      <w:sz w:val="21"/>
                      <w:szCs w:val="21"/>
                      <w:lang w:val="en-US" w:eastAsia="zh-CN" w:bidi="ar-SA"/>
                    </w:rPr>
                    <w:t>/</w:t>
                  </w:r>
                </w:p>
              </w:tc>
            </w:tr>
          </w:tbl>
          <w:p>
            <w:pPr>
              <w:pStyle w:val="229"/>
              <w:ind w:firstLine="480"/>
              <w:rPr>
                <w:rFonts w:hint="default" w:ascii="Times New Roman" w:hAnsi="Times New Roman" w:eastAsia="宋体" w:cs="Times New Roman"/>
                <w:color w:val="FF0000"/>
                <w:sz w:val="24"/>
              </w:rPr>
            </w:pPr>
            <w:r>
              <w:rPr>
                <w:rFonts w:hint="eastAsia"/>
                <w:color w:val="auto"/>
              </w:rPr>
              <w:t>本项目</w:t>
            </w:r>
            <w:r>
              <w:rPr>
                <w:rFonts w:hint="eastAsia"/>
                <w:color w:val="auto"/>
                <w:lang w:val="en-US" w:eastAsia="zh-CN"/>
              </w:rPr>
              <w:t>为</w:t>
            </w:r>
            <w:r>
              <w:rPr>
                <w:rFonts w:hint="eastAsia"/>
                <w:color w:val="auto"/>
              </w:rPr>
              <w:t>涪江水系支流芝溪河</w:t>
            </w:r>
            <w:r>
              <w:rPr>
                <w:rFonts w:hint="eastAsia"/>
                <w:color w:val="auto"/>
                <w:lang w:val="en-US" w:eastAsia="zh-CN"/>
              </w:rPr>
              <w:t>明月镇延长段</w:t>
            </w:r>
            <w:r>
              <w:rPr>
                <w:rFonts w:hint="eastAsia"/>
                <w:color w:val="auto"/>
              </w:rPr>
              <w:t>，</w:t>
            </w:r>
            <w:r>
              <w:rPr>
                <w:rFonts w:hint="eastAsia"/>
                <w:color w:val="auto"/>
                <w:lang w:val="en-US" w:eastAsia="zh-CN"/>
              </w:rPr>
              <w:t>距离本项目最近为</w:t>
            </w:r>
            <w:r>
              <w:rPr>
                <w:rFonts w:hint="default" w:ascii="Times New Roman" w:hAnsi="Times New Roman" w:cs="Times New Roman"/>
                <w:color w:val="auto"/>
              </w:rPr>
              <w:t>《2023年遂宁市环境质量公告》</w:t>
            </w:r>
            <w:r>
              <w:rPr>
                <w:rFonts w:hint="eastAsia"/>
                <w:color w:val="auto"/>
                <w:sz w:val="24"/>
                <w:szCs w:val="24"/>
              </w:rPr>
              <w:t>中</w:t>
            </w:r>
            <w:r>
              <w:rPr>
                <w:rFonts w:hint="default" w:ascii="Times New Roman" w:hAnsi="Times New Roman" w:eastAsia="宋体" w:cs="Times New Roman"/>
                <w:b w:val="0"/>
                <w:color w:val="auto"/>
                <w:kern w:val="2"/>
                <w:sz w:val="24"/>
                <w:szCs w:val="24"/>
                <w:lang w:val="en-US" w:eastAsia="zh-CN" w:bidi="ar-SA"/>
              </w:rPr>
              <w:t>蓬溪县涪山坝</w:t>
            </w:r>
            <w:r>
              <w:rPr>
                <w:rFonts w:hint="eastAsia" w:cs="Times New Roman"/>
                <w:b w:val="0"/>
                <w:color w:val="auto"/>
                <w:kern w:val="2"/>
                <w:sz w:val="24"/>
                <w:szCs w:val="24"/>
                <w:lang w:val="en-US" w:eastAsia="zh-CN" w:bidi="ar-SA"/>
              </w:rPr>
              <w:t>断面，</w:t>
            </w:r>
            <w:r>
              <w:rPr>
                <w:rFonts w:hint="eastAsia"/>
                <w:color w:val="auto"/>
              </w:rPr>
              <w:t>由上表可知，</w:t>
            </w:r>
            <w:r>
              <w:rPr>
                <w:rFonts w:hint="eastAsia"/>
                <w:color w:val="auto"/>
                <w:lang w:val="en-US" w:eastAsia="zh-CN"/>
              </w:rPr>
              <w:t>遂宁市2023</w:t>
            </w:r>
            <w:r>
              <w:rPr>
                <w:rFonts w:hint="eastAsia"/>
                <w:color w:val="auto"/>
              </w:rPr>
              <w:t>年所有地表水考核断面水质均达到《地表水环境质量标准》（GB3838-2002）中</w:t>
            </w:r>
            <w:r>
              <w:rPr>
                <w:rFonts w:hint="eastAsia"/>
                <w:color w:val="auto"/>
                <w:lang w:val="en-US" w:eastAsia="zh-CN"/>
              </w:rPr>
              <w:t>规定类别</w:t>
            </w:r>
            <w:r>
              <w:rPr>
                <w:rFonts w:hint="eastAsia"/>
                <w:color w:val="auto"/>
              </w:rPr>
              <w:t>标准。</w:t>
            </w:r>
          </w:p>
          <w:p>
            <w:pPr>
              <w:adjustRightInd w:val="0"/>
              <w:snapToGrid w:val="0"/>
              <w:spacing w:line="360" w:lineRule="auto"/>
              <w:jc w:val="lef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、声环境质量现状</w:t>
            </w:r>
          </w:p>
          <w:p>
            <w:pPr>
              <w:adjustRightInd w:val="0"/>
              <w:snapToGrid w:val="0"/>
              <w:spacing w:line="360" w:lineRule="auto"/>
              <w:ind w:firstLine="480" w:firstLineChars="200"/>
              <w:jc w:val="left"/>
              <w:rPr>
                <w:rFonts w:hint="default" w:ascii="Times New Roman" w:hAnsi="Times New Roman" w:eastAsia="宋体" w:cs="Times New Roman"/>
                <w:color w:val="auto"/>
                <w:sz w:val="24"/>
              </w:rPr>
            </w:pPr>
            <w:bookmarkStart w:id="10" w:name="_Hlk88126157"/>
            <w:r>
              <w:rPr>
                <w:rFonts w:hint="default" w:ascii="Times New Roman" w:hAnsi="Times New Roman" w:eastAsia="宋体" w:cs="Times New Roman"/>
                <w:color w:val="auto"/>
                <w:sz w:val="24"/>
              </w:rPr>
              <w:t>根据《建设项目环境影响评价编制技术指南》（生态影响类），本项目堤防工程外侧50m范围内存在敏感目标</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参照《建设项目环境影响报告表编制技术指南》（污染影响类）相关规定开展补充</w:t>
            </w:r>
            <w:r>
              <w:rPr>
                <w:rFonts w:hint="default" w:ascii="Times New Roman" w:hAnsi="Times New Roman" w:eastAsia="宋体" w:cs="Times New Roman"/>
                <w:color w:val="auto"/>
                <w:sz w:val="24"/>
                <w:lang w:val="en-US" w:eastAsia="zh-CN"/>
              </w:rPr>
              <w:t>监测</w:t>
            </w:r>
            <w:r>
              <w:rPr>
                <w:rFonts w:hint="default" w:ascii="Times New Roman" w:hAnsi="Times New Roman" w:eastAsia="宋体" w:cs="Times New Roman"/>
                <w:color w:val="auto"/>
                <w:sz w:val="24"/>
              </w:rPr>
              <w:t>。</w:t>
            </w:r>
          </w:p>
          <w:bookmarkEnd w:id="10"/>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1、声环境质量现状监测</w:t>
            </w:r>
          </w:p>
          <w:p>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本项目委托四川省工业环境监测研究院于</w:t>
            </w:r>
            <w:r>
              <w:rPr>
                <w:rFonts w:hint="default" w:ascii="Times New Roman" w:hAnsi="Times New Roman" w:cs="Times New Roman"/>
                <w:color w:val="auto"/>
                <w:sz w:val="24"/>
              </w:rPr>
              <w:t>202</w:t>
            </w:r>
            <w:r>
              <w:rPr>
                <w:rFonts w:hint="eastAsia" w:cs="Times New Roman"/>
                <w:color w:val="auto"/>
                <w:sz w:val="24"/>
                <w:lang w:val="en-US" w:eastAsia="zh-CN"/>
              </w:rPr>
              <w:t>4</w:t>
            </w:r>
            <w:r>
              <w:rPr>
                <w:rFonts w:hint="default" w:ascii="Times New Roman" w:hAnsi="Times New Roman" w:cs="Times New Roman"/>
                <w:color w:val="auto"/>
                <w:sz w:val="24"/>
              </w:rPr>
              <w:t>年</w:t>
            </w:r>
            <w:r>
              <w:rPr>
                <w:rFonts w:hint="eastAsia" w:cs="Times New Roman"/>
                <w:color w:val="auto"/>
                <w:sz w:val="24"/>
                <w:lang w:val="en-US" w:eastAsia="zh-CN"/>
              </w:rPr>
              <w:t>5</w:t>
            </w:r>
            <w:r>
              <w:rPr>
                <w:rFonts w:hint="default" w:ascii="Times New Roman" w:hAnsi="Times New Roman" w:cs="Times New Roman"/>
                <w:color w:val="auto"/>
                <w:sz w:val="24"/>
              </w:rPr>
              <w:t>月</w:t>
            </w:r>
            <w:r>
              <w:rPr>
                <w:rFonts w:hint="eastAsia" w:cs="Times New Roman"/>
                <w:color w:val="auto"/>
                <w:sz w:val="24"/>
                <w:lang w:val="en-US" w:eastAsia="zh-CN"/>
              </w:rPr>
              <w:t>23</w:t>
            </w:r>
            <w:r>
              <w:rPr>
                <w:rFonts w:hint="default" w:ascii="Times New Roman" w:hAnsi="Times New Roman" w:cs="Times New Roman"/>
                <w:color w:val="auto"/>
                <w:sz w:val="24"/>
              </w:rPr>
              <w:t>日对本项目堤防工程两侧最近敏感点进行声环境质量监测。</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2、声环境质量现状评价</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（1）评价方法</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以等效连续A声级作为评价量，对照标准值进行分析。</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（2）评价结果</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声环境监测结果及评价见下表。</w:t>
            </w:r>
          </w:p>
          <w:p>
            <w:pPr>
              <w:widowControl/>
              <w:numPr>
                <w:ilvl w:val="0"/>
                <w:numId w:val="12"/>
              </w:numPr>
              <w:adjustRightInd w:val="0"/>
              <w:snapToGrid w:val="0"/>
              <w:jc w:val="center"/>
              <w:rPr>
                <w:rFonts w:hint="default" w:ascii="Times New Roman" w:hAnsi="Times New Roman" w:cs="Times New Roman"/>
                <w:b/>
                <w:color w:val="auto"/>
                <w:szCs w:val="18"/>
              </w:rPr>
            </w:pPr>
            <w:r>
              <w:rPr>
                <w:rFonts w:hint="default" w:ascii="Times New Roman" w:hAnsi="Times New Roman" w:cs="Times New Roman"/>
                <w:b/>
                <w:color w:val="auto"/>
                <w:szCs w:val="18"/>
              </w:rPr>
              <w:t>噪声监测结果及评价单位：dB（A）</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640"/>
              <w:gridCol w:w="2986"/>
              <w:gridCol w:w="1483"/>
              <w:gridCol w:w="1288"/>
              <w:gridCol w:w="1100"/>
              <w:gridCol w:w="9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tblHeader/>
                <w:jc w:val="center"/>
              </w:trPr>
              <w:tc>
                <w:tcPr>
                  <w:tcW w:w="377" w:type="pct"/>
                  <w:noWrap w:val="0"/>
                  <w:vAlign w:val="center"/>
                </w:tcPr>
                <w:p>
                  <w:pPr>
                    <w:pStyle w:val="32"/>
                    <w:adjustRightInd w:val="0"/>
                    <w:spacing w:before="0" w:beforeAutospacing="0" w:after="0" w:afterAutospacing="0" w:line="240" w:lineRule="auto"/>
                    <w:jc w:val="center"/>
                    <w:rPr>
                      <w:rFonts w:hint="default" w:ascii="Times New Roman" w:hAnsi="Times New Roman" w:eastAsia="宋体" w:cs="Times New Roman"/>
                      <w:b/>
                      <w:color w:val="auto"/>
                      <w:sz w:val="21"/>
                      <w:szCs w:val="21"/>
                      <w:highlight w:val="none"/>
                      <w:lang w:val="en-US" w:eastAsia="zh-CN"/>
                    </w:rPr>
                  </w:pPr>
                  <w:bookmarkStart w:id="11" w:name="_Hlk88126234"/>
                  <w:r>
                    <w:rPr>
                      <w:rFonts w:hint="eastAsia" w:ascii="Times New Roman" w:hAnsi="Times New Roman" w:cs="Times New Roman"/>
                      <w:b/>
                      <w:color w:val="auto"/>
                      <w:sz w:val="21"/>
                      <w:szCs w:val="21"/>
                      <w:highlight w:val="none"/>
                      <w:lang w:val="en-US" w:eastAsia="zh-CN"/>
                    </w:rPr>
                    <w:t>监测编号</w:t>
                  </w:r>
                </w:p>
              </w:tc>
              <w:tc>
                <w:tcPr>
                  <w:tcW w:w="1761" w:type="pct"/>
                  <w:noWrap w:val="0"/>
                  <w:vAlign w:val="center"/>
                </w:tcPr>
                <w:p>
                  <w:pPr>
                    <w:pStyle w:val="32"/>
                    <w:adjustRightInd w:val="0"/>
                    <w:spacing w:before="0" w:beforeAutospacing="0" w:after="0" w:afterAutospacing="0" w:line="240" w:lineRule="auto"/>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sz w:val="21"/>
                      <w:szCs w:val="21"/>
                      <w:highlight w:val="none"/>
                    </w:rPr>
                    <w:t>检测点位</w:t>
                  </w:r>
                </w:p>
              </w:tc>
              <w:tc>
                <w:tcPr>
                  <w:tcW w:w="874" w:type="pct"/>
                  <w:noWrap w:val="0"/>
                  <w:vAlign w:val="center"/>
                </w:tcPr>
                <w:p>
                  <w:pPr>
                    <w:pStyle w:val="32"/>
                    <w:adjustRightInd w:val="0"/>
                    <w:spacing w:before="0" w:beforeAutospacing="0" w:after="0" w:afterAutospacing="0"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检测日期</w:t>
                  </w:r>
                </w:p>
              </w:tc>
              <w:tc>
                <w:tcPr>
                  <w:tcW w:w="759" w:type="pct"/>
                  <w:noWrap w:val="0"/>
                  <w:vAlign w:val="center"/>
                </w:tcPr>
                <w:p>
                  <w:pPr>
                    <w:pStyle w:val="32"/>
                    <w:adjustRightInd w:val="0"/>
                    <w:spacing w:before="0" w:beforeAutospacing="0" w:after="0" w:afterAutospacing="0"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检测时间</w:t>
                  </w:r>
                </w:p>
              </w:tc>
              <w:tc>
                <w:tcPr>
                  <w:tcW w:w="648" w:type="pct"/>
                  <w:noWrap w:val="0"/>
                  <w:vAlign w:val="center"/>
                </w:tcPr>
                <w:p>
                  <w:pPr>
                    <w:pStyle w:val="82"/>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检测结果dB(A)</w:t>
                  </w:r>
                </w:p>
              </w:tc>
              <w:tc>
                <w:tcPr>
                  <w:tcW w:w="578" w:type="pct"/>
                  <w:noWrap w:val="0"/>
                  <w:vAlign w:val="center"/>
                </w:tcPr>
                <w:p>
                  <w:pPr>
                    <w:pStyle w:val="82"/>
                    <w:spacing w:line="240" w:lineRule="auto"/>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标准限值</w:t>
                  </w:r>
                  <w:r>
                    <w:rPr>
                      <w:rFonts w:hint="default" w:ascii="Times New Roman" w:hAnsi="Times New Roman" w:eastAsia="宋体" w:cs="Times New Roman"/>
                      <w:b/>
                      <w:color w:val="auto"/>
                      <w:sz w:val="21"/>
                      <w:szCs w:val="21"/>
                      <w:highlight w:val="none"/>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37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N1</w:t>
                  </w:r>
                </w:p>
              </w:tc>
              <w:tc>
                <w:tcPr>
                  <w:tcW w:w="1761" w:type="pct"/>
                  <w:noWrap w:val="0"/>
                  <w:vAlign w:val="center"/>
                </w:tcPr>
                <w:p>
                  <w:pPr>
                    <w:pStyle w:val="65"/>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芝溪河左一段护岸治理段东北</w:t>
                  </w:r>
                  <w:r>
                    <w:rPr>
                      <w:rFonts w:hint="eastAsia" w:cs="Times New Roman"/>
                      <w:color w:val="auto"/>
                      <w:sz w:val="21"/>
                      <w:szCs w:val="21"/>
                      <w:lang w:val="en-US" w:eastAsia="zh-CN"/>
                    </w:rPr>
                    <w:t>侧35m处居民点</w:t>
                  </w:r>
                </w:p>
              </w:tc>
              <w:tc>
                <w:tcPr>
                  <w:tcW w:w="874" w:type="pct"/>
                  <w:vMerge w:val="restart"/>
                  <w:noWrap w:val="0"/>
                  <w:vAlign w:val="center"/>
                </w:tcPr>
                <w:p>
                  <w:pPr>
                    <w:tabs>
                      <w:tab w:val="left" w:pos="1890"/>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fldChar w:fldCharType="begin"/>
                  </w:r>
                  <w:r>
                    <w:rPr>
                      <w:rFonts w:hint="default" w:ascii="Times New Roman" w:hAnsi="Times New Roman" w:eastAsia="宋体" w:cs="Times New Roman"/>
                      <w:b w:val="0"/>
                      <w:bCs/>
                      <w:color w:val="auto"/>
                      <w:kern w:val="2"/>
                      <w:sz w:val="21"/>
                      <w:szCs w:val="21"/>
                      <w:highlight w:val="none"/>
                      <w:lang w:val="en-US" w:eastAsia="zh-CN" w:bidi="ar-SA"/>
                    </w:rPr>
                    <w:instrText xml:space="preserve"> REF 日期 \h \* MERGEFORMAT</w:instrText>
                  </w:r>
                  <w:r>
                    <w:rPr>
                      <w:rFonts w:hint="default" w:ascii="Times New Roman" w:hAnsi="Times New Roman" w:eastAsia="宋体" w:cs="Times New Roman"/>
                      <w:b w:val="0"/>
                      <w:bCs/>
                      <w:color w:val="auto"/>
                      <w:kern w:val="2"/>
                      <w:sz w:val="21"/>
                      <w:szCs w:val="21"/>
                      <w:highlight w:val="none"/>
                      <w:lang w:val="en-US" w:eastAsia="zh-CN" w:bidi="ar-SA"/>
                    </w:rPr>
                    <w:fldChar w:fldCharType="separate"/>
                  </w:r>
                  <w:r>
                    <w:rPr>
                      <w:rFonts w:hint="eastAsia" w:cs="Times New Roman"/>
                      <w:b w:val="0"/>
                      <w:bCs/>
                      <w:color w:val="auto"/>
                      <w:kern w:val="2"/>
                      <w:sz w:val="21"/>
                      <w:szCs w:val="21"/>
                      <w:highlight w:val="none"/>
                      <w:lang w:val="en-US" w:eastAsia="zh-CN" w:bidi="ar-SA"/>
                    </w:rPr>
                    <w:t>5</w:t>
                  </w:r>
                  <w:r>
                    <w:rPr>
                      <w:rFonts w:hint="default" w:ascii="Times New Roman" w:hAnsi="Times New Roman" w:eastAsia="宋体" w:cs="Times New Roman"/>
                      <w:b w:val="0"/>
                      <w:bCs/>
                      <w:color w:val="auto"/>
                      <w:kern w:val="2"/>
                      <w:sz w:val="21"/>
                      <w:szCs w:val="21"/>
                      <w:highlight w:val="none"/>
                      <w:lang w:val="en-US" w:eastAsia="zh-CN" w:bidi="ar-SA"/>
                    </w:rPr>
                    <w:t>月</w:t>
                  </w:r>
                  <w:r>
                    <w:rPr>
                      <w:rFonts w:hint="eastAsia" w:cs="Times New Roman"/>
                      <w:b w:val="0"/>
                      <w:bCs/>
                      <w:color w:val="auto"/>
                      <w:kern w:val="2"/>
                      <w:sz w:val="21"/>
                      <w:szCs w:val="21"/>
                      <w:highlight w:val="none"/>
                      <w:lang w:val="en-US" w:eastAsia="zh-CN" w:bidi="ar-SA"/>
                    </w:rPr>
                    <w:t>23</w:t>
                  </w:r>
                  <w:r>
                    <w:rPr>
                      <w:rFonts w:hint="default" w:ascii="Times New Roman" w:hAnsi="Times New Roman" w:eastAsia="宋体" w:cs="Times New Roman"/>
                      <w:b w:val="0"/>
                      <w:bCs/>
                      <w:color w:val="auto"/>
                      <w:kern w:val="2"/>
                      <w:sz w:val="21"/>
                      <w:szCs w:val="21"/>
                      <w:highlight w:val="none"/>
                      <w:lang w:val="en-US" w:eastAsia="zh-CN" w:bidi="ar-SA"/>
                    </w:rPr>
                    <w:t>日</w:t>
                  </w:r>
                  <w:r>
                    <w:rPr>
                      <w:rFonts w:hint="default" w:ascii="Times New Roman" w:hAnsi="Times New Roman" w:eastAsia="宋体" w:cs="Times New Roman"/>
                      <w:b w:val="0"/>
                      <w:bCs/>
                      <w:color w:val="auto"/>
                      <w:kern w:val="2"/>
                      <w:sz w:val="21"/>
                      <w:szCs w:val="21"/>
                      <w:highlight w:val="none"/>
                      <w:lang w:val="en-US" w:eastAsia="zh-CN" w:bidi="ar-SA"/>
                    </w:rPr>
                    <w:fldChar w:fldCharType="end"/>
                  </w:r>
                </w:p>
              </w:tc>
              <w:tc>
                <w:tcPr>
                  <w:tcW w:w="759"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eastAsia" w:cs="Times New Roman"/>
                      <w:color w:val="auto"/>
                      <w:kern w:val="2"/>
                      <w:sz w:val="21"/>
                      <w:szCs w:val="21"/>
                      <w:highlight w:val="none"/>
                      <w:u w:val="none"/>
                      <w:lang w:val="en-US" w:eastAsia="zh-CN" w:bidi="ar"/>
                    </w:rPr>
                    <w:t>昼间</w:t>
                  </w:r>
                </w:p>
              </w:tc>
              <w:tc>
                <w:tcPr>
                  <w:tcW w:w="64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52</w:t>
                  </w:r>
                </w:p>
              </w:tc>
              <w:tc>
                <w:tcPr>
                  <w:tcW w:w="578" w:type="pct"/>
                  <w:vMerge w:val="restar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昼间≤</w:t>
                  </w:r>
                  <w:r>
                    <w:rPr>
                      <w:rFonts w:hint="default" w:ascii="Times New Roman" w:hAnsi="Times New Roman" w:eastAsia="宋体" w:cs="Times New Roman"/>
                      <w:color w:val="auto"/>
                      <w:sz w:val="21"/>
                      <w:szCs w:val="21"/>
                      <w:highlight w:val="no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37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N2</w:t>
                  </w:r>
                </w:p>
              </w:tc>
              <w:tc>
                <w:tcPr>
                  <w:tcW w:w="1761" w:type="pct"/>
                  <w:noWrap w:val="0"/>
                  <w:vAlign w:val="center"/>
                </w:tcPr>
                <w:p>
                  <w:pPr>
                    <w:pStyle w:val="65"/>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牛家河左岸段护岸</w:t>
                  </w:r>
                  <w:r>
                    <w:rPr>
                      <w:rFonts w:hint="eastAsia" w:cs="Times New Roman"/>
                      <w:color w:val="auto"/>
                      <w:sz w:val="21"/>
                      <w:szCs w:val="21"/>
                      <w:highlight w:val="none"/>
                      <w:lang w:val="en-US" w:eastAsia="zh-CN"/>
                    </w:rPr>
                    <w:t>治理段东</w:t>
                  </w:r>
                  <w:r>
                    <w:rPr>
                      <w:rFonts w:hint="eastAsia" w:cs="Times New Roman"/>
                      <w:color w:val="auto"/>
                      <w:sz w:val="21"/>
                      <w:szCs w:val="21"/>
                      <w:lang w:val="en-US" w:eastAsia="zh-CN"/>
                    </w:rPr>
                    <w:t>侧5m处居民点</w:t>
                  </w:r>
                </w:p>
              </w:tc>
              <w:tc>
                <w:tcPr>
                  <w:tcW w:w="874" w:type="pct"/>
                  <w:vMerge w:val="continue"/>
                  <w:noWrap w:val="0"/>
                  <w:vAlign w:val="center"/>
                </w:tcPr>
                <w:p>
                  <w:pPr>
                    <w:tabs>
                      <w:tab w:val="left" w:pos="1890"/>
                    </w:tabs>
                    <w:jc w:val="center"/>
                    <w:rPr>
                      <w:rFonts w:hint="default" w:ascii="Times New Roman" w:hAnsi="Times New Roman" w:eastAsia="宋体" w:cs="Times New Roman"/>
                      <w:color w:val="auto"/>
                      <w:kern w:val="2"/>
                      <w:sz w:val="21"/>
                      <w:szCs w:val="21"/>
                      <w:highlight w:val="none"/>
                      <w:lang w:val="en-US" w:eastAsia="zh-CN" w:bidi="ar-SA"/>
                    </w:rPr>
                  </w:pPr>
                </w:p>
              </w:tc>
              <w:tc>
                <w:tcPr>
                  <w:tcW w:w="759" w:type="pct"/>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u w:val="none"/>
                      <w:lang w:val="en-US" w:eastAsia="zh-CN" w:bidi="ar"/>
                    </w:rPr>
                  </w:pPr>
                </w:p>
              </w:tc>
              <w:tc>
                <w:tcPr>
                  <w:tcW w:w="64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5</w:t>
                  </w:r>
                  <w:r>
                    <w:rPr>
                      <w:rFonts w:hint="eastAsia" w:cs="Times New Roman"/>
                      <w:color w:val="auto"/>
                      <w:kern w:val="2"/>
                      <w:sz w:val="21"/>
                      <w:szCs w:val="21"/>
                      <w:highlight w:val="none"/>
                      <w:u w:val="none"/>
                      <w:lang w:val="en-US" w:eastAsia="zh-CN" w:bidi="ar"/>
                    </w:rPr>
                    <w:t>1</w:t>
                  </w:r>
                </w:p>
              </w:tc>
              <w:tc>
                <w:tcPr>
                  <w:tcW w:w="578" w:type="pct"/>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37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N3</w:t>
                  </w:r>
                </w:p>
              </w:tc>
              <w:tc>
                <w:tcPr>
                  <w:tcW w:w="1761" w:type="pct"/>
                  <w:noWrap w:val="0"/>
                  <w:vAlign w:val="center"/>
                </w:tcPr>
                <w:p>
                  <w:pPr>
                    <w:pStyle w:val="65"/>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芝溪河左二段护岸</w:t>
                  </w:r>
                  <w:r>
                    <w:rPr>
                      <w:rFonts w:hint="eastAsia" w:cs="Times New Roman"/>
                      <w:color w:val="auto"/>
                      <w:sz w:val="21"/>
                      <w:szCs w:val="21"/>
                      <w:highlight w:val="none"/>
                      <w:lang w:val="en-US" w:eastAsia="zh-CN"/>
                    </w:rPr>
                    <w:t>治理段东</w:t>
                  </w:r>
                  <w:r>
                    <w:rPr>
                      <w:rFonts w:hint="eastAsia" w:cs="Times New Roman"/>
                      <w:color w:val="auto"/>
                      <w:sz w:val="21"/>
                      <w:szCs w:val="21"/>
                      <w:lang w:val="en-US" w:eastAsia="zh-CN"/>
                    </w:rPr>
                    <w:t>侧7m处居民点</w:t>
                  </w:r>
                </w:p>
              </w:tc>
              <w:tc>
                <w:tcPr>
                  <w:tcW w:w="874" w:type="pct"/>
                  <w:vMerge w:val="continue"/>
                  <w:noWrap w:val="0"/>
                  <w:vAlign w:val="center"/>
                </w:tcPr>
                <w:p>
                  <w:pPr>
                    <w:tabs>
                      <w:tab w:val="left" w:pos="1890"/>
                    </w:tabs>
                    <w:jc w:val="center"/>
                    <w:rPr>
                      <w:rFonts w:hint="default" w:ascii="Times New Roman" w:hAnsi="Times New Roman" w:eastAsia="宋体" w:cs="Times New Roman"/>
                      <w:color w:val="auto"/>
                      <w:kern w:val="2"/>
                      <w:sz w:val="21"/>
                      <w:szCs w:val="21"/>
                      <w:highlight w:val="none"/>
                      <w:lang w:val="en-US" w:eastAsia="zh-CN" w:bidi="ar-SA"/>
                    </w:rPr>
                  </w:pPr>
                </w:p>
              </w:tc>
              <w:tc>
                <w:tcPr>
                  <w:tcW w:w="759" w:type="pct"/>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u w:val="none"/>
                      <w:lang w:val="en-US" w:eastAsia="zh-CN" w:bidi="ar"/>
                    </w:rPr>
                  </w:pPr>
                </w:p>
              </w:tc>
              <w:tc>
                <w:tcPr>
                  <w:tcW w:w="64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5</w:t>
                  </w:r>
                  <w:r>
                    <w:rPr>
                      <w:rFonts w:hint="eastAsia" w:cs="Times New Roman"/>
                      <w:color w:val="auto"/>
                      <w:kern w:val="2"/>
                      <w:sz w:val="21"/>
                      <w:szCs w:val="21"/>
                      <w:highlight w:val="none"/>
                      <w:u w:val="none"/>
                      <w:lang w:val="en-US" w:eastAsia="zh-CN" w:bidi="ar"/>
                    </w:rPr>
                    <w:t>2</w:t>
                  </w:r>
                </w:p>
              </w:tc>
              <w:tc>
                <w:tcPr>
                  <w:tcW w:w="578" w:type="pct"/>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377"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N4</w:t>
                  </w:r>
                </w:p>
              </w:tc>
              <w:tc>
                <w:tcPr>
                  <w:tcW w:w="1761" w:type="pct"/>
                  <w:noWrap w:val="0"/>
                  <w:vAlign w:val="center"/>
                </w:tcPr>
                <w:p>
                  <w:pPr>
                    <w:pStyle w:val="65"/>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rPr>
                    <w:t>芝溪河左三段护岸</w:t>
                  </w:r>
                  <w:r>
                    <w:rPr>
                      <w:rFonts w:hint="eastAsia" w:cs="Times New Roman"/>
                      <w:color w:val="auto"/>
                      <w:sz w:val="21"/>
                      <w:szCs w:val="21"/>
                      <w:highlight w:val="none"/>
                      <w:lang w:val="en-US" w:eastAsia="zh-CN"/>
                    </w:rPr>
                    <w:t>治理段东南</w:t>
                  </w:r>
                  <w:r>
                    <w:rPr>
                      <w:rFonts w:hint="eastAsia" w:cs="Times New Roman"/>
                      <w:color w:val="auto"/>
                      <w:sz w:val="21"/>
                      <w:szCs w:val="21"/>
                      <w:lang w:val="en-US" w:eastAsia="zh-CN"/>
                    </w:rPr>
                    <w:t>侧26m处居民点</w:t>
                  </w:r>
                </w:p>
              </w:tc>
              <w:tc>
                <w:tcPr>
                  <w:tcW w:w="874" w:type="pct"/>
                  <w:vMerge w:val="continue"/>
                  <w:noWrap w:val="0"/>
                  <w:vAlign w:val="center"/>
                </w:tcPr>
                <w:p>
                  <w:pPr>
                    <w:tabs>
                      <w:tab w:val="left" w:pos="1890"/>
                    </w:tabs>
                    <w:jc w:val="center"/>
                    <w:rPr>
                      <w:rFonts w:hint="default" w:ascii="Times New Roman" w:hAnsi="Times New Roman" w:eastAsia="宋体" w:cs="Times New Roman"/>
                      <w:color w:val="auto"/>
                      <w:kern w:val="2"/>
                      <w:sz w:val="21"/>
                      <w:szCs w:val="21"/>
                      <w:highlight w:val="none"/>
                      <w:lang w:val="en-US" w:eastAsia="zh-CN" w:bidi="ar-SA"/>
                    </w:rPr>
                  </w:pPr>
                </w:p>
              </w:tc>
              <w:tc>
                <w:tcPr>
                  <w:tcW w:w="759" w:type="pct"/>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u w:val="none"/>
                      <w:lang w:val="en-US" w:eastAsia="zh-CN" w:bidi="ar"/>
                    </w:rPr>
                  </w:pPr>
                </w:p>
              </w:tc>
              <w:tc>
                <w:tcPr>
                  <w:tcW w:w="648" w:type="pct"/>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u w:val="none"/>
                      <w:lang w:val="en-US" w:eastAsia="zh-CN" w:bidi="ar"/>
                    </w:rPr>
                  </w:pPr>
                  <w:r>
                    <w:rPr>
                      <w:rFonts w:hint="default" w:ascii="Times New Roman" w:hAnsi="Times New Roman" w:eastAsia="宋体" w:cs="Times New Roman"/>
                      <w:color w:val="auto"/>
                      <w:kern w:val="2"/>
                      <w:sz w:val="21"/>
                      <w:szCs w:val="21"/>
                      <w:highlight w:val="none"/>
                      <w:u w:val="none"/>
                      <w:lang w:val="en-US" w:eastAsia="zh-CN" w:bidi="ar"/>
                    </w:rPr>
                    <w:t>5</w:t>
                  </w:r>
                  <w:r>
                    <w:rPr>
                      <w:rFonts w:hint="eastAsia" w:cs="Times New Roman"/>
                      <w:color w:val="auto"/>
                      <w:kern w:val="2"/>
                      <w:sz w:val="21"/>
                      <w:szCs w:val="21"/>
                      <w:highlight w:val="none"/>
                      <w:u w:val="none"/>
                      <w:lang w:val="en-US" w:eastAsia="zh-CN" w:bidi="ar"/>
                    </w:rPr>
                    <w:t>1</w:t>
                  </w:r>
                </w:p>
              </w:tc>
              <w:tc>
                <w:tcPr>
                  <w:tcW w:w="578" w:type="pct"/>
                  <w:vMerge w:val="continue"/>
                  <w:noWrap w:val="0"/>
                  <w:vAlign w:val="center"/>
                </w:tcPr>
                <w:p>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highlight w:val="none"/>
                    </w:rPr>
                  </w:pPr>
                </w:p>
              </w:tc>
            </w:tr>
          </w:tbl>
          <w:p>
            <w:pPr>
              <w:widowControl/>
              <w:adjustRightInd w:val="0"/>
              <w:snapToGrid w:val="0"/>
              <w:spacing w:before="120" w:beforeLines="50"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由上表监测结果可知，</w:t>
            </w:r>
            <w:r>
              <w:rPr>
                <w:rFonts w:hint="default" w:ascii="Times New Roman" w:hAnsi="Times New Roman" w:cs="Times New Roman"/>
                <w:color w:val="auto"/>
                <w:sz w:val="24"/>
                <w:lang w:val="en-US" w:eastAsia="zh-CN"/>
              </w:rPr>
              <w:t>各点位昼夜间噪声值均满足《声环境质量标准》（GB3096-2008）表1中2类标准限值要求</w:t>
            </w:r>
            <w:r>
              <w:rPr>
                <w:rFonts w:hint="default" w:ascii="Times New Roman" w:hAnsi="Times New Roman" w:cs="Times New Roman"/>
                <w:color w:val="auto"/>
                <w:sz w:val="24"/>
              </w:rPr>
              <w:t>，项目区域声环境质量较好。</w:t>
            </w:r>
            <w:bookmarkEnd w:id="11"/>
          </w:p>
          <w:p>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四</w:t>
            </w:r>
            <w:r>
              <w:rPr>
                <w:rFonts w:hint="default" w:ascii="Times New Roman" w:hAnsi="Times New Roman" w:cs="Times New Roman"/>
                <w:b/>
                <w:bCs/>
                <w:color w:val="auto"/>
                <w:kern w:val="0"/>
                <w:sz w:val="24"/>
              </w:rPr>
              <w:t>、土壤环境质量现状</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根据《建设项目环境影响报告表编制指南》（生态影响类）（试行），土壤等其他环境要素参照环境影响评价相关技术导则开展补充监测和调查。</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本项目主要进行堤防建设，属于生态影响型项目，根据导则，本项目为Ⅳ类建设项目，可不开展土壤评价。因此，本项目土壤不进行监测。</w:t>
            </w:r>
          </w:p>
          <w:p>
            <w:pPr>
              <w:adjustRightInd w:val="0"/>
              <w:snapToGrid w:val="0"/>
              <w:spacing w:line="360" w:lineRule="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lang w:val="en-US" w:eastAsia="zh-CN"/>
              </w:rPr>
              <w:t>五</w:t>
            </w:r>
            <w:r>
              <w:rPr>
                <w:rFonts w:hint="default" w:ascii="Times New Roman" w:hAnsi="Times New Roman" w:cs="Times New Roman"/>
                <w:b/>
                <w:bCs/>
                <w:color w:val="auto"/>
                <w:kern w:val="0"/>
                <w:sz w:val="24"/>
              </w:rPr>
              <w:t>、地下水环境质量现状</w:t>
            </w:r>
          </w:p>
          <w:p>
            <w:pPr>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建设项目环境影响报告编制技术指南》（生态影响类），水的监测参照环境影响评价相关技术导则开展补充监测。根据《环境影响评价技术导则地下水环境》（HJ610-2016），本项目属于Ⅳ类项目，可不开展地下水评价。</w:t>
            </w:r>
          </w:p>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六、生态现状</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1、区域生态功能定位</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（1）主体功能区划</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A、主体功能划分</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四川省主体功能区规划》，四川省主体功能区划分为重点开发区域（国家层面、省级层面）、限制开发区域（农产品主产区、重点生态功能区）、禁止开发区域（国家层面、省级层面）。重点开发和限制开发区域原则上以县级行政区为基本单元，禁止开发区域以自然或法定边界为基本单元，分布在其他类型主体功能区域之中；按开发内容，分为城市化地区、农产品主产区和重点生态功能区；按层级，分为国家和省级两个层面。</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重点开发区域、限制开发区域和禁止开发区域，是基于不同区域的资源环境承载能力、现有开发强度和未来发展潜力，以是否适宜或如何进行大规模高强度工业化城镇化开发为基准划分的。</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城市化地区、农产品主产区和重点生态功能区，是以提供主体产品的类型为基准划分的。城市化地区是以提供工业品和服务产品为主体功能的地区，也提供农产品和生态产品；农产品主产区是以提供农产品为主体功能的地区，也提供生态产品、服务产品和部分工业品；重点生态功能区是以提供生态产品为主体功能的地区，也提供一定的农产品、服务产品和工业品。</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重点开发区域是有一定经济基础、资源环境承载能力较强、发展潜力较大、集聚人口和经济的条件较好，从而应该重点进行工业化城镇化开发的城市化地区。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限制开发区域分为两类：一类是农产品主产区，即耕地较多、农业发展条件较好，尽管也适宜工业化城镇化开发，但从保障国家农产品安全以及中华民族永续发展的需要出发，必须把增强农业综合生产能力作为发展的首要任务，从而应该限制进行大规模高强度工业化城镇化开发的地区；一类是重点生态功能区，即生态系统脆弱或生态功能重要，资源环境承载能力较低，不具备大规模高强度工业化城镇化开发的条件，必须把增强生态产品生产能力作为首要任务，从而应该限制进行大规模高强度工业化城镇化开发的地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禁止开发区域是依法设立的各级各类自然文化资源保护区域，以及其他禁止进行工业化城镇化开发、需要特殊保护的重点生态功能区。国家层面禁止开发区域，包括国家级自然保护区、世界文化自然遗产、国家森林公园、国家地质公园、国家级风景名胜区、国家重要湿地和国家湿地公园等。省级层面的禁止开发区域，包括省级及以下各级各类自然文化资源保护区域、重要水源地以及其他省级人民政府根据需要确定的禁止开发区域。</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B、本项目所处区域</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根据《四川省主体功能区划》，本项目所在区域位于</w:t>
            </w:r>
            <w:r>
              <w:rPr>
                <w:rFonts w:hint="eastAsia" w:cs="Times New Roman"/>
                <w:color w:val="auto"/>
                <w:sz w:val="24"/>
                <w:lang w:val="en-US" w:eastAsia="zh-CN"/>
              </w:rPr>
              <w:t>遂宁市蓬溪县明月镇</w:t>
            </w:r>
            <w:r>
              <w:rPr>
                <w:rFonts w:hint="default" w:ascii="Times New Roman" w:hAnsi="Times New Roman" w:cs="Times New Roman"/>
                <w:color w:val="auto"/>
                <w:sz w:val="24"/>
              </w:rPr>
              <w:t>，本项目所在区域属于限制开发区域（农产品主产区）。</w:t>
            </w:r>
          </w:p>
          <w:p>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本项目为</w:t>
            </w:r>
            <w:r>
              <w:rPr>
                <w:rFonts w:hint="default" w:ascii="Times New Roman" w:hAnsi="Times New Roman" w:cs="Times New Roman"/>
                <w:color w:val="auto"/>
                <w:sz w:val="24"/>
              </w:rPr>
              <w:t>防洪治理工程项目</w:t>
            </w:r>
            <w:r>
              <w:rPr>
                <w:rFonts w:hint="eastAsia" w:cs="Times New Roman"/>
                <w:color w:val="auto"/>
                <w:sz w:val="24"/>
                <w:lang w:eastAsia="zh-CN"/>
              </w:rPr>
              <w:t>，</w:t>
            </w:r>
            <w:r>
              <w:rPr>
                <w:rFonts w:hint="default" w:ascii="Times New Roman" w:hAnsi="Times New Roman" w:cs="Times New Roman"/>
                <w:color w:val="auto"/>
                <w:sz w:val="24"/>
              </w:rPr>
              <w:t>本项目永久占地、施工场地、</w:t>
            </w:r>
            <w:r>
              <w:rPr>
                <w:rFonts w:hint="eastAsia" w:cs="Times New Roman"/>
                <w:color w:val="auto"/>
                <w:sz w:val="24"/>
                <w:lang w:val="en-US" w:eastAsia="zh-CN"/>
              </w:rPr>
              <w:t>施工道路</w:t>
            </w:r>
            <w:r>
              <w:rPr>
                <w:rFonts w:hint="default" w:ascii="Times New Roman" w:hAnsi="Times New Roman" w:cs="Times New Roman"/>
                <w:color w:val="auto"/>
                <w:sz w:val="24"/>
              </w:rPr>
              <w:t>等临时占地均不涉及基本农田。在采取本环评提出的要求后，本项目对区域功能区的影响较小。</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（2）生态功能区划</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根据《四川省生态功能区划》和《四川省生态功能区划三级区特征一览表》，项目评价区所处生态功能区划是：</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Ⅰ四川盆地亚热带农林生态区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Ⅰ</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2盆中丘陵农林复合生态亚区</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Ⅰ</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rPr>
              <w:t>2-4涪江中下游城镇-农业生态功能区。</w:t>
            </w:r>
          </w:p>
          <w:p>
            <w:pPr>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根据《四川省生态功能区划》：</w:t>
            </w:r>
          </w:p>
          <w:p>
            <w:pPr>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①</w:t>
            </w:r>
            <w:r>
              <w:rPr>
                <w:rFonts w:hint="eastAsia" w:cs="Times New Roman"/>
                <w:b/>
                <w:bCs/>
                <w:color w:val="auto"/>
                <w:sz w:val="24"/>
                <w:lang w:val="en-US" w:eastAsia="zh-CN"/>
              </w:rPr>
              <w:t>典型</w:t>
            </w:r>
            <w:r>
              <w:rPr>
                <w:rFonts w:hint="default" w:ascii="Times New Roman" w:hAnsi="Times New Roman" w:cs="Times New Roman"/>
                <w:b/>
                <w:bCs/>
                <w:color w:val="auto"/>
                <w:sz w:val="24"/>
              </w:rPr>
              <w:t>生态</w:t>
            </w:r>
            <w:r>
              <w:rPr>
                <w:rFonts w:hint="eastAsia" w:cs="Times New Roman"/>
                <w:b/>
                <w:bCs/>
                <w:color w:val="auto"/>
                <w:sz w:val="24"/>
                <w:lang w:val="en-US" w:eastAsia="zh-CN"/>
              </w:rPr>
              <w:t>系统</w:t>
            </w:r>
            <w:r>
              <w:rPr>
                <w:rFonts w:hint="default" w:ascii="Times New Roman" w:hAnsi="Times New Roman" w:cs="Times New Roman"/>
                <w:b/>
                <w:bCs/>
                <w:color w:val="auto"/>
                <w:sz w:val="24"/>
              </w:rPr>
              <w:t>：</w:t>
            </w:r>
            <w:r>
              <w:rPr>
                <w:rFonts w:hint="default" w:ascii="Times New Roman" w:hAnsi="Times New Roman" w:cs="Times New Roman"/>
                <w:color w:val="auto"/>
                <w:sz w:val="24"/>
              </w:rPr>
              <w:t>农田、城市和水生态系统。</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②主要生态问题：</w:t>
            </w:r>
            <w:r>
              <w:rPr>
                <w:rFonts w:hint="default" w:ascii="Times New Roman" w:hAnsi="Times New Roman" w:eastAsia="宋体" w:cs="Times New Roman"/>
                <w:b w:val="0"/>
                <w:color w:val="auto"/>
                <w:spacing w:val="-1"/>
                <w:sz w:val="24"/>
                <w:szCs w:val="24"/>
              </w:rPr>
              <w:t>森林覆盖率低，水土流失，耕地垦殖过度，农村面源污染，旱灾</w:t>
            </w:r>
            <w:r>
              <w:rPr>
                <w:rFonts w:hint="eastAsia" w:ascii="Times New Roman" w:hAnsi="Times New Roman" w:eastAsia="宋体" w:cs="Times New Roman"/>
                <w:b w:val="0"/>
                <w:color w:val="auto"/>
                <w:spacing w:val="-1"/>
                <w:sz w:val="24"/>
                <w:szCs w:val="24"/>
                <w:lang w:val="en-US" w:eastAsia="zh-CN"/>
              </w:rPr>
              <w:t>频发</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③生态环境敏感性：</w:t>
            </w:r>
            <w:r>
              <w:rPr>
                <w:rFonts w:hint="default" w:ascii="Times New Roman" w:hAnsi="Times New Roman" w:eastAsia="宋体" w:cs="Times New Roman"/>
                <w:b w:val="0"/>
                <w:color w:val="auto"/>
                <w:spacing w:val="-1"/>
                <w:sz w:val="24"/>
                <w:szCs w:val="24"/>
              </w:rPr>
              <w:t>土壤侵蚀中度敏感，水环境污染高度敏感</w:t>
            </w:r>
            <w:r>
              <w:rPr>
                <w:rFonts w:hint="eastAsia" w:ascii="Times New Roman" w:hAnsi="Times New Roman" w:cs="Times New Roman"/>
                <w:b w:val="0"/>
                <w:color w:val="auto"/>
                <w:spacing w:val="-1"/>
                <w:sz w:val="24"/>
                <w:szCs w:val="24"/>
                <w:lang w:eastAsia="zh-CN"/>
              </w:rPr>
              <w:t>，</w:t>
            </w:r>
            <w:r>
              <w:rPr>
                <w:rFonts w:hint="default" w:ascii="Times New Roman" w:hAnsi="Times New Roman" w:eastAsia="宋体" w:cs="Times New Roman"/>
                <w:b w:val="0"/>
                <w:color w:val="auto"/>
                <w:spacing w:val="-1"/>
                <w:sz w:val="24"/>
                <w:szCs w:val="24"/>
              </w:rPr>
              <w:t>酸雨轻度敏感</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④生态服务功能重要性：</w:t>
            </w:r>
            <w:r>
              <w:rPr>
                <w:rFonts w:hint="default" w:ascii="Times New Roman" w:hAnsi="Times New Roman" w:eastAsia="宋体" w:cs="Times New Roman"/>
                <w:b w:val="0"/>
                <w:color w:val="auto"/>
                <w:spacing w:val="-1"/>
                <w:sz w:val="24"/>
                <w:szCs w:val="24"/>
              </w:rPr>
              <w:t>城镇与农业发展</w:t>
            </w:r>
            <w:r>
              <w:rPr>
                <w:rFonts w:hint="eastAsia" w:ascii="Times New Roman" w:hAnsi="Times New Roman" w:cs="Times New Roman"/>
                <w:b w:val="0"/>
                <w:color w:val="auto"/>
                <w:spacing w:val="-1"/>
                <w:sz w:val="24"/>
                <w:szCs w:val="24"/>
                <w:lang w:eastAsia="zh-CN"/>
              </w:rPr>
              <w:t>，</w:t>
            </w:r>
            <w:r>
              <w:rPr>
                <w:rFonts w:hint="default" w:ascii="Times New Roman" w:hAnsi="Times New Roman" w:eastAsia="宋体" w:cs="Times New Roman"/>
                <w:b w:val="0"/>
                <w:color w:val="auto"/>
                <w:spacing w:val="-1"/>
                <w:sz w:val="24"/>
                <w:szCs w:val="24"/>
              </w:rPr>
              <w:t>水</w:t>
            </w:r>
            <w:r>
              <w:rPr>
                <w:rFonts w:hint="eastAsia" w:ascii="Times New Roman" w:hAnsi="Times New Roman" w:cs="Times New Roman"/>
                <w:b w:val="0"/>
                <w:color w:val="auto"/>
                <w:spacing w:val="-1"/>
                <w:sz w:val="24"/>
                <w:szCs w:val="24"/>
                <w:lang w:val="en-US" w:eastAsia="zh-CN"/>
              </w:rPr>
              <w:t>环境</w:t>
            </w:r>
            <w:r>
              <w:rPr>
                <w:rFonts w:hint="default" w:ascii="Times New Roman" w:hAnsi="Times New Roman" w:eastAsia="宋体" w:cs="Times New Roman"/>
                <w:b w:val="0"/>
                <w:color w:val="auto"/>
                <w:spacing w:val="-1"/>
                <w:sz w:val="24"/>
                <w:szCs w:val="24"/>
              </w:rPr>
              <w:t>污染控制，</w:t>
            </w:r>
            <w:r>
              <w:rPr>
                <w:rFonts w:hint="eastAsia" w:ascii="Times New Roman" w:hAnsi="Times New Roman" w:cs="Times New Roman"/>
                <w:b w:val="0"/>
                <w:color w:val="auto"/>
                <w:spacing w:val="-1"/>
                <w:sz w:val="24"/>
                <w:szCs w:val="24"/>
                <w:lang w:val="en-US" w:eastAsia="zh-CN"/>
              </w:rPr>
              <w:t>洪</w:t>
            </w:r>
            <w:r>
              <w:rPr>
                <w:rFonts w:hint="default" w:ascii="Times New Roman" w:hAnsi="Times New Roman" w:eastAsia="宋体" w:cs="Times New Roman"/>
                <w:b w:val="0"/>
                <w:color w:val="auto"/>
                <w:spacing w:val="-1"/>
                <w:sz w:val="24"/>
                <w:szCs w:val="24"/>
              </w:rPr>
              <w:t>水调蓄</w:t>
            </w:r>
            <w:r>
              <w:rPr>
                <w:rFonts w:hint="default" w:ascii="Times New Roman" w:hAnsi="Times New Roman" w:cs="Times New Roman"/>
                <w:color w:val="auto"/>
                <w:sz w:val="24"/>
                <w:szCs w:val="24"/>
              </w:rPr>
              <w:t>。</w:t>
            </w:r>
          </w:p>
          <w:p>
            <w:pPr>
              <w:spacing w:line="360" w:lineRule="auto"/>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⑤生态保护及发展方向：</w:t>
            </w:r>
            <w:r>
              <w:rPr>
                <w:rFonts w:hint="default" w:ascii="Times New Roman" w:hAnsi="Times New Roman" w:eastAsia="宋体" w:cs="Times New Roman"/>
                <w:b w:val="0"/>
                <w:color w:val="auto"/>
                <w:spacing w:val="-1"/>
                <w:sz w:val="24"/>
                <w:szCs w:val="24"/>
              </w:rPr>
              <w:t>发挥中心城市辐射作用，发展生态农业经济</w:t>
            </w:r>
            <w:r>
              <w:rPr>
                <w:rFonts w:hint="eastAsia" w:ascii="Times New Roman" w:hAnsi="Times New Roman" w:cs="Times New Roman"/>
                <w:b w:val="0"/>
                <w:color w:val="auto"/>
                <w:spacing w:val="-1"/>
                <w:sz w:val="24"/>
                <w:szCs w:val="24"/>
                <w:lang w:eastAsia="zh-CN"/>
              </w:rPr>
              <w:t>；</w:t>
            </w:r>
            <w:r>
              <w:rPr>
                <w:rFonts w:hint="default" w:ascii="Times New Roman" w:hAnsi="Times New Roman" w:eastAsia="宋体" w:cs="Times New Roman"/>
                <w:b w:val="0"/>
                <w:color w:val="auto"/>
                <w:spacing w:val="-1"/>
                <w:sz w:val="24"/>
                <w:szCs w:val="24"/>
              </w:rPr>
              <w:t>加强基本农田保护和建设，完善水利设施，实施科学耕作法，培育替代产业。发展农业、养殖业及以农副产品为主要原料的工业。防治农村面源污染和地表径流水质污染</w:t>
            </w:r>
            <w:r>
              <w:rPr>
                <w:rFonts w:hint="default" w:ascii="Times New Roman" w:hAnsi="Times New Roman" w:cs="Times New Roman"/>
                <w:color w:val="auto"/>
                <w:sz w:val="24"/>
                <w:szCs w:val="24"/>
              </w:rPr>
              <w:t>。</w:t>
            </w:r>
          </w:p>
          <w:p>
            <w:pPr>
              <w:pStyle w:val="15"/>
              <w:keepNext w:val="0"/>
              <w:keepLines w:val="0"/>
              <w:pageBreakBefore w:val="0"/>
              <w:kinsoku/>
              <w:wordWrap/>
              <w:overflowPunct/>
              <w:topLinePunct w:val="0"/>
              <w:autoSpaceDE/>
              <w:autoSpaceDN/>
              <w:bidi w:val="0"/>
              <w:snapToGrid/>
              <w:ind w:left="0" w:firstLine="0" w:firstLineChars="0"/>
              <w:jc w:val="center"/>
              <w:rPr>
                <w:color w:val="FF0000"/>
                <w:spacing w:val="0"/>
              </w:rPr>
            </w:pPr>
            <w:r>
              <w:rPr>
                <w:color w:val="FF0000"/>
              </w:rPr>
              <mc:AlternateContent>
                <mc:Choice Requires="wps">
                  <w:drawing>
                    <wp:anchor distT="0" distB="0" distL="114300" distR="114300" simplePos="0" relativeHeight="251659264" behindDoc="0" locked="0" layoutInCell="1" allowOverlap="1">
                      <wp:simplePos x="0" y="0"/>
                      <wp:positionH relativeFrom="column">
                        <wp:posOffset>3878580</wp:posOffset>
                      </wp:positionH>
                      <wp:positionV relativeFrom="paragraph">
                        <wp:posOffset>633730</wp:posOffset>
                      </wp:positionV>
                      <wp:extent cx="1139825" cy="278765"/>
                      <wp:effectExtent l="57785" t="4445" r="21590" b="955040"/>
                      <wp:wrapNone/>
                      <wp:docPr id="25" name="矩形标注 25"/>
                      <wp:cNvGraphicFramePr/>
                      <a:graphic xmlns:a="http://schemas.openxmlformats.org/drawingml/2006/main">
                        <a:graphicData uri="http://schemas.microsoft.com/office/word/2010/wordprocessingShape">
                          <wps:wsp>
                            <wps:cNvSpPr/>
                            <wps:spPr>
                              <a:xfrm>
                                <a:off x="4265930" y="5812790"/>
                                <a:ext cx="1139825" cy="278765"/>
                              </a:xfrm>
                              <a:prstGeom prst="wedgeRectCallout">
                                <a:avLst>
                                  <a:gd name="adj1" fmla="val -53888"/>
                                  <a:gd name="adj2" fmla="val 375056"/>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
                                    <w:rPr>
                                      <w:rFonts w:hint="eastAsia" w:ascii="Helvetica" w:hAnsi="Helvetica" w:eastAsia="宋体" w:cs="Helvetica"/>
                                      <w:i w:val="0"/>
                                      <w:iCs w:val="0"/>
                                      <w:caps w:val="0"/>
                                      <w:color w:val="333333"/>
                                      <w:spacing w:val="0"/>
                                      <w:sz w:val="21"/>
                                      <w:szCs w:val="21"/>
                                      <w:shd w:val="clear" w:fill="FFFFFF"/>
                                      <w:lang w:val="en-US" w:eastAsia="zh-CN"/>
                                    </w:rPr>
                                    <w:t>项目所在地</w:t>
                                  </w:r>
                                  <w:r>
                                    <w:rPr>
                                      <w:rFonts w:ascii="Helvetica" w:hAnsi="Helvetica" w:eastAsia="Helvetica" w:cs="Helvetica"/>
                                      <w:i w:val="0"/>
                                      <w:iCs w:val="0"/>
                                      <w:caps w:val="0"/>
                                      <w:color w:val="333333"/>
                                      <w:spacing w:val="0"/>
                                      <w:sz w:val="21"/>
                                      <w:szCs w:val="21"/>
                                      <w:shd w:val="clear" w:fill="FFFFFF"/>
                                    </w:rPr>
                                    <w:t>43315.55公顷；种植园用地2823.82公顷；林地48921.27公顷；草地428.22公顷；湿地152.87公顷；城镇村及工矿用地14816.89公顷；交通运输用地2574.02公顷；水域及水利设施用地5503.55公顷。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4pt;margin-top:49.9pt;height:21.95pt;width:89.75pt;z-index:251659264;v-text-anchor:middle;mso-width-relative:page;mso-height-relative:page;" filled="f" stroked="t" coordsize="21600,21600" o:gfxdata="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WAAAAZHJzL1BLAQIUABQAAAAIAIdO4kDT1kNx&#10;1wAAAAoBAAAPAAAAAAAAAAEAIAAAADgAAABkcnMvZG93bnJldi54bWxQSwECFAAUAAAACACHTuJA&#10;DqJQbrcCAABIBQAADgAAAAAAAAABACAAAAA8AQAAZHJzL2Uyb0RvYy54bWxQSwUGAAAAAAYABgBZ&#10;AQAAZQYAAAAA&#10;" adj="-840,91812">
                      <v:fill on="f" focussize="0,0"/>
                      <v:stroke weight="0.25pt" color="#FF0000 [3204]" miterlimit="8" joinstyle="miter"/>
                      <v:imagedata o:title=""/>
                      <o:lock v:ext="edit" aspectratio="f"/>
                      <v:textbox>
                        <w:txbxContent>
                          <w:p>
                            <w:r>
                              <w:rPr>
                                <w:rFonts w:hint="eastAsia" w:ascii="Helvetica" w:hAnsi="Helvetica" w:eastAsia="宋体" w:cs="Helvetica"/>
                                <w:i w:val="0"/>
                                <w:iCs w:val="0"/>
                                <w:caps w:val="0"/>
                                <w:color w:val="333333"/>
                                <w:spacing w:val="0"/>
                                <w:sz w:val="21"/>
                                <w:szCs w:val="21"/>
                                <w:shd w:val="clear" w:fill="FFFFFF"/>
                                <w:lang w:val="en-US" w:eastAsia="zh-CN"/>
                              </w:rPr>
                              <w:t>项目所在地</w:t>
                            </w:r>
                            <w:r>
                              <w:rPr>
                                <w:rFonts w:ascii="Helvetica" w:hAnsi="Helvetica" w:eastAsia="Helvetica" w:cs="Helvetica"/>
                                <w:i w:val="0"/>
                                <w:iCs w:val="0"/>
                                <w:caps w:val="0"/>
                                <w:color w:val="333333"/>
                                <w:spacing w:val="0"/>
                                <w:sz w:val="21"/>
                                <w:szCs w:val="21"/>
                                <w:shd w:val="clear" w:fill="FFFFFF"/>
                              </w:rPr>
                              <w:t>43315.55公顷；种植园用地2823.82公顷；林地48921.27公顷；草地428.22公顷；湿地152.87公顷；城镇村及工矿用地14816.89公顷；交通运输用地2574.02公顷；水域及水利设施用地5503.55公顷。</w:t>
                            </w:r>
                          </w:p>
                        </w:txbxContent>
                      </v:textbox>
                    </v:shape>
                  </w:pict>
                </mc:Fallback>
              </mc:AlternateContent>
            </w:r>
            <w:r>
              <w:rPr>
                <w:rFonts w:hint="eastAsia"/>
                <w:color w:val="FF0000"/>
                <w:spacing w:val="0"/>
              </w:rPr>
              <w:drawing>
                <wp:inline distT="0" distB="0" distL="114300" distR="114300">
                  <wp:extent cx="4688205" cy="4022090"/>
                  <wp:effectExtent l="0" t="0" r="17145" b="16510"/>
                  <wp:docPr id="26" name="图片 26" descr="9d932e6da8331d45bd40070865a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d932e6da8331d45bd40070865a0925"/>
                          <pic:cNvPicPr>
                            <a:picLocks noChangeAspect="1"/>
                          </pic:cNvPicPr>
                        </pic:nvPicPr>
                        <pic:blipFill>
                          <a:blip r:embed="rId26"/>
                          <a:srcRect l="1521" t="584" b="1153"/>
                          <a:stretch>
                            <a:fillRect/>
                          </a:stretch>
                        </pic:blipFill>
                        <pic:spPr>
                          <a:xfrm>
                            <a:off x="0" y="0"/>
                            <a:ext cx="4688205" cy="4022090"/>
                          </a:xfrm>
                          <a:prstGeom prst="rect">
                            <a:avLst/>
                          </a:prstGeom>
                        </pic:spPr>
                      </pic:pic>
                    </a:graphicData>
                  </a:graphic>
                </wp:inline>
              </w:drawing>
            </w:r>
          </w:p>
          <w:p>
            <w:pPr>
              <w:pStyle w:val="20"/>
              <w:keepNext w:val="0"/>
              <w:keepLines w:val="0"/>
              <w:pageBreakBefore w:val="0"/>
              <w:widowControl/>
              <w:numPr>
                <w:ilvl w:val="0"/>
                <w:numId w:val="13"/>
              </w:numPr>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本工程与四川省生态功能区划位置关系图</w:t>
            </w:r>
          </w:p>
          <w:p>
            <w:pPr>
              <w:spacing w:line="360" w:lineRule="auto"/>
              <w:ind w:firstLine="476" w:firstLineChars="200"/>
              <w:rPr>
                <w:rFonts w:hint="default" w:ascii="Times New Roman" w:hAnsi="Times New Roman" w:eastAsia="宋体" w:cs="Times New Roman"/>
                <w:b w:val="0"/>
                <w:color w:val="auto"/>
                <w:spacing w:val="-1"/>
                <w:sz w:val="24"/>
                <w:szCs w:val="24"/>
              </w:rPr>
            </w:pPr>
            <w:r>
              <w:rPr>
                <w:rFonts w:hint="default" w:ascii="Times New Roman" w:hAnsi="Times New Roman" w:eastAsia="宋体" w:cs="Times New Roman"/>
                <w:b w:val="0"/>
                <w:color w:val="auto"/>
                <w:spacing w:val="-1"/>
                <w:sz w:val="24"/>
                <w:szCs w:val="24"/>
              </w:rPr>
              <w:t>本项目位于</w:t>
            </w:r>
            <w:r>
              <w:rPr>
                <w:rFonts w:hint="eastAsia" w:ascii="Times New Roman" w:hAnsi="Times New Roman" w:eastAsia="宋体" w:cs="Times New Roman"/>
                <w:b w:val="0"/>
                <w:color w:val="auto"/>
                <w:spacing w:val="-1"/>
                <w:sz w:val="24"/>
                <w:szCs w:val="24"/>
                <w:lang w:val="en-US" w:eastAsia="zh-CN"/>
              </w:rPr>
              <w:t>遂宁市蓬溪县明月镇</w:t>
            </w:r>
            <w:r>
              <w:rPr>
                <w:rFonts w:hint="default" w:ascii="Times New Roman" w:hAnsi="Times New Roman" w:eastAsia="宋体" w:cs="Times New Roman"/>
                <w:b w:val="0"/>
                <w:color w:val="auto"/>
                <w:spacing w:val="-1"/>
                <w:sz w:val="24"/>
                <w:szCs w:val="24"/>
              </w:rPr>
              <w:t>。项目主要进行河堤堤防建设，主要生态影响在施工期，在严格采取报告提出的土地复垦，迹地恢复措施、水生生态保护措施后，对区域生态环境影响较小。</w:t>
            </w:r>
          </w:p>
          <w:p>
            <w:pPr>
              <w:spacing w:line="360" w:lineRule="auto"/>
              <w:ind w:firstLine="482" w:firstLineChars="200"/>
              <w:rPr>
                <w:rFonts w:hint="default" w:ascii="Times New Roman" w:hAnsi="Times New Roman" w:cs="Times New Roman"/>
                <w:b/>
                <w:bCs/>
                <w:color w:val="auto"/>
                <w:sz w:val="24"/>
                <w:lang w:val="en-US"/>
              </w:rPr>
            </w:pPr>
            <w:r>
              <w:rPr>
                <w:rFonts w:hint="eastAsia" w:cs="Times New Roman"/>
                <w:b/>
                <w:bCs/>
                <w:color w:val="auto"/>
                <w:sz w:val="24"/>
                <w:lang w:val="en-US" w:eastAsia="zh-CN"/>
              </w:rPr>
              <w:t>2</w:t>
            </w:r>
            <w:r>
              <w:rPr>
                <w:rFonts w:hint="default" w:ascii="Times New Roman" w:hAnsi="Times New Roman" w:cs="Times New Roman"/>
                <w:b/>
                <w:bCs/>
                <w:color w:val="auto"/>
                <w:sz w:val="24"/>
                <w:lang w:eastAsia="zh-CN"/>
              </w:rPr>
              <w:t>、</w:t>
            </w:r>
            <w:r>
              <w:rPr>
                <w:rFonts w:hint="eastAsia" w:cs="Times New Roman"/>
                <w:b/>
                <w:bCs/>
                <w:color w:val="auto"/>
                <w:sz w:val="24"/>
                <w:lang w:val="en-US" w:eastAsia="zh-CN"/>
              </w:rPr>
              <w:t>生态环境</w:t>
            </w:r>
            <w:r>
              <w:rPr>
                <w:rFonts w:hint="default" w:ascii="Times New Roman" w:hAnsi="Times New Roman" w:cs="Times New Roman"/>
                <w:b/>
                <w:bCs/>
                <w:color w:val="auto"/>
                <w:sz w:val="24"/>
                <w:lang w:val="en-US" w:eastAsia="zh-CN"/>
              </w:rPr>
              <w:t>现状</w:t>
            </w:r>
          </w:p>
          <w:p>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1</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土地资源</w:t>
            </w:r>
          </w:p>
          <w:p>
            <w:pPr>
              <w:spacing w:line="360" w:lineRule="auto"/>
              <w:ind w:firstLine="476" w:firstLineChars="200"/>
              <w:rPr>
                <w:rFonts w:hint="default" w:ascii="Times New Roman" w:hAnsi="Times New Roman" w:eastAsia="宋体" w:cs="Times New Roman"/>
                <w:b w:val="0"/>
                <w:color w:val="auto"/>
                <w:spacing w:val="-1"/>
                <w:sz w:val="24"/>
                <w:szCs w:val="24"/>
                <w:lang w:eastAsia="zh-CN"/>
              </w:rPr>
            </w:pPr>
            <w:r>
              <w:rPr>
                <w:rFonts w:hint="default" w:ascii="Times New Roman" w:hAnsi="Times New Roman" w:eastAsia="宋体" w:cs="Times New Roman"/>
                <w:b w:val="0"/>
                <w:color w:val="auto"/>
                <w:spacing w:val="-1"/>
                <w:sz w:val="24"/>
                <w:szCs w:val="24"/>
              </w:rPr>
              <w:t>蓬溪县共有耕地43315.55公顷；种植园用地2823.82公顷；林地48921.27公顷；草地428.22公顷；湿地152.87公顷；城镇村及工矿用地14816.89公顷；交通运输用地2574.02公顷；水域及水利设施用地5503.55公顷。</w:t>
            </w:r>
          </w:p>
          <w:p>
            <w:pPr>
              <w:spacing w:line="360" w:lineRule="auto"/>
              <w:ind w:firstLine="482" w:firstLineChars="200"/>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lang w:eastAsia="zh-CN"/>
              </w:rPr>
              <w:t>）</w:t>
            </w:r>
            <w:r>
              <w:rPr>
                <w:rFonts w:hint="default" w:ascii="Times New Roman" w:hAnsi="Times New Roman" w:cs="Times New Roman"/>
                <w:b/>
                <w:bCs/>
                <w:color w:val="auto"/>
                <w:sz w:val="24"/>
                <w:lang w:val="en-US" w:eastAsia="zh-CN"/>
              </w:rPr>
              <w:t>水资源</w:t>
            </w:r>
          </w:p>
          <w:p>
            <w:pPr>
              <w:spacing w:line="360" w:lineRule="auto"/>
              <w:ind w:firstLine="476" w:firstLineChars="200"/>
              <w:rPr>
                <w:rFonts w:hint="default" w:ascii="Times New Roman" w:hAnsi="Times New Roman" w:eastAsia="宋体" w:cs="Times New Roman"/>
                <w:b w:val="0"/>
                <w:color w:val="auto"/>
                <w:spacing w:val="-1"/>
                <w:sz w:val="24"/>
                <w:szCs w:val="24"/>
                <w:lang w:eastAsia="zh-CN"/>
              </w:rPr>
            </w:pPr>
            <w:r>
              <w:rPr>
                <w:rFonts w:hint="default" w:ascii="Times New Roman" w:hAnsi="Times New Roman" w:eastAsia="宋体" w:cs="Times New Roman"/>
                <w:b w:val="0"/>
                <w:color w:val="auto"/>
                <w:spacing w:val="-1"/>
                <w:sz w:val="24"/>
                <w:szCs w:val="24"/>
              </w:rPr>
              <w:t>蓬溪县境内大小河流214条，总长1013千米，10千米以上的15条。河网密度0.77千米/平方千米。水系呈平行状，格网状和树枝状，东南部蓬南镇境内的中和河、东保河和翻身乡、黄泥乡境内部分溪河流入嘉陵江属嘉陵江水系，其余镇乡河流流入涪江，属涪江水系。</w:t>
            </w:r>
          </w:p>
          <w:p>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3</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陆生生态现状</w:t>
            </w:r>
          </w:p>
          <w:p>
            <w:pPr>
              <w:spacing w:line="360" w:lineRule="auto"/>
              <w:ind w:firstLine="480" w:firstLineChars="200"/>
              <w:rPr>
                <w:rFonts w:hint="eastAsia" w:ascii="Times New Roman" w:hAnsi="Times New Roman" w:cs="Times New Roman"/>
                <w:b w:val="0"/>
                <w:bCs w:val="0"/>
                <w:color w:val="auto"/>
                <w:sz w:val="24"/>
              </w:rPr>
            </w:pPr>
            <w:r>
              <w:rPr>
                <w:rFonts w:hint="default" w:ascii="Times New Roman" w:hAnsi="Times New Roman" w:cs="Times New Roman"/>
                <w:b w:val="0"/>
                <w:bCs w:val="0"/>
                <w:color w:val="auto"/>
                <w:sz w:val="24"/>
              </w:rPr>
              <w:t>工程区地处</w:t>
            </w:r>
            <w:r>
              <w:rPr>
                <w:rFonts w:hint="eastAsia" w:ascii="Times New Roman" w:hAnsi="Times New Roman" w:cs="Times New Roman"/>
                <w:b w:val="0"/>
                <w:bCs w:val="0"/>
                <w:color w:val="auto"/>
                <w:sz w:val="24"/>
              </w:rPr>
              <w:t>城镇边缘</w:t>
            </w:r>
            <w:r>
              <w:rPr>
                <w:rFonts w:hint="default" w:ascii="Times New Roman" w:hAnsi="Times New Roman" w:cs="Times New Roman"/>
                <w:b w:val="0"/>
                <w:bCs w:val="0"/>
                <w:color w:val="auto"/>
                <w:sz w:val="24"/>
              </w:rPr>
              <w:t>，人类活动频繁，生态环境受人类活动影响明显。经现场调查，</w:t>
            </w:r>
            <w:r>
              <w:rPr>
                <w:rFonts w:hint="eastAsia" w:ascii="Times New Roman" w:hAnsi="Times New Roman" w:cs="Times New Roman"/>
                <w:b w:val="0"/>
                <w:bCs w:val="0"/>
                <w:color w:val="auto"/>
                <w:sz w:val="24"/>
              </w:rPr>
              <w:t>新建生态河堤内侧为河滩地及耕地，</w:t>
            </w:r>
            <w:r>
              <w:rPr>
                <w:rFonts w:hint="default" w:ascii="Times New Roman" w:hAnsi="Times New Roman" w:cs="Times New Roman"/>
                <w:b w:val="0"/>
                <w:bCs w:val="0"/>
                <w:color w:val="auto"/>
                <w:sz w:val="24"/>
              </w:rPr>
              <w:t>评价区野生动物品种及数量极少，常见的有鼠、蛇及常见鸟类，</w:t>
            </w:r>
            <w:r>
              <w:rPr>
                <w:rFonts w:hint="eastAsia" w:ascii="Times New Roman" w:hAnsi="Times New Roman" w:cs="Times New Roman"/>
                <w:b w:val="0"/>
                <w:bCs w:val="0"/>
                <w:color w:val="auto"/>
                <w:sz w:val="24"/>
              </w:rPr>
              <w:t>调查区未发现国家级和四川省级重点保护野生动物，也未发现珍稀濒危动物。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eastAsia"/>
                <w:color w:val="000000" w:themeColor="text1"/>
                <w:sz w:val="24"/>
                <w:szCs w:val="24"/>
                <w14:textFill>
                  <w14:solidFill>
                    <w14:schemeClr w14:val="tx1"/>
                  </w14:solidFill>
                </w14:textFill>
              </w:rPr>
              <w:t>据现场踏勘，项目评价区域内无需特殊保护的名木古树及珍稀动植物。</w:t>
            </w:r>
          </w:p>
          <w:p>
            <w:pPr>
              <w:spacing w:line="360" w:lineRule="auto"/>
              <w:ind w:firstLine="482" w:firstLineChars="200"/>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4</w:t>
            </w:r>
            <w:r>
              <w:rPr>
                <w:rFonts w:hint="default" w:ascii="Times New Roman" w:hAnsi="Times New Roman" w:cs="Times New Roman"/>
                <w:b/>
                <w:bCs/>
                <w:color w:val="auto"/>
                <w:sz w:val="24"/>
                <w:lang w:val="en-US" w:eastAsia="zh-CN"/>
              </w:rPr>
              <w:t>、水生生态现状</w:t>
            </w:r>
          </w:p>
          <w:p>
            <w:pPr>
              <w:spacing w:line="360" w:lineRule="auto"/>
              <w:ind w:firstLine="480" w:firstLineChars="200"/>
              <w:rPr>
                <w:rFonts w:hint="default" w:ascii="Times New Roman" w:hAnsi="Times New Roman" w:cs="Times New Roman"/>
                <w:color w:val="FF0000"/>
                <w:kern w:val="0"/>
                <w:sz w:val="24"/>
              </w:rPr>
            </w:pPr>
            <w:r>
              <w:rPr>
                <w:rFonts w:hint="eastAsia" w:ascii="Times New Roman" w:hAnsi="Times New Roman" w:cs="Times New Roman"/>
                <w:b w:val="0"/>
                <w:bCs w:val="0"/>
                <w:color w:val="auto"/>
                <w:sz w:val="24"/>
              </w:rPr>
              <w:t>蓬溪县鱼类主要有鲫鱼、鲤鱼、草鱼、鲢鱼、鳝鱼、黄腊丁、乌龟、鳖鱼、白鲢、虾等10多种，本工程所在的芝溪河主要鱼类为鲫鱼、鲤鱼、草鱼、鲢鱼、鳝鱼等，近年来，随着农村、城镇的发展，工矿企业、生活污水排放增多，加上酷渔滥捕和严重的炸鱼、毒鱼，使芝溪河鱼类资源减少。本次调查未发现国家级、四川省级保护鱼类，不涉及重要水生生物的自然产卵场及索饵场、越冬场和洄游通道；不涉及天然渔场等渔业水体，不涉及水产种质资源保护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5" w:hRule="atLeast"/>
          <w:jc w:val="center"/>
        </w:trPr>
        <w:tc>
          <w:tcPr>
            <w:tcW w:w="463" w:type="dxa"/>
            <w:vAlign w:val="center"/>
          </w:tcPr>
          <w:p>
            <w:pPr>
              <w:adjustRightInd w:val="0"/>
              <w:snapToGrid w:val="0"/>
              <w:jc w:val="center"/>
              <w:rPr>
                <w:rFonts w:hint="default" w:ascii="Times New Roman" w:hAnsi="Times New Roman" w:cs="Times New Roman"/>
                <w:color w:val="FF0000"/>
                <w:kern w:val="0"/>
                <w:sz w:val="24"/>
              </w:rPr>
            </w:pPr>
            <w:r>
              <w:rPr>
                <w:rFonts w:hint="default" w:ascii="Times New Roman" w:hAnsi="Times New Roman" w:cs="Times New Roman"/>
                <w:color w:val="auto"/>
                <w:kern w:val="0"/>
                <w:sz w:val="24"/>
              </w:rPr>
              <w:t>与项目有关的原有环境污染和生态破坏问题</w:t>
            </w:r>
          </w:p>
        </w:tc>
        <w:tc>
          <w:tcPr>
            <w:tcW w:w="8694" w:type="dxa"/>
            <w:vAlign w:val="center"/>
          </w:tcPr>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1、原有环境污染和生态破坏问题</w:t>
            </w:r>
          </w:p>
          <w:p>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000000" w:themeColor="text1"/>
                <w:sz w:val="24"/>
                <w:lang w:val="en-US" w:eastAsia="zh-CN"/>
                <w14:textFill>
                  <w14:solidFill>
                    <w14:schemeClr w14:val="tx1"/>
                  </w14:solidFill>
                </w14:textFill>
              </w:rPr>
              <w:t>通过现场踏勘，工程段</w:t>
            </w:r>
            <w:r>
              <w:rPr>
                <w:rFonts w:hint="default" w:ascii="Times New Roman" w:hAnsi="Times New Roman" w:cs="Times New Roman"/>
                <w:color w:val="auto"/>
                <w:sz w:val="24"/>
                <w:lang w:val="en-US" w:eastAsia="zh-CN"/>
              </w:rPr>
              <w:t>河道上下游已建2段护岸，其中右岸：从青岗坝的望江楼桥至明月场镇的明月大桥；左岸：从望江楼下游270m山嘴处至明月场镇明月大桥的上游280m。护岸为近年新建，现场看来外观良好，但护岸均结束于明月场镇的明月大桥上游，未形成防洪封闭圈，对明月场镇和场镇对岸高洞村的居民及农田，仍然存在洪水威胁。</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工程河段未形成封闭的防洪体系，呈开敞之势，一旦发生洪水，洪水将有可能从上游地势低洼处进入集镇，严重威胁人民生命财产安全。</w:t>
            </w:r>
          </w:p>
          <w:p>
            <w:pPr>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eastAsia="zh-CN"/>
              </w:rPr>
              <w:t>蓬溪县芝溪河明月镇延长段防洪治理工程</w:t>
            </w:r>
            <w:r>
              <w:rPr>
                <w:rFonts w:hint="default" w:ascii="Times New Roman" w:hAnsi="Times New Roman" w:cs="Times New Roman"/>
                <w:color w:val="auto"/>
                <w:sz w:val="24"/>
              </w:rPr>
              <w:t>的实施，将形成完整的防洪保护圈，将进一步完善</w:t>
            </w:r>
            <w:r>
              <w:rPr>
                <w:rFonts w:hint="eastAsia" w:cs="Times New Roman"/>
                <w:color w:val="auto"/>
                <w:sz w:val="24"/>
                <w:lang w:val="en-US" w:eastAsia="zh-CN"/>
              </w:rPr>
              <w:t>明月</w:t>
            </w:r>
            <w:r>
              <w:rPr>
                <w:rFonts w:hint="default" w:ascii="Times New Roman" w:hAnsi="Times New Roman" w:cs="Times New Roman"/>
                <w:color w:val="auto"/>
                <w:sz w:val="24"/>
                <w:lang w:val="en-US" w:eastAsia="zh-CN"/>
              </w:rPr>
              <w:t>镇</w:t>
            </w:r>
            <w:r>
              <w:rPr>
                <w:rFonts w:hint="default" w:ascii="Times New Roman" w:hAnsi="Times New Roman" w:cs="Times New Roman"/>
                <w:color w:val="auto"/>
                <w:sz w:val="24"/>
              </w:rPr>
              <w:t>的防洪体系，充分发挥防洪效益，改善乡镇发展环境和生态环境，为当地经济发展注入新的活力。</w:t>
            </w:r>
          </w:p>
          <w:tbl>
            <w:tblPr>
              <w:tblStyle w:val="3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39"/>
              <w:gridCol w:w="42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39" w:type="dxa"/>
                  <w:vAlign w:val="center"/>
                </w:tcPr>
                <w:p>
                  <w:pPr>
                    <w:pStyle w:val="12"/>
                    <w:spacing w:line="240" w:lineRule="auto"/>
                    <w:ind w:left="0" w:leftChars="0" w:firstLine="0" w:firstLineChars="0"/>
                    <w:jc w:val="center"/>
                    <w:rPr>
                      <w:rFonts w:hint="eastAsia" w:ascii="Times New Roman" w:hAnsi="Times New Roman" w:eastAsia="宋体" w:cs="Times New Roman"/>
                      <w:color w:val="FF0000"/>
                      <w:sz w:val="24"/>
                      <w:szCs w:val="24"/>
                      <w:lang w:eastAsia="zh-CN"/>
                    </w:rPr>
                  </w:pPr>
                  <w:r>
                    <w:drawing>
                      <wp:inline distT="0" distB="0" distL="0" distR="0">
                        <wp:extent cx="2520315" cy="1649730"/>
                        <wp:effectExtent l="0" t="0" r="13335" b="7620"/>
                        <wp:docPr id="12648410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841022" name="图片 1"/>
                                <pic:cNvPicPr>
                                  <a:picLocks noChangeAspect="1"/>
                                </pic:cNvPicPr>
                              </pic:nvPicPr>
                              <pic:blipFill>
                                <a:blip r:embed="rId27"/>
                                <a:stretch>
                                  <a:fillRect/>
                                </a:stretch>
                              </pic:blipFill>
                              <pic:spPr>
                                <a:xfrm>
                                  <a:off x="0" y="0"/>
                                  <a:ext cx="2520315" cy="1649730"/>
                                </a:xfrm>
                                <a:prstGeom prst="rect">
                                  <a:avLst/>
                                </a:prstGeom>
                              </pic:spPr>
                            </pic:pic>
                          </a:graphicData>
                        </a:graphic>
                      </wp:inline>
                    </w:drawing>
                  </w:r>
                </w:p>
              </w:tc>
              <w:tc>
                <w:tcPr>
                  <w:tcW w:w="4239" w:type="dxa"/>
                  <w:vAlign w:val="center"/>
                </w:tcPr>
                <w:p>
                  <w:pPr>
                    <w:pStyle w:val="12"/>
                    <w:keepNext w:val="0"/>
                    <w:keepLines w:val="0"/>
                    <w:pageBreakBefore w:val="0"/>
                    <w:widowControl/>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cs="Times New Roman"/>
                      <w:color w:val="FF0000"/>
                      <w:sz w:val="24"/>
                      <w:szCs w:val="24"/>
                    </w:rPr>
                  </w:pPr>
                  <w:r>
                    <w:drawing>
                      <wp:inline distT="0" distB="0" distL="0" distR="0">
                        <wp:extent cx="2678430" cy="1649095"/>
                        <wp:effectExtent l="0" t="0" r="7620" b="8255"/>
                        <wp:docPr id="499925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25409" name="图片 1"/>
                                <pic:cNvPicPr>
                                  <a:picLocks noChangeAspect="1"/>
                                </pic:cNvPicPr>
                              </pic:nvPicPr>
                              <pic:blipFill>
                                <a:blip r:embed="rId28"/>
                                <a:stretch>
                                  <a:fillRect/>
                                </a:stretch>
                              </pic:blipFill>
                              <pic:spPr>
                                <a:xfrm>
                                  <a:off x="0" y="0"/>
                                  <a:ext cx="2678430" cy="164909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jc w:val="center"/>
              </w:trPr>
              <w:tc>
                <w:tcPr>
                  <w:tcW w:w="4239" w:type="dxa"/>
                  <w:vAlign w:val="center"/>
                </w:tcPr>
                <w:p>
                  <w:pPr>
                    <w:pStyle w:val="12"/>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明月大桥下游芝溪河左岸现状图</w:t>
                  </w:r>
                </w:p>
              </w:tc>
              <w:tc>
                <w:tcPr>
                  <w:tcW w:w="4239" w:type="dxa"/>
                  <w:vAlign w:val="center"/>
                </w:tcPr>
                <w:p>
                  <w:pPr>
                    <w:pStyle w:val="12"/>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牛家河左岸现状</w:t>
                  </w:r>
                </w:p>
              </w:tc>
            </w:tr>
          </w:tbl>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2、整改措施</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auto"/>
                <w:sz w:val="24"/>
              </w:rPr>
              <w:t>本项目主要对河道堤防进行新建</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以及排涝箱涵、涵管建设，</w:t>
            </w:r>
            <w:r>
              <w:rPr>
                <w:rFonts w:hint="default" w:ascii="Times New Roman" w:hAnsi="Times New Roman" w:cs="Times New Roman"/>
                <w:color w:val="auto"/>
                <w:sz w:val="24"/>
              </w:rPr>
              <w:t>通过新建该段堤防工程，改善</w:t>
            </w:r>
            <w:r>
              <w:rPr>
                <w:rFonts w:hint="eastAsia" w:cs="Times New Roman"/>
                <w:color w:val="auto"/>
                <w:sz w:val="24"/>
                <w:lang w:val="en-US" w:eastAsia="zh-CN"/>
              </w:rPr>
              <w:t>明月</w:t>
            </w:r>
            <w:r>
              <w:rPr>
                <w:rFonts w:hint="default" w:ascii="Times New Roman" w:hAnsi="Times New Roman" w:cs="Times New Roman"/>
                <w:color w:val="auto"/>
                <w:sz w:val="24"/>
                <w:lang w:val="en-US" w:eastAsia="zh-CN"/>
              </w:rPr>
              <w:t>镇</w:t>
            </w:r>
            <w:r>
              <w:rPr>
                <w:rFonts w:hint="default" w:ascii="Times New Roman" w:hAnsi="Times New Roman" w:cs="Times New Roman"/>
                <w:color w:val="auto"/>
                <w:sz w:val="24"/>
              </w:rPr>
              <w:t>防洪现状提高防洪能力。该段河堤建成后能形成单完整的防洪封闭圈，达到防御</w:t>
            </w:r>
            <w:r>
              <w:rPr>
                <w:rFonts w:hint="default" w:ascii="Times New Roman" w:hAnsi="Times New Roman" w:cs="Times New Roman"/>
                <w:color w:val="auto"/>
                <w:sz w:val="24"/>
                <w:lang w:val="en-US" w:eastAsia="zh-CN"/>
              </w:rPr>
              <w:t>1</w:t>
            </w:r>
            <w:r>
              <w:rPr>
                <w:rFonts w:hint="eastAsia" w:cs="Times New Roman"/>
                <w:color w:val="auto"/>
                <w:sz w:val="24"/>
                <w:lang w:val="en-US" w:eastAsia="zh-CN"/>
              </w:rPr>
              <w:t>0</w:t>
            </w:r>
            <w:r>
              <w:rPr>
                <w:rFonts w:hint="default" w:ascii="Times New Roman" w:hAnsi="Times New Roman" w:cs="Times New Roman"/>
                <w:color w:val="auto"/>
                <w:sz w:val="24"/>
              </w:rPr>
              <w:t>年一遇洪水的能力。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463" w:type="dxa"/>
            <w:vAlign w:val="center"/>
          </w:tcPr>
          <w:p>
            <w:pPr>
              <w:adjustRightInd w:val="0"/>
              <w:snapToGrid w:val="0"/>
              <w:jc w:val="center"/>
              <w:rPr>
                <w:rFonts w:hint="default" w:ascii="Times New Roman" w:hAnsi="Times New Roman" w:cs="Times New Roman"/>
                <w:color w:val="FF0000"/>
                <w:kern w:val="0"/>
                <w:szCs w:val="21"/>
              </w:rPr>
            </w:pPr>
            <w:r>
              <w:rPr>
                <w:rFonts w:hint="default" w:ascii="Times New Roman" w:hAnsi="Times New Roman" w:cs="Times New Roman"/>
                <w:color w:val="auto"/>
                <w:kern w:val="0"/>
                <w:sz w:val="24"/>
              </w:rPr>
              <w:t>生态环境保护目标</w:t>
            </w:r>
          </w:p>
        </w:tc>
        <w:tc>
          <w:tcPr>
            <w:tcW w:w="8694" w:type="dxa"/>
            <w:vAlign w:val="center"/>
          </w:tcPr>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1、大气环境</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本项目环境空气保护目标为厂界外500m范围内的敏感点，具体如下表所示。</w:t>
            </w:r>
          </w:p>
          <w:p>
            <w:pPr>
              <w:widowControl/>
              <w:numPr>
                <w:ilvl w:val="0"/>
                <w:numId w:val="12"/>
              </w:numPr>
              <w:adjustRightInd w:val="0"/>
              <w:snapToGrid w:val="0"/>
              <w:jc w:val="center"/>
              <w:rPr>
                <w:rFonts w:hint="default" w:ascii="Times New Roman" w:hAnsi="Times New Roman" w:eastAsia="宋体" w:cs="Times New Roman"/>
                <w:b/>
                <w:color w:val="auto"/>
                <w:szCs w:val="18"/>
                <w:lang w:val="en-US" w:eastAsia="zh-CN"/>
              </w:rPr>
            </w:pPr>
            <w:r>
              <w:rPr>
                <w:rFonts w:hint="default" w:ascii="Times New Roman" w:hAnsi="Times New Roman" w:eastAsia="宋体" w:cs="Times New Roman"/>
                <w:b/>
                <w:color w:val="auto"/>
                <w:szCs w:val="18"/>
                <w:lang w:val="en-US" w:eastAsia="zh-CN"/>
              </w:rPr>
              <w:t>本项目大气环境主要保护目标</w:t>
            </w:r>
          </w:p>
          <w:tbl>
            <w:tblPr>
              <w:tblStyle w:val="3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253"/>
              <w:gridCol w:w="2639"/>
              <w:gridCol w:w="1285"/>
              <w:gridCol w:w="1299"/>
              <w:gridCol w:w="13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Align w:val="center"/>
                </w:tcPr>
                <w:p>
                  <w:pPr>
                    <w:pStyle w:val="239"/>
                    <w:jc w:val="center"/>
                    <w:rPr>
                      <w:rFonts w:hint="default" w:ascii="Times New Roman" w:hAnsi="Times New Roman" w:cs="Times New Roman"/>
                      <w:b/>
                      <w:bCs/>
                      <w:color w:val="auto"/>
                    </w:rPr>
                  </w:pPr>
                  <w:r>
                    <w:rPr>
                      <w:rFonts w:hint="default" w:ascii="Times New Roman" w:hAnsi="Times New Roman" w:cs="Times New Roman"/>
                      <w:b/>
                      <w:bCs/>
                      <w:color w:val="auto"/>
                    </w:rPr>
                    <w:t>环境</w:t>
                  </w:r>
                </w:p>
                <w:p>
                  <w:pPr>
                    <w:pStyle w:val="239"/>
                    <w:jc w:val="center"/>
                    <w:rPr>
                      <w:rFonts w:hint="default" w:ascii="Times New Roman" w:hAnsi="Times New Roman" w:cs="Times New Roman"/>
                      <w:b/>
                      <w:bCs/>
                      <w:color w:val="auto"/>
                      <w:kern w:val="0"/>
                    </w:rPr>
                  </w:pPr>
                  <w:r>
                    <w:rPr>
                      <w:rFonts w:hint="default" w:ascii="Times New Roman" w:hAnsi="Times New Roman" w:cs="Times New Roman"/>
                      <w:b/>
                      <w:bCs/>
                      <w:color w:val="auto"/>
                    </w:rPr>
                    <w:t>要素</w:t>
                  </w:r>
                </w:p>
              </w:tc>
              <w:tc>
                <w:tcPr>
                  <w:tcW w:w="738" w:type="pct"/>
                  <w:vAlign w:val="center"/>
                </w:tcPr>
                <w:p>
                  <w:pPr>
                    <w:pStyle w:val="239"/>
                    <w:jc w:val="center"/>
                    <w:rPr>
                      <w:rFonts w:hint="default" w:ascii="Times New Roman" w:hAnsi="Times New Roman" w:cs="Times New Roman"/>
                      <w:b/>
                      <w:bCs/>
                      <w:color w:val="auto"/>
                      <w:kern w:val="0"/>
                    </w:rPr>
                  </w:pPr>
                  <w:r>
                    <w:rPr>
                      <w:rFonts w:hint="default" w:ascii="Times New Roman" w:hAnsi="Times New Roman" w:cs="Times New Roman"/>
                      <w:b/>
                      <w:bCs/>
                      <w:color w:val="auto"/>
                    </w:rPr>
                    <w:t>名称</w:t>
                  </w:r>
                </w:p>
              </w:tc>
              <w:tc>
                <w:tcPr>
                  <w:tcW w:w="1556" w:type="pct"/>
                  <w:vAlign w:val="center"/>
                </w:tcPr>
                <w:p>
                  <w:pPr>
                    <w:pStyle w:val="239"/>
                    <w:jc w:val="center"/>
                    <w:rPr>
                      <w:rFonts w:hint="default" w:ascii="Times New Roman" w:hAnsi="Times New Roman" w:eastAsia="宋体" w:cs="Times New Roman"/>
                      <w:b/>
                      <w:bCs/>
                      <w:color w:val="auto"/>
                      <w:kern w:val="0"/>
                      <w:lang w:val="en-US" w:eastAsia="zh-CN"/>
                    </w:rPr>
                  </w:pPr>
                  <w:r>
                    <w:rPr>
                      <w:rFonts w:hint="default" w:ascii="Times New Roman" w:hAnsi="Times New Roman" w:cs="Times New Roman"/>
                      <w:b/>
                      <w:bCs/>
                      <w:color w:val="auto"/>
                    </w:rPr>
                    <w:t>相对项目线路方位</w:t>
                  </w:r>
                </w:p>
              </w:tc>
              <w:tc>
                <w:tcPr>
                  <w:tcW w:w="757" w:type="pct"/>
                  <w:vAlign w:val="center"/>
                </w:tcPr>
                <w:p>
                  <w:pPr>
                    <w:pStyle w:val="239"/>
                    <w:jc w:val="center"/>
                    <w:rPr>
                      <w:rFonts w:hint="default" w:ascii="Times New Roman" w:hAnsi="Times New Roman" w:cs="Times New Roman"/>
                      <w:b/>
                      <w:bCs/>
                      <w:color w:val="auto"/>
                      <w:kern w:val="0"/>
                    </w:rPr>
                  </w:pPr>
                  <w:r>
                    <w:rPr>
                      <w:rFonts w:hint="default" w:ascii="Times New Roman" w:hAnsi="Times New Roman" w:cs="Times New Roman"/>
                      <w:b/>
                      <w:bCs/>
                      <w:color w:val="auto"/>
                    </w:rPr>
                    <w:t>保护对象</w:t>
                  </w:r>
                </w:p>
              </w:tc>
              <w:tc>
                <w:tcPr>
                  <w:tcW w:w="766" w:type="pct"/>
                  <w:vAlign w:val="center"/>
                </w:tcPr>
                <w:p>
                  <w:pPr>
                    <w:pStyle w:val="239"/>
                    <w:jc w:val="center"/>
                    <w:rPr>
                      <w:rFonts w:hint="default" w:ascii="Times New Roman" w:hAnsi="Times New Roman" w:eastAsia="宋体" w:cs="Times New Roman"/>
                      <w:b/>
                      <w:bCs/>
                      <w:color w:val="auto"/>
                      <w:kern w:val="0"/>
                      <w:sz w:val="21"/>
                      <w:szCs w:val="21"/>
                      <w:lang w:val="zh-CN" w:eastAsia="zh-CN" w:bidi="ar-SA"/>
                    </w:rPr>
                  </w:pPr>
                  <w:r>
                    <w:rPr>
                      <w:rFonts w:hint="default" w:ascii="Times New Roman" w:hAnsi="Times New Roman" w:cs="Times New Roman"/>
                      <w:b/>
                      <w:bCs/>
                      <w:color w:val="auto"/>
                    </w:rPr>
                    <w:t>与项目</w:t>
                  </w:r>
                  <w:r>
                    <w:rPr>
                      <w:rFonts w:hint="eastAsia" w:cs="Times New Roman"/>
                      <w:b/>
                      <w:bCs/>
                      <w:color w:val="auto"/>
                      <w:lang w:val="en-US" w:eastAsia="zh-CN"/>
                    </w:rPr>
                    <w:t>最近</w:t>
                  </w:r>
                  <w:r>
                    <w:rPr>
                      <w:rFonts w:hint="default" w:ascii="Times New Roman" w:hAnsi="Times New Roman" w:cs="Times New Roman"/>
                      <w:b/>
                      <w:bCs/>
                      <w:color w:val="auto"/>
                    </w:rPr>
                    <w:t>距离（m）</w:t>
                  </w:r>
                </w:p>
              </w:tc>
              <w:tc>
                <w:tcPr>
                  <w:tcW w:w="768" w:type="pct"/>
                  <w:vAlign w:val="center"/>
                </w:tcPr>
                <w:p>
                  <w:pPr>
                    <w:pStyle w:val="239"/>
                    <w:jc w:val="center"/>
                    <w:rPr>
                      <w:rFonts w:hint="default" w:ascii="Times New Roman" w:hAnsi="Times New Roman" w:cs="Times New Roman"/>
                      <w:b/>
                      <w:bCs/>
                      <w:color w:val="auto"/>
                      <w:kern w:val="0"/>
                    </w:rPr>
                  </w:pPr>
                  <w:r>
                    <w:rPr>
                      <w:rFonts w:hint="default" w:ascii="Times New Roman" w:hAnsi="Times New Roman" w:cs="Times New Roman"/>
                      <w:b/>
                      <w:bCs/>
                      <w:color w:val="auto"/>
                    </w:rPr>
                    <w:t>环境功能及保护要求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restar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大气环境</w:t>
                  </w: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1</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restart"/>
                  <w:vAlign w:val="center"/>
                </w:tcPr>
                <w:p>
                  <w:pPr>
                    <w:pStyle w:val="239"/>
                    <w:jc w:val="center"/>
                    <w:rPr>
                      <w:rFonts w:hint="eastAsia" w:ascii="Times New Roman" w:hAnsi="Times New Roman" w:eastAsia="宋体" w:cs="Times New Roman"/>
                      <w:color w:val="auto"/>
                      <w:kern w:val="0"/>
                      <w:lang w:val="en-US" w:eastAsia="zh-CN"/>
                    </w:rPr>
                  </w:pPr>
                  <w:r>
                    <w:rPr>
                      <w:rFonts w:hint="default" w:ascii="Times New Roman" w:hAnsi="Times New Roman" w:cs="Times New Roman"/>
                      <w:color w:val="auto"/>
                      <w:lang w:eastAsia="zh-CN"/>
                    </w:rPr>
                    <w:t>芝溪河左一段</w:t>
                  </w:r>
                  <w:r>
                    <w:rPr>
                      <w:rFonts w:hint="eastAsia" w:cs="Times New Roman"/>
                      <w:color w:val="auto"/>
                      <w:lang w:val="en-US" w:eastAsia="zh-CN"/>
                    </w:rPr>
                    <w:t>东侧</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左岸</w:t>
                  </w: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23</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lang w:val="en-US" w:eastAsia="zh-CN"/>
                    </w:rPr>
                    <w:t>35</w:t>
                  </w:r>
                </w:p>
              </w:tc>
              <w:tc>
                <w:tcPr>
                  <w:tcW w:w="768" w:type="pct"/>
                  <w:vMerge w:val="restart"/>
                  <w:vAlign w:val="center"/>
                </w:tcPr>
                <w:p>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《环境空气质量标准》</w:t>
                  </w:r>
                </w:p>
                <w:p>
                  <w:pPr>
                    <w:keepNext w:val="0"/>
                    <w:keepLines w:val="0"/>
                    <w:widowControl/>
                    <w:suppressLineNumbers w:val="0"/>
                    <w:jc w:val="center"/>
                    <w:rPr>
                      <w:rFonts w:hint="default" w:ascii="Times New Roman" w:hAnsi="Times New Roman" w:cs="Times New Roman"/>
                      <w:color w:val="auto"/>
                      <w:kern w:val="0"/>
                    </w:rPr>
                  </w:pPr>
                  <w:r>
                    <w:rPr>
                      <w:rFonts w:hint="eastAsia" w:ascii="Times New Roman" w:hAnsi="Times New Roman" w:eastAsia="宋体" w:cs="Times New Roman"/>
                      <w:color w:val="auto"/>
                      <w:kern w:val="0"/>
                      <w:sz w:val="21"/>
                      <w:szCs w:val="21"/>
                      <w:lang w:val="en-US" w:eastAsia="zh-CN" w:bidi="ar-SA"/>
                    </w:rPr>
                    <w:t>（</w:t>
                  </w:r>
                  <w:r>
                    <w:rPr>
                      <w:rFonts w:hint="default" w:ascii="Times New Roman" w:hAnsi="Times New Roman" w:eastAsia="宋体" w:cs="Times New Roman"/>
                      <w:color w:val="auto"/>
                      <w:kern w:val="0"/>
                      <w:sz w:val="21"/>
                      <w:szCs w:val="21"/>
                      <w:lang w:val="en-US" w:eastAsia="zh-CN" w:bidi="ar-SA"/>
                    </w:rPr>
                    <w:t>GB3095-2012</w:t>
                  </w:r>
                  <w:r>
                    <w:rPr>
                      <w:rFonts w:hint="eastAsia" w:ascii="Times New Roman" w:hAnsi="Times New Roman" w:eastAsia="宋体" w:cs="Times New Roman"/>
                      <w:color w:val="auto"/>
                      <w:kern w:val="0"/>
                      <w:sz w:val="21"/>
                      <w:szCs w:val="21"/>
                      <w:lang w:val="en-US" w:eastAsia="zh-CN" w:bidi="ar-SA"/>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auto"/>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2</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cs="Times New Roman"/>
                      <w:color w:val="auto"/>
                      <w:kern w:val="0"/>
                      <w:lang w:val="en-US"/>
                    </w:rPr>
                  </w:pP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1</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lang w:val="en-US" w:eastAsia="zh-CN"/>
                    </w:rPr>
                    <w:t>197</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auto"/>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3</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cs="Times New Roman"/>
                      <w:color w:val="auto"/>
                      <w:kern w:val="0"/>
                      <w:lang w:val="en-US"/>
                    </w:rPr>
                  </w:pP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6</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lang w:val="en-US" w:eastAsia="zh-CN"/>
                    </w:rPr>
                    <w:t>173</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auto"/>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4</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cs="Times New Roman"/>
                      <w:color w:val="auto"/>
                      <w:kern w:val="0"/>
                      <w:lang w:val="en-US"/>
                    </w:rPr>
                  </w:pP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2</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lang w:val="en-US" w:eastAsia="zh-CN"/>
                    </w:rPr>
                    <w:t>228</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auto"/>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5</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Align w:val="center"/>
                </w:tcPr>
                <w:p>
                  <w:pPr>
                    <w:pStyle w:val="239"/>
                    <w:jc w:val="center"/>
                    <w:rPr>
                      <w:rFonts w:hint="default" w:ascii="Times New Roman" w:hAnsi="Times New Roman" w:cs="Times New Roman"/>
                      <w:color w:val="auto"/>
                      <w:kern w:val="0"/>
                      <w:lang w:val="en-US"/>
                    </w:rPr>
                  </w:pPr>
                  <w:r>
                    <w:rPr>
                      <w:rFonts w:hint="default" w:ascii="Times New Roman" w:hAnsi="Times New Roman" w:cs="Times New Roman"/>
                      <w:color w:val="auto"/>
                      <w:lang w:eastAsia="zh-CN"/>
                    </w:rPr>
                    <w:t>芝溪河左一段</w:t>
                  </w:r>
                  <w:r>
                    <w:rPr>
                      <w:rFonts w:hint="eastAsia" w:cs="Times New Roman"/>
                      <w:color w:val="auto"/>
                      <w:lang w:val="en-US" w:eastAsia="zh-CN"/>
                    </w:rPr>
                    <w:t>西北侧</w:t>
                  </w:r>
                  <w:r>
                    <w:rPr>
                      <w:rFonts w:hint="eastAsia" w:ascii="Times New Roman" w:hAnsi="Times New Roman" w:cs="Times New Roman"/>
                      <w:color w:val="auto"/>
                      <w:lang w:eastAsia="zh-CN"/>
                    </w:rPr>
                    <w:t>，</w:t>
                  </w:r>
                  <w:r>
                    <w:rPr>
                      <w:rFonts w:hint="eastAsia" w:cs="Times New Roman"/>
                      <w:color w:val="auto"/>
                      <w:lang w:val="en-US" w:eastAsia="zh-CN"/>
                    </w:rPr>
                    <w:t>右</w:t>
                  </w:r>
                  <w:r>
                    <w:rPr>
                      <w:rFonts w:hint="eastAsia" w:ascii="Times New Roman" w:hAnsi="Times New Roman" w:cs="Times New Roman"/>
                      <w:color w:val="auto"/>
                      <w:lang w:val="en-US" w:eastAsia="zh-CN"/>
                    </w:rPr>
                    <w:t>岸</w:t>
                  </w: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3</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lang w:val="en-US" w:eastAsia="zh-CN"/>
                    </w:rPr>
                    <w:t>97</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6</w:t>
                  </w:r>
                  <w:r>
                    <w:rPr>
                      <w:rFonts w:hint="default" w:ascii="Times New Roman" w:hAnsi="Times New Roman" w:cs="Times New Roman"/>
                      <w:color w:val="auto"/>
                      <w:lang w:eastAsia="zh-CN"/>
                    </w:rPr>
                    <w:t>#</w:t>
                  </w:r>
                  <w:r>
                    <w:rPr>
                      <w:rFonts w:hint="eastAsia" w:cs="Times New Roman"/>
                      <w:color w:val="auto"/>
                      <w:lang w:val="en-US" w:eastAsia="zh-CN"/>
                    </w:rPr>
                    <w:t>居民点</w:t>
                  </w:r>
                </w:p>
              </w:tc>
              <w:tc>
                <w:tcPr>
                  <w:tcW w:w="1556"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lang w:val="en-US" w:eastAsia="zh-CN"/>
                    </w:rPr>
                  </w:pPr>
                  <w:r>
                    <w:rPr>
                      <w:rFonts w:hint="default" w:ascii="Times New Roman" w:hAnsi="Times New Roman" w:eastAsia="宋体" w:cs="Times New Roman"/>
                      <w:color w:val="auto"/>
                      <w:kern w:val="2"/>
                      <w:sz w:val="21"/>
                      <w:szCs w:val="21"/>
                      <w:lang w:val="zh-CN" w:eastAsia="zh-CN" w:bidi="ar-SA"/>
                    </w:rPr>
                    <w:t>牛家河左岸段</w:t>
                  </w:r>
                  <w:r>
                    <w:rPr>
                      <w:rFonts w:hint="eastAsia" w:ascii="Times New Roman" w:hAnsi="Times New Roman" w:eastAsia="宋体" w:cs="Times New Roman"/>
                      <w:color w:val="auto"/>
                      <w:kern w:val="2"/>
                      <w:sz w:val="21"/>
                      <w:szCs w:val="21"/>
                      <w:lang w:val="en-US" w:eastAsia="zh-CN" w:bidi="ar-SA"/>
                    </w:rPr>
                    <w:t>北侧</w:t>
                  </w:r>
                  <w:r>
                    <w:rPr>
                      <w:rFonts w:hint="eastAsia" w:ascii="Times New Roman" w:hAnsi="Times New Roman" w:eastAsia="宋体" w:cs="Times New Roman"/>
                      <w:color w:val="auto"/>
                      <w:kern w:val="2"/>
                      <w:sz w:val="21"/>
                      <w:szCs w:val="21"/>
                      <w:lang w:val="zh-CN" w:eastAsia="zh-CN" w:bidi="ar-SA"/>
                    </w:rPr>
                    <w:t>，</w:t>
                  </w:r>
                  <w:r>
                    <w:rPr>
                      <w:rFonts w:hint="eastAsia" w:ascii="Times New Roman" w:hAnsi="Times New Roman" w:eastAsia="宋体" w:cs="Times New Roman"/>
                      <w:color w:val="auto"/>
                      <w:kern w:val="2"/>
                      <w:sz w:val="21"/>
                      <w:szCs w:val="21"/>
                      <w:lang w:val="en-US" w:eastAsia="zh-CN" w:bidi="ar-SA"/>
                    </w:rPr>
                    <w:t>左岸</w:t>
                  </w: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（蔬菜种植）/2户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lang w:val="en-US" w:eastAsia="zh-CN"/>
                    </w:rPr>
                    <w:t>430</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7</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cs="Times New Roman"/>
                      <w:color w:val="auto"/>
                      <w:kern w:val="0"/>
                      <w:lang w:val="en-US"/>
                    </w:rPr>
                  </w:pP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/2户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lang w:val="en-US" w:eastAsia="zh-CN"/>
                    </w:rPr>
                    <w:t>226</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8</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eastAsia="宋体" w:cs="Times New Roman"/>
                      <w:color w:val="auto"/>
                      <w:kern w:val="0"/>
                      <w:lang w:val="en-US" w:eastAsia="zh-CN"/>
                    </w:rPr>
                  </w:pP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（蔬菜种植）/1户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lang w:val="en-US" w:eastAsia="zh-CN"/>
                    </w:rPr>
                    <w:t>285</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9</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eastAsia="宋体" w:cs="Times New Roman"/>
                      <w:color w:val="auto"/>
                      <w:kern w:val="0"/>
                      <w:lang w:val="en-US" w:eastAsia="zh-CN"/>
                    </w:rPr>
                  </w:pP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约</w:t>
                  </w:r>
                  <w:r>
                    <w:rPr>
                      <w:rFonts w:hint="eastAsia" w:cs="Times New Roman"/>
                      <w:color w:val="auto"/>
                      <w:kern w:val="0"/>
                      <w:lang w:val="en-US" w:eastAsia="zh-CN"/>
                    </w:rPr>
                    <w:t>500</w:t>
                  </w:r>
                  <w:r>
                    <w:rPr>
                      <w:rFonts w:hint="default" w:ascii="Times New Roman" w:hAnsi="Times New Roman" w:cs="Times New Roman"/>
                      <w:color w:val="auto"/>
                      <w:kern w:val="0"/>
                      <w:lang w:val="en-US" w:eastAsia="zh-CN"/>
                    </w:rPr>
                    <w:t>人</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lang w:val="en-US" w:eastAsia="zh-CN"/>
                    </w:rPr>
                    <w:t>5</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cs="Times New Roman"/>
                      <w:color w:val="auto"/>
                      <w:kern w:val="0"/>
                      <w:lang w:val="en-US"/>
                    </w:rPr>
                  </w:pPr>
                  <w:r>
                    <w:rPr>
                      <w:rFonts w:hint="default" w:ascii="Times New Roman" w:hAnsi="Times New Roman" w:cs="Times New Roman"/>
                      <w:color w:val="auto"/>
                    </w:rPr>
                    <w:t>10</w:t>
                  </w:r>
                  <w:r>
                    <w:rPr>
                      <w:rFonts w:hint="default" w:ascii="Times New Roman" w:hAnsi="Times New Roman" w:cs="Times New Roman"/>
                      <w:color w:val="auto"/>
                      <w:lang w:eastAsia="zh-CN"/>
                    </w:rPr>
                    <w:t>#</w:t>
                  </w:r>
                  <w:r>
                    <w:rPr>
                      <w:rFonts w:hint="eastAsia" w:cs="Times New Roman"/>
                      <w:color w:val="auto"/>
                      <w:lang w:val="en-US" w:eastAsia="zh-CN"/>
                    </w:rPr>
                    <w:t>明月镇场镇</w:t>
                  </w:r>
                </w:p>
              </w:tc>
              <w:tc>
                <w:tcPr>
                  <w:tcW w:w="1556" w:type="pct"/>
                  <w:vAlign w:val="center"/>
                </w:tcPr>
                <w:p>
                  <w:pPr>
                    <w:pStyle w:val="239"/>
                    <w:jc w:val="center"/>
                    <w:rPr>
                      <w:rFonts w:hint="default" w:ascii="Times New Roman" w:hAnsi="Times New Roman" w:cs="Times New Roman"/>
                      <w:color w:val="auto"/>
                      <w:kern w:val="0"/>
                      <w:lang w:val="en-US"/>
                    </w:rPr>
                  </w:pPr>
                  <w:r>
                    <w:rPr>
                      <w:rFonts w:hint="default" w:ascii="Times New Roman" w:hAnsi="Times New Roman" w:eastAsia="宋体" w:cs="Times New Roman"/>
                      <w:color w:val="auto"/>
                      <w:kern w:val="2"/>
                      <w:sz w:val="21"/>
                      <w:szCs w:val="21"/>
                      <w:lang w:val="zh-CN" w:eastAsia="zh-CN" w:bidi="ar-SA"/>
                    </w:rPr>
                    <w:t>牛家河左岸段</w:t>
                  </w:r>
                  <w:r>
                    <w:rPr>
                      <w:rFonts w:hint="eastAsia" w:cs="Times New Roman"/>
                      <w:color w:val="auto"/>
                      <w:kern w:val="2"/>
                      <w:sz w:val="21"/>
                      <w:szCs w:val="21"/>
                      <w:lang w:val="en-US" w:eastAsia="zh-CN" w:bidi="ar-SA"/>
                    </w:rPr>
                    <w:t>南</w:t>
                  </w:r>
                  <w:r>
                    <w:rPr>
                      <w:rFonts w:hint="eastAsia" w:ascii="Times New Roman" w:hAnsi="Times New Roman" w:eastAsia="宋体" w:cs="Times New Roman"/>
                      <w:color w:val="auto"/>
                      <w:kern w:val="2"/>
                      <w:sz w:val="21"/>
                      <w:szCs w:val="21"/>
                      <w:lang w:val="en-US" w:eastAsia="zh-CN" w:bidi="ar-SA"/>
                    </w:rPr>
                    <w:t>侧</w:t>
                  </w:r>
                  <w:r>
                    <w:rPr>
                      <w:rFonts w:hint="eastAsia" w:ascii="Times New Roman" w:hAnsi="Times New Roman" w:eastAsia="宋体" w:cs="Times New Roman"/>
                      <w:color w:val="auto"/>
                      <w:kern w:val="2"/>
                      <w:sz w:val="21"/>
                      <w:szCs w:val="21"/>
                      <w:lang w:val="zh-CN" w:eastAsia="zh-CN" w:bidi="ar-SA"/>
                    </w:rPr>
                    <w:t>，</w:t>
                  </w:r>
                  <w:r>
                    <w:rPr>
                      <w:rFonts w:hint="eastAsia" w:cs="Times New Roman"/>
                      <w:color w:val="auto"/>
                      <w:kern w:val="2"/>
                      <w:sz w:val="21"/>
                      <w:szCs w:val="21"/>
                      <w:lang w:val="en-US" w:eastAsia="zh-CN" w:bidi="ar-SA"/>
                    </w:rPr>
                    <w:t>右</w:t>
                  </w:r>
                  <w:r>
                    <w:rPr>
                      <w:rFonts w:hint="eastAsia" w:ascii="Times New Roman" w:hAnsi="Times New Roman" w:eastAsia="宋体" w:cs="Times New Roman"/>
                      <w:color w:val="auto"/>
                      <w:kern w:val="2"/>
                      <w:sz w:val="21"/>
                      <w:szCs w:val="21"/>
                      <w:lang w:val="en-US" w:eastAsia="zh-CN" w:bidi="ar-SA"/>
                    </w:rPr>
                    <w:t>岸</w:t>
                  </w: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约</w:t>
                  </w:r>
                  <w:r>
                    <w:rPr>
                      <w:rFonts w:hint="eastAsia" w:cs="Times New Roman"/>
                      <w:color w:val="auto"/>
                      <w:kern w:val="0"/>
                      <w:lang w:val="en-US" w:eastAsia="zh-CN"/>
                    </w:rPr>
                    <w:t>5000</w:t>
                  </w:r>
                  <w:r>
                    <w:rPr>
                      <w:rFonts w:hint="default" w:ascii="Times New Roman" w:hAnsi="Times New Roman" w:cs="Times New Roman"/>
                      <w:color w:val="auto"/>
                      <w:kern w:val="0"/>
                      <w:lang w:val="en-US" w:eastAsia="zh-CN"/>
                    </w:rPr>
                    <w:t>人</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lang w:val="en-US" w:eastAsia="zh-CN"/>
                    </w:rPr>
                    <w:t>2</w:t>
                  </w:r>
                  <w:r>
                    <w:rPr>
                      <w:rFonts w:hint="eastAsia" w:cs="Times New Roman"/>
                      <w:color w:val="auto"/>
                      <w:kern w:val="0"/>
                      <w:lang w:val="en-US" w:eastAsia="zh-CN"/>
                    </w:rPr>
                    <w:t>5</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11</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restart"/>
                  <w:vAlign w:val="center"/>
                </w:tcPr>
                <w:p>
                  <w:pPr>
                    <w:pStyle w:val="239"/>
                    <w:jc w:val="center"/>
                    <w:rPr>
                      <w:rFonts w:hint="default" w:ascii="Times New Roman" w:hAnsi="Times New Roman" w:eastAsia="宋体" w:cs="Times New Roman"/>
                      <w:color w:val="FF0000"/>
                      <w:kern w:val="0"/>
                      <w:lang w:val="en-US" w:eastAsia="zh-CN"/>
                    </w:rPr>
                  </w:pPr>
                  <w:r>
                    <w:rPr>
                      <w:rFonts w:hint="default" w:ascii="Times New Roman" w:hAnsi="Times New Roman" w:eastAsia="宋体" w:cs="Times New Roman"/>
                      <w:color w:val="auto"/>
                      <w:kern w:val="2"/>
                      <w:sz w:val="21"/>
                      <w:szCs w:val="21"/>
                      <w:lang w:val="zh-CN" w:eastAsia="zh-CN" w:bidi="ar-SA"/>
                    </w:rPr>
                    <w:t>芝溪河左二段</w:t>
                  </w:r>
                  <w:r>
                    <w:rPr>
                      <w:rFonts w:hint="eastAsia" w:cs="Times New Roman"/>
                      <w:color w:val="auto"/>
                      <w:kern w:val="2"/>
                      <w:sz w:val="21"/>
                      <w:szCs w:val="21"/>
                      <w:lang w:val="en-US" w:eastAsia="zh-CN" w:bidi="ar-SA"/>
                    </w:rPr>
                    <w:t>东北侧，左岸</w:t>
                  </w:r>
                </w:p>
              </w:tc>
              <w:tc>
                <w:tcPr>
                  <w:tcW w:w="757" w:type="pct"/>
                  <w:vAlign w:val="center"/>
                </w:tcPr>
                <w:p>
                  <w:pPr>
                    <w:pStyle w:val="239"/>
                    <w:jc w:val="center"/>
                    <w:rPr>
                      <w:rFonts w:hint="default" w:ascii="Times New Roman" w:hAnsi="Times New Roman" w:eastAsia="宋体" w:cs="Times New Roman"/>
                      <w:color w:val="FF0000"/>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1</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71</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12</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cs="Times New Roman"/>
                      <w:color w:val="FF0000"/>
                      <w:kern w:val="0"/>
                    </w:rPr>
                  </w:pP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8</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224</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eastAsia="宋体" w:cs="Times New Roman"/>
                      <w:color w:val="auto"/>
                      <w:kern w:val="0"/>
                      <w:sz w:val="21"/>
                      <w:szCs w:val="21"/>
                      <w:lang w:val="zh-CN" w:eastAsia="zh-CN" w:bidi="ar-SA"/>
                    </w:rPr>
                  </w:pPr>
                  <w:r>
                    <w:rPr>
                      <w:rFonts w:hint="default" w:ascii="Times New Roman" w:hAnsi="Times New Roman" w:cs="Times New Roman"/>
                      <w:color w:val="auto"/>
                    </w:rPr>
                    <w:t>13</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eastAsia="宋体" w:cs="Times New Roman"/>
                      <w:color w:val="FF0000"/>
                      <w:kern w:val="0"/>
                      <w:sz w:val="21"/>
                      <w:szCs w:val="21"/>
                      <w:lang w:val="en-US" w:eastAsia="zh-CN" w:bidi="ar-SA"/>
                    </w:rPr>
                  </w:pPr>
                </w:p>
              </w:tc>
              <w:tc>
                <w:tcPr>
                  <w:tcW w:w="757"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2</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280</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cs="Times New Roman"/>
                      <w:color w:val="auto"/>
                      <w:kern w:val="0"/>
                    </w:rPr>
                  </w:pPr>
                  <w:r>
                    <w:rPr>
                      <w:rFonts w:hint="default" w:ascii="Times New Roman" w:hAnsi="Times New Roman" w:cs="Times New Roman"/>
                      <w:color w:val="auto"/>
                    </w:rPr>
                    <w:t>1</w:t>
                  </w:r>
                  <w:r>
                    <w:rPr>
                      <w:rFonts w:hint="default" w:ascii="Times New Roman" w:hAnsi="Times New Roman" w:cs="Times New Roman"/>
                      <w:color w:val="auto"/>
                      <w:lang w:val="en-US" w:eastAsia="zh-CN"/>
                    </w:rPr>
                    <w:t>4</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eastAsia="宋体" w:cs="Times New Roman"/>
                      <w:color w:val="FF0000"/>
                      <w:kern w:val="0"/>
                      <w:lang w:val="en-US" w:eastAsia="zh-CN"/>
                    </w:rPr>
                  </w:pPr>
                </w:p>
              </w:tc>
              <w:tc>
                <w:tcPr>
                  <w:tcW w:w="757" w:type="pct"/>
                  <w:vAlign w:val="center"/>
                </w:tcPr>
                <w:p>
                  <w:pPr>
                    <w:pStyle w:val="239"/>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6</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477</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eastAsia="宋体" w:cs="Times New Roman"/>
                      <w:color w:val="auto"/>
                      <w:lang w:val="en-US" w:eastAsia="zh-CN"/>
                    </w:rPr>
                  </w:pPr>
                  <w:r>
                    <w:rPr>
                      <w:rFonts w:hint="eastAsia" w:cs="Times New Roman"/>
                      <w:color w:val="auto"/>
                      <w:lang w:val="en-US" w:eastAsia="zh-CN"/>
                    </w:rPr>
                    <w:t>15</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restart"/>
                  <w:vAlign w:val="center"/>
                </w:tcPr>
                <w:p>
                  <w:pPr>
                    <w:pStyle w:val="239"/>
                    <w:jc w:val="center"/>
                    <w:rPr>
                      <w:rFonts w:hint="default" w:ascii="Times New Roman" w:hAnsi="Times New Roman" w:eastAsia="宋体" w:cs="Times New Roman"/>
                      <w:color w:val="FF0000"/>
                      <w:kern w:val="0"/>
                      <w:lang w:val="en-US" w:eastAsia="zh-CN"/>
                    </w:rPr>
                  </w:pPr>
                  <w:r>
                    <w:rPr>
                      <w:rFonts w:hint="default" w:ascii="Times New Roman" w:hAnsi="Times New Roman" w:eastAsia="宋体" w:cs="Times New Roman"/>
                      <w:color w:val="auto"/>
                      <w:kern w:val="2"/>
                      <w:sz w:val="21"/>
                      <w:szCs w:val="21"/>
                      <w:lang w:val="zh-CN" w:eastAsia="zh-CN" w:bidi="ar-SA"/>
                    </w:rPr>
                    <w:t>芝溪河左</w:t>
                  </w:r>
                  <w:r>
                    <w:rPr>
                      <w:rFonts w:hint="eastAsia" w:cs="Times New Roman"/>
                      <w:color w:val="auto"/>
                      <w:kern w:val="2"/>
                      <w:sz w:val="21"/>
                      <w:szCs w:val="21"/>
                      <w:lang w:val="en-US" w:eastAsia="zh-CN" w:bidi="ar-SA"/>
                    </w:rPr>
                    <w:t>三</w:t>
                  </w:r>
                  <w:r>
                    <w:rPr>
                      <w:rFonts w:hint="default" w:ascii="Times New Roman" w:hAnsi="Times New Roman" w:eastAsia="宋体" w:cs="Times New Roman"/>
                      <w:color w:val="auto"/>
                      <w:kern w:val="2"/>
                      <w:sz w:val="21"/>
                      <w:szCs w:val="21"/>
                      <w:lang w:val="zh-CN" w:eastAsia="zh-CN" w:bidi="ar-SA"/>
                    </w:rPr>
                    <w:t>段</w:t>
                  </w:r>
                  <w:r>
                    <w:rPr>
                      <w:rFonts w:hint="eastAsia" w:cs="Times New Roman"/>
                      <w:color w:val="auto"/>
                      <w:kern w:val="2"/>
                      <w:sz w:val="21"/>
                      <w:szCs w:val="21"/>
                      <w:lang w:val="en-US" w:eastAsia="zh-CN" w:bidi="ar-SA"/>
                    </w:rPr>
                    <w:t>南侧，左岸</w:t>
                  </w:r>
                </w:p>
              </w:tc>
              <w:tc>
                <w:tcPr>
                  <w:tcW w:w="757" w:type="pct"/>
                  <w:vAlign w:val="center"/>
                </w:tcPr>
                <w:p>
                  <w:pPr>
                    <w:jc w:val="center"/>
                    <w:rPr>
                      <w:rFonts w:hint="default" w:ascii="Times New Roman" w:hAnsi="Times New Roman" w:cs="Times New Roman"/>
                      <w:color w:val="FF0000"/>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70</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7</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eastAsia="宋体" w:cs="Times New Roman"/>
                      <w:color w:val="auto"/>
                      <w:lang w:val="en-US" w:eastAsia="zh-CN"/>
                    </w:rPr>
                  </w:pPr>
                  <w:r>
                    <w:rPr>
                      <w:rFonts w:hint="eastAsia" w:cs="Times New Roman"/>
                      <w:color w:val="auto"/>
                      <w:lang w:val="en-US" w:eastAsia="zh-CN"/>
                    </w:rPr>
                    <w:t>16</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eastAsia="宋体" w:cs="Times New Roman"/>
                      <w:color w:val="FF0000"/>
                      <w:kern w:val="0"/>
                      <w:lang w:val="en-US" w:eastAsia="zh-CN"/>
                    </w:rPr>
                  </w:pPr>
                </w:p>
              </w:tc>
              <w:tc>
                <w:tcPr>
                  <w:tcW w:w="757" w:type="pct"/>
                  <w:vAlign w:val="center"/>
                </w:tcPr>
                <w:p>
                  <w:pPr>
                    <w:jc w:val="center"/>
                    <w:rPr>
                      <w:rFonts w:hint="default" w:ascii="Times New Roman" w:hAnsi="Times New Roman" w:cs="Times New Roman"/>
                      <w:color w:val="FF0000"/>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6</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364</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eastAsia="宋体" w:cs="Times New Roman"/>
                      <w:color w:val="auto"/>
                      <w:lang w:val="en-US" w:eastAsia="zh-CN"/>
                    </w:rPr>
                  </w:pPr>
                  <w:r>
                    <w:rPr>
                      <w:rFonts w:hint="eastAsia" w:cs="Times New Roman"/>
                      <w:color w:val="auto"/>
                      <w:lang w:val="en-US" w:eastAsia="zh-CN"/>
                    </w:rPr>
                    <w:t>17</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eastAsia="宋体" w:cs="Times New Roman"/>
                      <w:color w:val="FF0000"/>
                      <w:kern w:val="0"/>
                      <w:lang w:val="en-US" w:eastAsia="zh-CN"/>
                    </w:rPr>
                  </w:pPr>
                </w:p>
              </w:tc>
              <w:tc>
                <w:tcPr>
                  <w:tcW w:w="757" w:type="pct"/>
                  <w:vAlign w:val="center"/>
                </w:tcPr>
                <w:p>
                  <w:pPr>
                    <w:jc w:val="center"/>
                    <w:rPr>
                      <w:rFonts w:hint="default" w:ascii="Times New Roman" w:hAnsi="Times New Roman" w:cs="Times New Roman"/>
                      <w:color w:val="FF0000"/>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12</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360</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eastAsia="宋体" w:cs="Times New Roman"/>
                      <w:color w:val="auto"/>
                      <w:lang w:val="en-US" w:eastAsia="zh-CN"/>
                    </w:rPr>
                  </w:pPr>
                  <w:r>
                    <w:rPr>
                      <w:rFonts w:hint="eastAsia" w:cs="Times New Roman"/>
                      <w:color w:val="auto"/>
                      <w:lang w:val="en-US" w:eastAsia="zh-CN"/>
                    </w:rPr>
                    <w:t>18</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eastAsia="宋体" w:cs="Times New Roman"/>
                      <w:color w:val="FF0000"/>
                      <w:kern w:val="0"/>
                      <w:lang w:val="en-US" w:eastAsia="zh-CN"/>
                    </w:rPr>
                  </w:pPr>
                </w:p>
              </w:tc>
              <w:tc>
                <w:tcPr>
                  <w:tcW w:w="757" w:type="pct"/>
                  <w:vAlign w:val="center"/>
                </w:tcPr>
                <w:p>
                  <w:pPr>
                    <w:jc w:val="center"/>
                    <w:rPr>
                      <w:rFonts w:hint="default" w:ascii="Times New Roman" w:hAnsi="Times New Roman" w:cs="Times New Roman"/>
                      <w:color w:val="FF0000"/>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6</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51</w:t>
                  </w:r>
                </w:p>
              </w:tc>
              <w:tc>
                <w:tcPr>
                  <w:tcW w:w="768" w:type="pct"/>
                  <w:vMerge w:val="continue"/>
                  <w:vAlign w:val="center"/>
                </w:tcPr>
                <w:p>
                  <w:pPr>
                    <w:pStyle w:val="239"/>
                    <w:jc w:val="center"/>
                    <w:rPr>
                      <w:rFonts w:hint="default" w:ascii="Times New Roman" w:hAnsi="Times New Roman" w:cs="Times New Roman"/>
                      <w:color w:val="FF0000"/>
                      <w:kern w:val="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jc w:val="center"/>
              </w:trPr>
              <w:tc>
                <w:tcPr>
                  <w:tcW w:w="412" w:type="pct"/>
                  <w:vMerge w:val="continue"/>
                  <w:vAlign w:val="center"/>
                </w:tcPr>
                <w:p>
                  <w:pPr>
                    <w:pStyle w:val="239"/>
                    <w:jc w:val="center"/>
                    <w:rPr>
                      <w:rFonts w:hint="default" w:ascii="Times New Roman" w:hAnsi="Times New Roman" w:cs="Times New Roman"/>
                      <w:color w:val="FF0000"/>
                      <w:kern w:val="0"/>
                    </w:rPr>
                  </w:pPr>
                </w:p>
              </w:tc>
              <w:tc>
                <w:tcPr>
                  <w:tcW w:w="738" w:type="pct"/>
                  <w:vAlign w:val="center"/>
                </w:tcPr>
                <w:p>
                  <w:pPr>
                    <w:pStyle w:val="239"/>
                    <w:jc w:val="center"/>
                    <w:rPr>
                      <w:rFonts w:hint="default" w:ascii="Times New Roman" w:hAnsi="Times New Roman" w:eastAsia="宋体" w:cs="Times New Roman"/>
                      <w:color w:val="auto"/>
                      <w:lang w:val="en-US" w:eastAsia="zh-CN"/>
                    </w:rPr>
                  </w:pPr>
                  <w:r>
                    <w:rPr>
                      <w:rFonts w:hint="eastAsia" w:cs="Times New Roman"/>
                      <w:color w:val="auto"/>
                      <w:lang w:val="en-US" w:eastAsia="zh-CN"/>
                    </w:rPr>
                    <w:t>19</w:t>
                  </w:r>
                  <w:r>
                    <w:rPr>
                      <w:rFonts w:hint="default" w:ascii="Times New Roman" w:hAnsi="Times New Roman" w:cs="Times New Roman"/>
                      <w:color w:val="auto"/>
                      <w:lang w:eastAsia="zh-CN"/>
                    </w:rPr>
                    <w:t>#</w:t>
                  </w:r>
                  <w:r>
                    <w:rPr>
                      <w:rFonts w:hint="default" w:ascii="Times New Roman" w:hAnsi="Times New Roman" w:cs="Times New Roman"/>
                      <w:color w:val="auto"/>
                    </w:rPr>
                    <w:t>居民区</w:t>
                  </w:r>
                </w:p>
              </w:tc>
              <w:tc>
                <w:tcPr>
                  <w:tcW w:w="1556" w:type="pct"/>
                  <w:vMerge w:val="continue"/>
                  <w:vAlign w:val="center"/>
                </w:tcPr>
                <w:p>
                  <w:pPr>
                    <w:pStyle w:val="239"/>
                    <w:jc w:val="center"/>
                    <w:rPr>
                      <w:rFonts w:hint="default" w:ascii="Times New Roman" w:hAnsi="Times New Roman" w:eastAsia="宋体" w:cs="Times New Roman"/>
                      <w:color w:val="FF0000"/>
                      <w:kern w:val="0"/>
                      <w:lang w:val="en-US" w:eastAsia="zh-CN"/>
                    </w:rPr>
                  </w:pPr>
                </w:p>
              </w:tc>
              <w:tc>
                <w:tcPr>
                  <w:tcW w:w="757" w:type="pct"/>
                  <w:vAlign w:val="center"/>
                </w:tcPr>
                <w:p>
                  <w:pPr>
                    <w:jc w:val="center"/>
                    <w:rPr>
                      <w:rFonts w:hint="default" w:ascii="Times New Roman" w:hAnsi="Times New Roman" w:cs="Times New Roman"/>
                      <w:color w:val="FF0000"/>
                      <w:kern w:val="0"/>
                      <w:lang w:val="en-US" w:eastAsia="zh-CN"/>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30</w:t>
                  </w:r>
                  <w:r>
                    <w:rPr>
                      <w:rFonts w:hint="default" w:ascii="Times New Roman" w:hAnsi="Times New Roman" w:cs="Times New Roman"/>
                      <w:color w:val="auto"/>
                      <w:kern w:val="0"/>
                      <w:lang w:val="en-US" w:eastAsia="zh-CN"/>
                    </w:rPr>
                    <w:t>户</w:t>
                  </w:r>
                </w:p>
              </w:tc>
              <w:tc>
                <w:tcPr>
                  <w:tcW w:w="766" w:type="pct"/>
                  <w:vAlign w:val="center"/>
                </w:tcPr>
                <w:p>
                  <w:pPr>
                    <w:pStyle w:val="239"/>
                    <w:jc w:val="center"/>
                    <w:rPr>
                      <w:rFonts w:hint="default" w:ascii="Times New Roman" w:hAnsi="Times New Roman" w:cs="Times New Roman"/>
                      <w:color w:val="auto"/>
                      <w:kern w:val="0"/>
                      <w:lang w:val="en-US" w:eastAsia="zh-CN"/>
                    </w:rPr>
                  </w:pPr>
                  <w:r>
                    <w:rPr>
                      <w:rFonts w:hint="eastAsia" w:cs="Times New Roman"/>
                      <w:color w:val="auto"/>
                      <w:kern w:val="0"/>
                      <w:lang w:val="en-US" w:eastAsia="zh-CN"/>
                    </w:rPr>
                    <w:t>257</w:t>
                  </w:r>
                </w:p>
              </w:tc>
              <w:tc>
                <w:tcPr>
                  <w:tcW w:w="768" w:type="pct"/>
                  <w:vMerge w:val="continue"/>
                  <w:vAlign w:val="center"/>
                </w:tcPr>
                <w:p>
                  <w:pPr>
                    <w:pStyle w:val="239"/>
                    <w:jc w:val="center"/>
                    <w:rPr>
                      <w:rFonts w:hint="default" w:ascii="Times New Roman" w:hAnsi="Times New Roman" w:cs="Times New Roman"/>
                      <w:color w:val="FF0000"/>
                      <w:kern w:val="0"/>
                    </w:rPr>
                  </w:pPr>
                </w:p>
              </w:tc>
            </w:tr>
          </w:tbl>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2、声环境</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本项目声环境保护目标为厂界外</w:t>
            </w:r>
            <w:r>
              <w:rPr>
                <w:rFonts w:hint="eastAsia" w:cs="Times New Roman"/>
                <w:color w:val="auto"/>
                <w:sz w:val="24"/>
                <w:lang w:val="en-US" w:eastAsia="zh-CN"/>
              </w:rPr>
              <w:t>5</w:t>
            </w:r>
            <w:r>
              <w:rPr>
                <w:rFonts w:hint="default" w:ascii="Times New Roman" w:hAnsi="Times New Roman" w:cs="Times New Roman"/>
                <w:color w:val="auto"/>
                <w:sz w:val="24"/>
              </w:rPr>
              <w:t>0m范围内的敏感点，</w:t>
            </w:r>
            <w:r>
              <w:rPr>
                <w:rFonts w:hint="eastAsia"/>
                <w:color w:val="auto"/>
                <w:sz w:val="24"/>
                <w:lang w:val="en-US" w:eastAsia="zh-CN"/>
              </w:rPr>
              <w:t>项目周边居民区执行《声环境质量标准》（GB3096-2008）2类标准，</w:t>
            </w:r>
            <w:r>
              <w:rPr>
                <w:color w:val="auto"/>
                <w:sz w:val="24"/>
              </w:rPr>
              <w:t>具体如下表所示</w:t>
            </w:r>
            <w:r>
              <w:rPr>
                <w:rFonts w:hint="default" w:ascii="Times New Roman" w:hAnsi="Times New Roman" w:cs="Times New Roman"/>
                <w:color w:val="auto"/>
                <w:sz w:val="24"/>
              </w:rPr>
              <w:t>。</w:t>
            </w:r>
          </w:p>
          <w:p>
            <w:pPr>
              <w:widowControl/>
              <w:numPr>
                <w:ilvl w:val="0"/>
                <w:numId w:val="12"/>
              </w:numPr>
              <w:adjustRightInd w:val="0"/>
              <w:snapToGrid w:val="0"/>
              <w:jc w:val="center"/>
              <w:rPr>
                <w:rFonts w:hint="default" w:ascii="Times New Roman" w:hAnsi="Times New Roman" w:eastAsia="宋体" w:cs="Times New Roman"/>
                <w:b/>
                <w:color w:val="auto"/>
                <w:szCs w:val="18"/>
                <w:lang w:val="en-US" w:eastAsia="zh-CN"/>
              </w:rPr>
            </w:pPr>
            <w:r>
              <w:rPr>
                <w:rFonts w:hint="default" w:ascii="Times New Roman" w:hAnsi="Times New Roman" w:eastAsia="宋体" w:cs="Times New Roman"/>
                <w:b/>
                <w:color w:val="auto"/>
                <w:szCs w:val="18"/>
                <w:lang w:val="en-US" w:eastAsia="zh-CN"/>
              </w:rPr>
              <w:t>本项目声环境主要保护目标</w:t>
            </w:r>
          </w:p>
          <w:tbl>
            <w:tblPr>
              <w:tblStyle w:val="38"/>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251"/>
              <w:gridCol w:w="2580"/>
              <w:gridCol w:w="1247"/>
              <w:gridCol w:w="1126"/>
              <w:gridCol w:w="15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9"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环境</w:t>
                  </w:r>
                </w:p>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lang w:val="en-US"/>
                    </w:rPr>
                  </w:pPr>
                  <w:r>
                    <w:rPr>
                      <w:rFonts w:hint="default" w:ascii="Times New Roman" w:hAnsi="Times New Roman" w:cs="Times New Roman"/>
                      <w:b/>
                      <w:bCs/>
                      <w:color w:val="auto"/>
                    </w:rPr>
                    <w:t>要素</w:t>
                  </w:r>
                </w:p>
              </w:tc>
              <w:tc>
                <w:tcPr>
                  <w:tcW w:w="738"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lang w:val="en-US"/>
                    </w:rPr>
                  </w:pPr>
                  <w:r>
                    <w:rPr>
                      <w:rFonts w:hint="default" w:ascii="Times New Roman" w:hAnsi="Times New Roman" w:cs="Times New Roman"/>
                      <w:b/>
                      <w:bCs/>
                      <w:color w:val="auto"/>
                      <w:lang w:val="en-US"/>
                    </w:rPr>
                    <w:t>声环境保护目标</w:t>
                  </w:r>
                </w:p>
              </w:tc>
              <w:tc>
                <w:tcPr>
                  <w:tcW w:w="1522"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位置</w:t>
                  </w:r>
                </w:p>
              </w:tc>
              <w:tc>
                <w:tcPr>
                  <w:tcW w:w="736"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lang w:val="en-US"/>
                    </w:rPr>
                  </w:pPr>
                  <w:r>
                    <w:rPr>
                      <w:rFonts w:hint="default" w:ascii="Times New Roman" w:hAnsi="Times New Roman" w:cs="Times New Roman"/>
                      <w:b/>
                      <w:bCs/>
                      <w:color w:val="auto"/>
                      <w:lang w:val="en-US" w:eastAsia="zh-CN"/>
                    </w:rPr>
                    <w:t>与项目</w:t>
                  </w:r>
                  <w:r>
                    <w:rPr>
                      <w:rFonts w:hint="eastAsia" w:cs="Times New Roman"/>
                      <w:b/>
                      <w:bCs/>
                      <w:color w:val="auto"/>
                      <w:lang w:val="en-US" w:eastAsia="zh-CN"/>
                    </w:rPr>
                    <w:t>最近</w:t>
                  </w:r>
                  <w:r>
                    <w:rPr>
                      <w:rFonts w:hint="default" w:ascii="Times New Roman" w:hAnsi="Times New Roman" w:cs="Times New Roman"/>
                      <w:b/>
                      <w:bCs/>
                      <w:color w:val="auto"/>
                      <w:lang w:val="en-US"/>
                    </w:rPr>
                    <w:t>距离/m</w:t>
                  </w:r>
                </w:p>
              </w:tc>
              <w:tc>
                <w:tcPr>
                  <w:tcW w:w="664"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lang w:val="en-US"/>
                    </w:rPr>
                  </w:pPr>
                  <w:r>
                    <w:rPr>
                      <w:rFonts w:hint="default" w:ascii="Times New Roman" w:hAnsi="Times New Roman" w:cs="Times New Roman"/>
                      <w:b/>
                      <w:bCs/>
                      <w:color w:val="auto"/>
                      <w:lang w:val="en-US"/>
                    </w:rPr>
                    <w:t>执行标准/功能区类别</w:t>
                  </w:r>
                </w:p>
              </w:tc>
              <w:tc>
                <w:tcPr>
                  <w:tcW w:w="908"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bCs/>
                      <w:color w:val="auto"/>
                      <w:lang w:val="en-US"/>
                    </w:rPr>
                  </w:pPr>
                  <w:r>
                    <w:rPr>
                      <w:rFonts w:hint="default" w:ascii="Times New Roman" w:hAnsi="Times New Roman" w:cs="Times New Roman"/>
                      <w:b/>
                      <w:bCs/>
                      <w:color w:val="auto"/>
                      <w:lang w:val="en-US"/>
                    </w:rPr>
                    <w:t>声环境保护目标情况说明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9" w:type="pct"/>
                  <w:vMerge w:val="restart"/>
                  <w:vAlign w:val="center"/>
                </w:tcPr>
                <w:p>
                  <w:pPr>
                    <w:pStyle w:val="12"/>
                    <w:keepNext w:val="0"/>
                    <w:keepLines w:val="0"/>
                    <w:pageBreakBefore w:val="0"/>
                    <w:kinsoku/>
                    <w:wordWrap/>
                    <w:overflowPunct/>
                    <w:topLinePunct w:val="0"/>
                    <w:autoSpaceDE/>
                    <w:autoSpaceDN/>
                    <w:bidi w:val="0"/>
                    <w:adjustRightInd/>
                    <w:spacing w:line="240" w:lineRule="auto"/>
                    <w:ind w:left="0" w:leftChars="0"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738"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1</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居民区</w:t>
                  </w:r>
                </w:p>
              </w:tc>
              <w:tc>
                <w:tcPr>
                  <w:tcW w:w="1522"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lang w:val="en-US" w:eastAsia="zh-CN"/>
                    </w:rPr>
                    <w:t>芝溪河左一段</w:t>
                  </w:r>
                  <w:r>
                    <w:rPr>
                      <w:rFonts w:hint="eastAsia" w:ascii="Times New Roman" w:hAnsi="Times New Roman" w:cs="Times New Roman"/>
                      <w:color w:val="auto"/>
                      <w:lang w:val="en-US" w:eastAsia="zh-CN"/>
                    </w:rPr>
                    <w:t>东侧，左岸</w:t>
                  </w:r>
                </w:p>
              </w:tc>
              <w:tc>
                <w:tcPr>
                  <w:tcW w:w="736"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35</w:t>
                  </w:r>
                </w:p>
              </w:tc>
              <w:tc>
                <w:tcPr>
                  <w:tcW w:w="664" w:type="pct"/>
                  <w:vMerge w:val="restar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《声环境质量标准》（GB3096-2008）2类标准</w:t>
                  </w:r>
                </w:p>
              </w:tc>
              <w:tc>
                <w:tcPr>
                  <w:tcW w:w="908"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kern w:val="0"/>
                      <w:lang w:val="en-US" w:eastAsia="zh-CN"/>
                    </w:rPr>
                    <w:t>居民/</w:t>
                  </w:r>
                  <w:r>
                    <w:rPr>
                      <w:rFonts w:hint="eastAsia" w:cs="Times New Roman"/>
                      <w:color w:val="auto"/>
                      <w:kern w:val="0"/>
                      <w:lang w:val="en-US" w:eastAsia="zh-CN"/>
                    </w:rPr>
                    <w:t>23</w:t>
                  </w:r>
                  <w:r>
                    <w:rPr>
                      <w:rFonts w:hint="default" w:ascii="Times New Roman" w:hAnsi="Times New Roman" w:cs="Times New Roman"/>
                      <w:color w:val="auto"/>
                      <w:kern w:val="0"/>
                      <w:lang w:val="en-US" w:eastAsia="zh-CN"/>
                    </w:rPr>
                    <w:t>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9" w:type="pct"/>
                  <w:vMerge w:val="continue"/>
                  <w:vAlign w:val="center"/>
                </w:tcPr>
                <w:p>
                  <w:pPr>
                    <w:pStyle w:val="12"/>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p>
              </w:tc>
              <w:tc>
                <w:tcPr>
                  <w:tcW w:w="738"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eastAsia" w:ascii="Times New Roman" w:hAnsi="Times New Roman" w:cs="Times New Roman"/>
                      <w:color w:val="auto"/>
                      <w:lang w:val="en-US" w:eastAsia="zh-CN"/>
                    </w:rPr>
                    <w:t>9</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居民区</w:t>
                  </w:r>
                </w:p>
              </w:tc>
              <w:tc>
                <w:tcPr>
                  <w:tcW w:w="1522"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lang w:val="zh-CN" w:eastAsia="zh-CN"/>
                    </w:rPr>
                    <w:t>牛家河左岸段</w:t>
                  </w:r>
                  <w:r>
                    <w:rPr>
                      <w:rFonts w:hint="eastAsia" w:ascii="Times New Roman" w:hAnsi="Times New Roman" w:cs="Times New Roman"/>
                      <w:color w:val="auto"/>
                      <w:lang w:val="en-US" w:eastAsia="zh-CN"/>
                    </w:rPr>
                    <w:t>北侧</w:t>
                  </w:r>
                  <w:r>
                    <w:rPr>
                      <w:rFonts w:hint="eastAsia" w:ascii="Times New Roman" w:hAnsi="Times New Roman" w:cs="Times New Roman"/>
                      <w:color w:val="auto"/>
                      <w:lang w:val="zh-CN" w:eastAsia="zh-CN"/>
                    </w:rPr>
                    <w:t>，</w:t>
                  </w:r>
                  <w:r>
                    <w:rPr>
                      <w:rFonts w:hint="eastAsia" w:ascii="Times New Roman" w:hAnsi="Times New Roman" w:cs="Times New Roman"/>
                      <w:color w:val="auto"/>
                      <w:lang w:val="en-US" w:eastAsia="zh-CN"/>
                    </w:rPr>
                    <w:t>左岸</w:t>
                  </w:r>
                </w:p>
              </w:tc>
              <w:tc>
                <w:tcPr>
                  <w:tcW w:w="736"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w:t>
                  </w:r>
                </w:p>
              </w:tc>
              <w:tc>
                <w:tcPr>
                  <w:tcW w:w="664" w:type="pct"/>
                  <w:vMerge w:val="continue"/>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p>
              </w:tc>
              <w:tc>
                <w:tcPr>
                  <w:tcW w:w="908"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kern w:val="0"/>
                      <w:lang w:val="en-US" w:eastAsia="zh-CN"/>
                    </w:rPr>
                    <w:t>居民/约</w:t>
                  </w:r>
                  <w:r>
                    <w:rPr>
                      <w:rFonts w:hint="eastAsia" w:cs="Times New Roman"/>
                      <w:color w:val="auto"/>
                      <w:kern w:val="0"/>
                      <w:lang w:val="en-US" w:eastAsia="zh-CN"/>
                    </w:rPr>
                    <w:t>500</w:t>
                  </w:r>
                  <w:r>
                    <w:rPr>
                      <w:rFonts w:hint="default" w:ascii="Times New Roman" w:hAnsi="Times New Roman" w:cs="Times New Roman"/>
                      <w:color w:val="auto"/>
                      <w:kern w:val="0"/>
                      <w:lang w:val="en-US" w:eastAsia="zh-CN"/>
                    </w:rPr>
                    <w:t>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9" w:type="pct"/>
                  <w:vMerge w:val="continue"/>
                  <w:vAlign w:val="center"/>
                </w:tcPr>
                <w:p>
                  <w:pPr>
                    <w:pStyle w:val="12"/>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p>
              </w:tc>
              <w:tc>
                <w:tcPr>
                  <w:tcW w:w="738"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lang w:val="en-US"/>
                    </w:rPr>
                    <w:t>10</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明月镇场镇</w:t>
                  </w:r>
                </w:p>
              </w:tc>
              <w:tc>
                <w:tcPr>
                  <w:tcW w:w="1522"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lang w:val="zh-CN" w:eastAsia="zh-CN"/>
                    </w:rPr>
                    <w:t>牛家河左岸段</w:t>
                  </w:r>
                  <w:r>
                    <w:rPr>
                      <w:rFonts w:hint="eastAsia" w:ascii="Times New Roman" w:hAnsi="Times New Roman" w:cs="Times New Roman"/>
                      <w:color w:val="auto"/>
                      <w:lang w:val="en-US" w:eastAsia="zh-CN"/>
                    </w:rPr>
                    <w:t>南侧</w:t>
                  </w:r>
                  <w:r>
                    <w:rPr>
                      <w:rFonts w:hint="eastAsia" w:ascii="Times New Roman" w:hAnsi="Times New Roman" w:cs="Times New Roman"/>
                      <w:color w:val="auto"/>
                      <w:lang w:val="zh-CN" w:eastAsia="zh-CN"/>
                    </w:rPr>
                    <w:t>，</w:t>
                  </w:r>
                  <w:r>
                    <w:rPr>
                      <w:rFonts w:hint="eastAsia" w:ascii="Times New Roman" w:hAnsi="Times New Roman" w:cs="Times New Roman"/>
                      <w:color w:val="auto"/>
                      <w:lang w:val="en-US" w:eastAsia="zh-CN"/>
                    </w:rPr>
                    <w:t>右岸</w:t>
                  </w:r>
                </w:p>
              </w:tc>
              <w:tc>
                <w:tcPr>
                  <w:tcW w:w="736"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25</w:t>
                  </w:r>
                </w:p>
              </w:tc>
              <w:tc>
                <w:tcPr>
                  <w:tcW w:w="664" w:type="pct"/>
                  <w:vMerge w:val="continue"/>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p>
              </w:tc>
              <w:tc>
                <w:tcPr>
                  <w:tcW w:w="908"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lang w:val="en-US" w:eastAsia="zh-CN"/>
                    </w:rPr>
                    <w:t>居民/</w:t>
                  </w:r>
                  <w:r>
                    <w:rPr>
                      <w:rFonts w:hint="eastAsia" w:cs="Times New Roman"/>
                      <w:color w:val="auto"/>
                      <w:lang w:val="en-US" w:eastAsia="zh-CN"/>
                    </w:rPr>
                    <w:t>5000人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9" w:type="pct"/>
                  <w:vMerge w:val="continue"/>
                  <w:vAlign w:val="center"/>
                </w:tcPr>
                <w:p>
                  <w:pPr>
                    <w:pStyle w:val="12"/>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rPr>
                  </w:pPr>
                </w:p>
              </w:tc>
              <w:tc>
                <w:tcPr>
                  <w:tcW w:w="738"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eastAsia" w:ascii="Times New Roman" w:hAnsi="Times New Roman" w:cs="Times New Roman"/>
                      <w:color w:val="auto"/>
                      <w:lang w:val="en-US" w:eastAsia="zh-CN"/>
                    </w:rPr>
                    <w:t>15</w:t>
                  </w:r>
                  <w:r>
                    <w:rPr>
                      <w:rFonts w:hint="default" w:ascii="Times New Roman" w:hAnsi="Times New Roman" w:cs="Times New Roman"/>
                      <w:color w:val="auto"/>
                      <w:lang w:val="en-US" w:eastAsia="zh-CN"/>
                    </w:rPr>
                    <w:t>#</w:t>
                  </w:r>
                  <w:r>
                    <w:rPr>
                      <w:rFonts w:hint="default" w:ascii="Times New Roman" w:hAnsi="Times New Roman" w:cs="Times New Roman"/>
                      <w:color w:val="auto"/>
                      <w:lang w:val="en-US"/>
                    </w:rPr>
                    <w:t>居民区</w:t>
                  </w:r>
                </w:p>
              </w:tc>
              <w:tc>
                <w:tcPr>
                  <w:tcW w:w="1522"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lang w:val="zh-CN" w:eastAsia="zh-CN"/>
                    </w:rPr>
                    <w:t>芝溪河左</w:t>
                  </w:r>
                  <w:r>
                    <w:rPr>
                      <w:rFonts w:hint="eastAsia" w:ascii="Times New Roman" w:hAnsi="Times New Roman" w:cs="Times New Roman"/>
                      <w:color w:val="auto"/>
                      <w:lang w:val="en-US" w:eastAsia="zh-CN"/>
                    </w:rPr>
                    <w:t>三</w:t>
                  </w:r>
                  <w:r>
                    <w:rPr>
                      <w:rFonts w:hint="default" w:ascii="Times New Roman" w:hAnsi="Times New Roman" w:cs="Times New Roman"/>
                      <w:color w:val="auto"/>
                      <w:lang w:val="zh-CN" w:eastAsia="zh-CN"/>
                    </w:rPr>
                    <w:t>段</w:t>
                  </w:r>
                  <w:r>
                    <w:rPr>
                      <w:rFonts w:hint="eastAsia" w:ascii="Times New Roman" w:hAnsi="Times New Roman" w:cs="Times New Roman"/>
                      <w:color w:val="auto"/>
                      <w:lang w:val="en-US" w:eastAsia="zh-CN"/>
                    </w:rPr>
                    <w:t>南侧，左岸</w:t>
                  </w:r>
                </w:p>
              </w:tc>
              <w:tc>
                <w:tcPr>
                  <w:tcW w:w="736"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w:t>
                  </w:r>
                </w:p>
              </w:tc>
              <w:tc>
                <w:tcPr>
                  <w:tcW w:w="664" w:type="pct"/>
                  <w:vMerge w:val="continue"/>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p>
              </w:tc>
              <w:tc>
                <w:tcPr>
                  <w:tcW w:w="908" w:type="pct"/>
                  <w:vAlign w:val="center"/>
                </w:tcPr>
                <w:p>
                  <w:pPr>
                    <w:pStyle w:val="239"/>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cs="Times New Roman"/>
                      <w:color w:val="auto"/>
                      <w:lang w:val="en-US" w:eastAsia="zh-CN"/>
                    </w:rPr>
                    <w:t>居民/</w:t>
                  </w:r>
                  <w:r>
                    <w:rPr>
                      <w:rFonts w:hint="eastAsia" w:cs="Times New Roman"/>
                      <w:color w:val="auto"/>
                      <w:lang w:val="en-US" w:eastAsia="zh-CN"/>
                    </w:rPr>
                    <w:t>70</w:t>
                  </w:r>
                  <w:r>
                    <w:rPr>
                      <w:rFonts w:hint="default" w:ascii="Times New Roman" w:hAnsi="Times New Roman" w:cs="Times New Roman"/>
                      <w:color w:val="auto"/>
                      <w:lang w:val="en-US" w:eastAsia="zh-CN"/>
                    </w:rPr>
                    <w:t>户</w:t>
                  </w:r>
                </w:p>
              </w:tc>
            </w:tr>
          </w:tbl>
          <w:p>
            <w:pPr>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3、生态环境</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经调查，本项目生态评价范围内无重点保护文物等特殊环境保护目标，不涉及饮用水源地保护区。根据项目排污特点和外环境现状特征，本项目主要保护对象为项目施工活动区域及周边生态评价范围可能受到影响的陆生、水生生态环境。本项目环境保护对象详见下表，根据项目排污特点和外环境现状特征，确定主要环境保护目标如下：</w:t>
            </w:r>
          </w:p>
          <w:p>
            <w:pPr>
              <w:widowControl/>
              <w:numPr>
                <w:ilvl w:val="0"/>
                <w:numId w:val="12"/>
              </w:numPr>
              <w:adjustRightInd w:val="0"/>
              <w:snapToGrid w:val="0"/>
              <w:jc w:val="center"/>
              <w:rPr>
                <w:rFonts w:hint="default" w:ascii="Times New Roman" w:hAnsi="Times New Roman" w:eastAsia="宋体" w:cs="Times New Roman"/>
                <w:b/>
                <w:color w:val="000000" w:themeColor="text1"/>
                <w:szCs w:val="18"/>
                <w:lang w:val="en-US" w:eastAsia="zh-CN"/>
                <w14:textFill>
                  <w14:solidFill>
                    <w14:schemeClr w14:val="tx1"/>
                  </w14:solidFill>
                </w14:textFill>
              </w:rPr>
            </w:pPr>
            <w:r>
              <w:rPr>
                <w:rFonts w:hint="default" w:ascii="Times New Roman" w:hAnsi="Times New Roman" w:eastAsia="宋体" w:cs="Times New Roman"/>
                <w:b/>
                <w:color w:val="000000" w:themeColor="text1"/>
                <w:szCs w:val="18"/>
                <w:lang w:val="en-US" w:eastAsia="zh-CN"/>
                <w14:textFill>
                  <w14:solidFill>
                    <w14:schemeClr w14:val="tx1"/>
                  </w14:solidFill>
                </w14:textFill>
              </w:rPr>
              <w:t>本项目生态环境主要保护目标</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336"/>
              <w:gridCol w:w="4222"/>
              <w:gridCol w:w="2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2"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t>序号</w:t>
                  </w:r>
                </w:p>
              </w:tc>
              <w:tc>
                <w:tcPr>
                  <w:tcW w:w="787"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t>保护对象</w:t>
                  </w:r>
                </w:p>
              </w:tc>
              <w:tc>
                <w:tcPr>
                  <w:tcW w:w="248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pPr>
                  <w:r>
                    <w:rPr>
                      <w:rFonts w:hint="eastAsia" w:ascii="Times New Roman" w:hAnsi="Times New Roman" w:cs="Times New Roman"/>
                      <w:b/>
                      <w:bCs/>
                      <w:color w:val="000000" w:themeColor="text1"/>
                      <w:sz w:val="21"/>
                      <w:szCs w:val="21"/>
                      <w:lang w:val="en-US" w:eastAsia="zh-CN" w:bidi="en-US"/>
                      <w14:textFill>
                        <w14:solidFill>
                          <w14:schemeClr w14:val="tx1"/>
                        </w14:solidFill>
                      </w14:textFill>
                    </w:rPr>
                    <w:t>主要内容</w:t>
                  </w:r>
                </w:p>
              </w:tc>
              <w:tc>
                <w:tcPr>
                  <w:tcW w:w="131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bidi="en-US"/>
                      <w14:textFill>
                        <w14:solidFill>
                          <w14:schemeClr w14:val="tx1"/>
                        </w14:solidFill>
                      </w14:textFill>
                    </w:rPr>
                    <w:t>主要保护内容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2"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1</w:t>
                  </w:r>
                </w:p>
              </w:tc>
              <w:tc>
                <w:tcPr>
                  <w:tcW w:w="787"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土地资源</w:t>
                  </w:r>
                </w:p>
              </w:tc>
              <w:tc>
                <w:tcPr>
                  <w:tcW w:w="2489"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eastAsia" w:ascii="Times New Roman" w:hAnsi="Times New Roman" w:cs="Times New Roman"/>
                      <w:color w:val="000000" w:themeColor="text1"/>
                      <w:spacing w:val="-2"/>
                      <w:sz w:val="21"/>
                      <w:szCs w:val="21"/>
                      <w:lang w:val="en-US" w:eastAsia="zh-CN"/>
                      <w14:textFill>
                        <w14:solidFill>
                          <w14:schemeClr w14:val="tx1"/>
                        </w14:solidFill>
                      </w14:textFill>
                    </w:rPr>
                    <w:t>新建堤防</w:t>
                  </w:r>
                </w:p>
              </w:tc>
              <w:tc>
                <w:tcPr>
                  <w:tcW w:w="1319" w:type="pct"/>
                  <w:tcBorders>
                    <w:tl2br w:val="nil"/>
                    <w:tr2bl w:val="nil"/>
                  </w:tcBorders>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pacing w:val="-1"/>
                      <w:sz w:val="21"/>
                      <w:szCs w:val="21"/>
                      <w14:textFill>
                        <w14:solidFill>
                          <w14:schemeClr w14:val="tx1"/>
                        </w14:solidFill>
                      </w14:textFill>
                    </w:rPr>
                    <w:t>严格按照征地范围用地，节约用地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2"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2</w:t>
                  </w:r>
                </w:p>
              </w:tc>
              <w:tc>
                <w:tcPr>
                  <w:tcW w:w="787"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生物多样性</w:t>
                  </w:r>
                </w:p>
              </w:tc>
              <w:tc>
                <w:tcPr>
                  <w:tcW w:w="248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评价区内的陆生生态系统、水生生态系统</w:t>
                  </w:r>
                </w:p>
              </w:tc>
              <w:tc>
                <w:tcPr>
                  <w:tcW w:w="131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生物多样性不减少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2"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3</w:t>
                  </w:r>
                </w:p>
              </w:tc>
              <w:tc>
                <w:tcPr>
                  <w:tcW w:w="787"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自然植被</w:t>
                  </w:r>
                </w:p>
              </w:tc>
              <w:tc>
                <w:tcPr>
                  <w:tcW w:w="248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评价区域主要是植被类型、面积及分布，直接占地范围未发现国家保护野生植物和古树名木；无开发利用突出资源优势和潜在开发价值的野生资源植物。</w:t>
                  </w:r>
                </w:p>
              </w:tc>
              <w:tc>
                <w:tcPr>
                  <w:tcW w:w="131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减少自然植被破坏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2"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4</w:t>
                  </w:r>
                </w:p>
              </w:tc>
              <w:tc>
                <w:tcPr>
                  <w:tcW w:w="787"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资源植物</w:t>
                  </w:r>
                </w:p>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名木古树</w:t>
                  </w:r>
                </w:p>
              </w:tc>
              <w:tc>
                <w:tcPr>
                  <w:tcW w:w="248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工程占地范围内未发现国家保护野生植物和古树名木</w:t>
                  </w:r>
                </w:p>
              </w:tc>
              <w:tc>
                <w:tcPr>
                  <w:tcW w:w="131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2"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5</w:t>
                  </w:r>
                </w:p>
              </w:tc>
              <w:tc>
                <w:tcPr>
                  <w:tcW w:w="787"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野生动物</w:t>
                  </w:r>
                </w:p>
              </w:tc>
              <w:tc>
                <w:tcPr>
                  <w:tcW w:w="248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评价区内无国家重点保护野生动物</w:t>
                  </w:r>
                </w:p>
              </w:tc>
              <w:tc>
                <w:tcPr>
                  <w:tcW w:w="131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2"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6</w:t>
                  </w:r>
                </w:p>
              </w:tc>
              <w:tc>
                <w:tcPr>
                  <w:tcW w:w="787"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景观格局</w:t>
                  </w:r>
                </w:p>
              </w:tc>
              <w:tc>
                <w:tcPr>
                  <w:tcW w:w="248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沿线评价范围内的景观风貌与景观格局</w:t>
                  </w:r>
                </w:p>
              </w:tc>
              <w:tc>
                <w:tcPr>
                  <w:tcW w:w="1319" w:type="pct"/>
                  <w:tcBorders>
                    <w:tl2br w:val="nil"/>
                    <w:tr2bl w:val="nil"/>
                  </w:tcBorders>
                  <w:vAlign w:val="center"/>
                </w:tcPr>
                <w:p>
                  <w:pPr>
                    <w:pStyle w:val="98"/>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en-US"/>
                      <w14:textFill>
                        <w14:solidFill>
                          <w14:schemeClr w14:val="tx1"/>
                        </w14:solidFill>
                      </w14:textFill>
                    </w:rPr>
                    <w:t>与周边自然景观协调</w:t>
                  </w:r>
                </w:p>
              </w:tc>
            </w:tr>
          </w:tbl>
          <w:p>
            <w:pPr>
              <w:widowControl/>
              <w:spacing w:line="360" w:lineRule="auto"/>
              <w:jc w:val="left"/>
              <w:rPr>
                <w:rFonts w:hint="default" w:ascii="Times New Roman" w:hAnsi="Times New Roman" w:cs="Times New Roman"/>
                <w:color w:val="FF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463" w:type="dxa"/>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评价</w:t>
            </w:r>
          </w:p>
          <w:p>
            <w:pPr>
              <w:adjustRightInd w:val="0"/>
              <w:snapToGrid w:val="0"/>
              <w:jc w:val="center"/>
              <w:rPr>
                <w:rFonts w:hint="default" w:ascii="Times New Roman" w:hAnsi="Times New Roman" w:cs="Times New Roman"/>
                <w:color w:val="FF0000"/>
                <w:kern w:val="0"/>
                <w:szCs w:val="21"/>
              </w:rPr>
            </w:pPr>
            <w:r>
              <w:rPr>
                <w:rFonts w:hint="default" w:ascii="Times New Roman" w:hAnsi="Times New Roman" w:cs="Times New Roman"/>
                <w:color w:val="auto"/>
                <w:kern w:val="0"/>
                <w:sz w:val="24"/>
              </w:rPr>
              <w:t>标准</w:t>
            </w:r>
          </w:p>
        </w:tc>
        <w:tc>
          <w:tcPr>
            <w:tcW w:w="8694" w:type="dxa"/>
            <w:vAlign w:val="center"/>
          </w:tcPr>
          <w:p>
            <w:pPr>
              <w:spacing w:line="360" w:lineRule="auto"/>
              <w:rPr>
                <w:rFonts w:hint="default" w:ascii="Times New Roman" w:hAnsi="Times New Roman" w:cs="Times New Roman"/>
                <w:b/>
                <w:bCs/>
                <w:color w:val="auto"/>
                <w:sz w:val="24"/>
              </w:rPr>
            </w:pPr>
            <w:r>
              <w:rPr>
                <w:rFonts w:hint="default" w:ascii="Times New Roman" w:hAnsi="Times New Roman" w:cs="Times New Roman"/>
                <w:b/>
                <w:bCs/>
                <w:color w:val="auto"/>
                <w:sz w:val="24"/>
              </w:rPr>
              <w:t>一、环境质量标准</w:t>
            </w:r>
          </w:p>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1、环境空气</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环境空气质量执行《环境空气质量标准》(GB3095-2012)中二级标准要求。</w:t>
            </w:r>
          </w:p>
          <w:p>
            <w:pPr>
              <w:widowControl/>
              <w:numPr>
                <w:ilvl w:val="0"/>
                <w:numId w:val="12"/>
              </w:numPr>
              <w:adjustRightInd w:val="0"/>
              <w:snapToGrid w:val="0"/>
              <w:jc w:val="center"/>
              <w:rPr>
                <w:rFonts w:hint="default" w:ascii="Times New Roman" w:hAnsi="Times New Roman" w:eastAsia="宋体" w:cs="Times New Roman"/>
                <w:b/>
                <w:color w:val="auto"/>
                <w:szCs w:val="18"/>
                <w:lang w:val="en-US" w:eastAsia="zh-CN"/>
              </w:rPr>
            </w:pPr>
            <w:r>
              <w:rPr>
                <w:rFonts w:hint="default" w:ascii="Times New Roman" w:hAnsi="Times New Roman" w:eastAsia="宋体" w:cs="Times New Roman"/>
                <w:b/>
                <w:color w:val="auto"/>
                <w:szCs w:val="18"/>
                <w:lang w:val="en-US" w:eastAsia="zh-CN"/>
              </w:rPr>
              <w:t>环境空气质量标准单位μg/m</w:t>
            </w:r>
            <w:r>
              <w:rPr>
                <w:rFonts w:hint="default" w:ascii="Times New Roman" w:hAnsi="Times New Roman" w:eastAsia="宋体" w:cs="Times New Roman"/>
                <w:b/>
                <w:color w:val="auto"/>
                <w:szCs w:val="18"/>
                <w:vertAlign w:val="superscript"/>
                <w:lang w:val="en-US" w:eastAsia="zh-CN"/>
              </w:rPr>
              <w:t>3</w:t>
            </w:r>
            <w:r>
              <w:rPr>
                <w:rFonts w:hint="default" w:ascii="Times New Roman" w:hAnsi="Times New Roman" w:eastAsia="宋体" w:cs="Times New Roman"/>
                <w:b/>
                <w:color w:val="auto"/>
                <w:szCs w:val="18"/>
                <w:lang w:val="en-US" w:eastAsia="zh-CN"/>
              </w:rPr>
              <w:t>，CO为mg/m</w:t>
            </w:r>
            <w:r>
              <w:rPr>
                <w:rFonts w:hint="default" w:ascii="Times New Roman" w:hAnsi="Times New Roman" w:eastAsia="宋体" w:cs="Times New Roman"/>
                <w:b/>
                <w:color w:val="auto"/>
                <w:szCs w:val="18"/>
                <w:vertAlign w:val="superscript"/>
                <w:lang w:val="en-US" w:eastAsia="zh-CN"/>
              </w:rPr>
              <w:t>3</w:t>
            </w:r>
          </w:p>
          <w:tbl>
            <w:tblPr>
              <w:tblStyle w:val="3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98"/>
              <w:gridCol w:w="2098"/>
              <w:gridCol w:w="2100"/>
              <w:gridCol w:w="21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评价因子</w:t>
                  </w:r>
                </w:p>
              </w:tc>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平均时段</w:t>
                  </w:r>
                </w:p>
              </w:tc>
              <w:tc>
                <w:tcPr>
                  <w:tcW w:w="1238" w:type="pct"/>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 w:val="21"/>
                      <w:szCs w:val="21"/>
                    </w:rPr>
                    <w:t>标准限值</w:t>
                  </w:r>
                  <w:r>
                    <w:rPr>
                      <w:rFonts w:hint="default" w:ascii="Times New Roman" w:hAnsi="Times New Roman" w:eastAsia="宋体" w:cs="Times New Roman"/>
                      <w:b/>
                      <w:bCs/>
                      <w:color w:val="auto"/>
                      <w:sz w:val="21"/>
                      <w:szCs w:val="21"/>
                    </w:rPr>
                    <w:t>(μg/m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1286" w:type="pct"/>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238"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1286" w:type="pct"/>
                  <w:vMerge w:val="restar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2</w:t>
                  </w:r>
                </w:p>
              </w:tc>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1小时平均</w:t>
                  </w:r>
                </w:p>
              </w:tc>
              <w:tc>
                <w:tcPr>
                  <w:tcW w:w="1238"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1286" w:type="pct"/>
                  <w:vMerge w:val="continue"/>
                  <w:vAlign w:val="center"/>
                </w:tcPr>
                <w:p>
                  <w:pPr>
                    <w:pStyle w:val="55"/>
                    <w:keepNext w:val="0"/>
                    <w:keepLines w:val="0"/>
                    <w:pageBreakBefore w:val="0"/>
                    <w:widowControl w:val="0"/>
                    <w:wordWrap/>
                    <w:topLinePunct w:val="0"/>
                    <w:bidi w:val="0"/>
                    <w:adjustRightInd w:val="0"/>
                    <w:snapToGrid w:val="0"/>
                    <w:spacing w:line="240" w:lineRule="auto"/>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10</w:t>
                  </w:r>
                </w:p>
              </w:tc>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238"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w:t>
                  </w:r>
                </w:p>
              </w:tc>
              <w:tc>
                <w:tcPr>
                  <w:tcW w:w="1286" w:type="pct"/>
                  <w:vMerge w:val="continue"/>
                  <w:vAlign w:val="center"/>
                </w:tcPr>
                <w:p>
                  <w:pPr>
                    <w:pStyle w:val="55"/>
                    <w:keepNext w:val="0"/>
                    <w:keepLines w:val="0"/>
                    <w:pageBreakBefore w:val="0"/>
                    <w:widowControl w:val="0"/>
                    <w:wordWrap/>
                    <w:topLinePunct w:val="0"/>
                    <w:bidi w:val="0"/>
                    <w:adjustRightInd w:val="0"/>
                    <w:snapToGrid w:val="0"/>
                    <w:spacing w:line="240" w:lineRule="auto"/>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PM</w:t>
                  </w:r>
                  <w:r>
                    <w:rPr>
                      <w:rFonts w:hint="default" w:ascii="Times New Roman" w:hAnsi="Times New Roman" w:eastAsia="宋体" w:cs="Times New Roman"/>
                      <w:color w:val="auto"/>
                      <w:sz w:val="21"/>
                      <w:szCs w:val="21"/>
                      <w:vertAlign w:val="subscript"/>
                    </w:rPr>
                    <w:t>2.5</w:t>
                  </w:r>
                </w:p>
              </w:tc>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238"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1286" w:type="pct"/>
                  <w:vMerge w:val="continue"/>
                  <w:vAlign w:val="center"/>
                </w:tcPr>
                <w:p>
                  <w:pPr>
                    <w:pStyle w:val="55"/>
                    <w:keepNext w:val="0"/>
                    <w:keepLines w:val="0"/>
                    <w:pageBreakBefore w:val="0"/>
                    <w:widowControl w:val="0"/>
                    <w:wordWrap/>
                    <w:topLinePunct w:val="0"/>
                    <w:bidi w:val="0"/>
                    <w:adjustRightInd w:val="0"/>
                    <w:snapToGrid w:val="0"/>
                    <w:spacing w:line="240" w:lineRule="auto"/>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p>
              </w:tc>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日最大8小时平均</w:t>
                  </w:r>
                </w:p>
              </w:tc>
              <w:tc>
                <w:tcPr>
                  <w:tcW w:w="1238"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160</w:t>
                  </w:r>
                </w:p>
              </w:tc>
              <w:tc>
                <w:tcPr>
                  <w:tcW w:w="1286" w:type="pct"/>
                  <w:vMerge w:val="continue"/>
                  <w:vAlign w:val="center"/>
                </w:tcPr>
                <w:p>
                  <w:pPr>
                    <w:pStyle w:val="55"/>
                    <w:keepNext w:val="0"/>
                    <w:keepLines w:val="0"/>
                    <w:pageBreakBefore w:val="0"/>
                    <w:widowControl w:val="0"/>
                    <w:wordWrap/>
                    <w:topLinePunct w:val="0"/>
                    <w:bidi w:val="0"/>
                    <w:adjustRightInd w:val="0"/>
                    <w:snapToGrid w:val="0"/>
                    <w:spacing w:line="240" w:lineRule="auto"/>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p>
              </w:tc>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238"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w:t>
                  </w:r>
                </w:p>
              </w:tc>
              <w:tc>
                <w:tcPr>
                  <w:tcW w:w="1286" w:type="pct"/>
                  <w:vMerge w:val="continue"/>
                  <w:vAlign w:val="center"/>
                </w:tcPr>
                <w:p>
                  <w:pPr>
                    <w:pStyle w:val="55"/>
                    <w:keepNext w:val="0"/>
                    <w:keepLines w:val="0"/>
                    <w:pageBreakBefore w:val="0"/>
                    <w:widowControl w:val="0"/>
                    <w:wordWrap/>
                    <w:topLinePunct w:val="0"/>
                    <w:bidi w:val="0"/>
                    <w:adjustRightInd w:val="0"/>
                    <w:snapToGrid w:val="0"/>
                    <w:spacing w:line="240" w:lineRule="auto"/>
                    <w:textAlignment w:val="auto"/>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TSP</w:t>
                  </w:r>
                </w:p>
              </w:tc>
              <w:tc>
                <w:tcPr>
                  <w:tcW w:w="1237"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24小时平均</w:t>
                  </w:r>
                </w:p>
              </w:tc>
              <w:tc>
                <w:tcPr>
                  <w:tcW w:w="1238" w:type="pct"/>
                  <w:vAlign w:val="center"/>
                </w:tcPr>
                <w:p>
                  <w:pPr>
                    <w:pStyle w:val="55"/>
                    <w:keepNext w:val="0"/>
                    <w:keepLines w:val="0"/>
                    <w:pageBreakBefore w:val="0"/>
                    <w:widowControl w:val="0"/>
                    <w:wordWrap/>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1286" w:type="pct"/>
                  <w:vMerge w:val="continue"/>
                  <w:vAlign w:val="center"/>
                </w:tcPr>
                <w:p>
                  <w:pPr>
                    <w:pStyle w:val="55"/>
                    <w:keepNext w:val="0"/>
                    <w:keepLines w:val="0"/>
                    <w:pageBreakBefore w:val="0"/>
                    <w:widowControl w:val="0"/>
                    <w:wordWrap/>
                    <w:topLinePunct w:val="0"/>
                    <w:bidi w:val="0"/>
                    <w:adjustRightInd w:val="0"/>
                    <w:snapToGrid w:val="0"/>
                    <w:spacing w:line="240" w:lineRule="auto"/>
                    <w:textAlignment w:val="auto"/>
                    <w:rPr>
                      <w:rFonts w:hint="default" w:ascii="Times New Roman" w:hAnsi="Times New Roman" w:eastAsia="宋体" w:cs="Times New Roman"/>
                      <w:color w:val="auto"/>
                      <w:sz w:val="21"/>
                      <w:szCs w:val="21"/>
                    </w:rPr>
                  </w:pPr>
                </w:p>
              </w:tc>
            </w:tr>
          </w:tbl>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2、地表水环境</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地表水环境质量执行《地表水环境质量标准》(GB3838-2002)中III类水域标准。</w:t>
            </w:r>
          </w:p>
          <w:p>
            <w:pPr>
              <w:widowControl/>
              <w:numPr>
                <w:ilvl w:val="0"/>
                <w:numId w:val="12"/>
              </w:numPr>
              <w:adjustRightInd w:val="0"/>
              <w:snapToGrid w:val="0"/>
              <w:jc w:val="center"/>
              <w:rPr>
                <w:rFonts w:hint="default" w:ascii="Times New Roman" w:hAnsi="Times New Roman" w:eastAsia="宋体" w:cs="Times New Roman"/>
                <w:b/>
                <w:color w:val="auto"/>
                <w:szCs w:val="18"/>
                <w:lang w:val="en-US" w:eastAsia="zh-CN"/>
              </w:rPr>
            </w:pPr>
            <w:r>
              <w:rPr>
                <w:rFonts w:hint="default" w:ascii="Times New Roman" w:hAnsi="Times New Roman" w:eastAsia="宋体" w:cs="Times New Roman"/>
                <w:b/>
                <w:color w:val="auto"/>
                <w:szCs w:val="18"/>
                <w:lang w:val="en-US" w:eastAsia="zh-CN"/>
              </w:rPr>
              <w:t>地表水环境质量标准</w:t>
            </w:r>
          </w:p>
          <w:tbl>
            <w:tblPr>
              <w:tblStyle w:val="3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23"/>
              <w:gridCol w:w="2867"/>
              <w:gridCol w:w="26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23" w:type="pct"/>
                  <w:shd w:val="clear" w:color="auto" w:fill="auto"/>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w:t>
                  </w:r>
                </w:p>
              </w:tc>
              <w:tc>
                <w:tcPr>
                  <w:tcW w:w="1690" w:type="pct"/>
                  <w:shd w:val="clear" w:color="auto" w:fill="auto"/>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单位</w:t>
                  </w:r>
                </w:p>
              </w:tc>
              <w:tc>
                <w:tcPr>
                  <w:tcW w:w="1585"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III类水质标准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23" w:type="pct"/>
                  <w:shd w:val="clear" w:color="auto" w:fill="auto"/>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color w:val="auto"/>
                      <w:szCs w:val="21"/>
                    </w:rPr>
                    <w:t>pH</w:t>
                  </w:r>
                </w:p>
              </w:tc>
              <w:tc>
                <w:tcPr>
                  <w:tcW w:w="1690" w:type="pct"/>
                  <w:shd w:val="clear" w:color="auto" w:fill="auto"/>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color w:val="auto"/>
                      <w:szCs w:val="21"/>
                    </w:rPr>
                    <w:t>无量纲</w:t>
                  </w:r>
                </w:p>
              </w:tc>
              <w:tc>
                <w:tcPr>
                  <w:tcW w:w="1585"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23"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溶解氧</w:t>
                  </w:r>
                </w:p>
              </w:tc>
              <w:tc>
                <w:tcPr>
                  <w:tcW w:w="1690"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585"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23" w:type="pct"/>
                  <w:shd w:val="clear" w:color="auto" w:fill="auto"/>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color w:val="auto"/>
                      <w:szCs w:val="21"/>
                    </w:rPr>
                    <w:t>COD</w:t>
                  </w:r>
                </w:p>
              </w:tc>
              <w:tc>
                <w:tcPr>
                  <w:tcW w:w="1690" w:type="pct"/>
                  <w:shd w:val="clear" w:color="auto" w:fill="auto"/>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color w:val="auto"/>
                      <w:szCs w:val="21"/>
                    </w:rPr>
                    <w:t>mg/L</w:t>
                  </w:r>
                </w:p>
              </w:tc>
              <w:tc>
                <w:tcPr>
                  <w:tcW w:w="1585"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23" w:type="pct"/>
                  <w:shd w:val="clear" w:color="auto" w:fill="auto"/>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1690" w:type="pct"/>
                  <w:shd w:val="clear" w:color="auto" w:fill="auto"/>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color w:val="auto"/>
                      <w:szCs w:val="21"/>
                    </w:rPr>
                    <w:t>mg/L</w:t>
                  </w:r>
                </w:p>
              </w:tc>
              <w:tc>
                <w:tcPr>
                  <w:tcW w:w="1585"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23" w:type="pct"/>
                  <w:shd w:val="clear" w:color="auto" w:fill="auto"/>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690" w:type="pct"/>
                  <w:shd w:val="clear" w:color="auto" w:fill="auto"/>
                  <w:vAlign w:val="center"/>
                </w:tcPr>
                <w:p>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color w:val="auto"/>
                      <w:szCs w:val="21"/>
                    </w:rPr>
                    <w:t>mg/L</w:t>
                  </w:r>
                </w:p>
              </w:tc>
              <w:tc>
                <w:tcPr>
                  <w:tcW w:w="1585"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23"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总磷</w:t>
                  </w:r>
                </w:p>
              </w:tc>
              <w:tc>
                <w:tcPr>
                  <w:tcW w:w="1690"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585"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23"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1690"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mg/L</w:t>
                  </w:r>
                </w:p>
              </w:tc>
              <w:tc>
                <w:tcPr>
                  <w:tcW w:w="1585" w:type="pct"/>
                  <w:shd w:val="clear" w:color="auto" w:fill="auto"/>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bl>
          <w:p>
            <w:pPr>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3、声环境</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本项目所在区域为声环境功能2类区，执行《声环境质量标准》(GB3096-2008)表中2类标准。</w:t>
            </w:r>
          </w:p>
          <w:p>
            <w:pPr>
              <w:widowControl/>
              <w:numPr>
                <w:ilvl w:val="0"/>
                <w:numId w:val="12"/>
              </w:numPr>
              <w:adjustRightInd w:val="0"/>
              <w:snapToGrid w:val="0"/>
              <w:jc w:val="center"/>
              <w:rPr>
                <w:rFonts w:hint="default" w:ascii="Times New Roman" w:hAnsi="Times New Roman" w:eastAsia="宋体" w:cs="Times New Roman"/>
                <w:b/>
                <w:color w:val="auto"/>
                <w:szCs w:val="18"/>
                <w:lang w:val="en-US" w:eastAsia="zh-CN"/>
              </w:rPr>
            </w:pPr>
            <w:r>
              <w:rPr>
                <w:rFonts w:hint="default" w:ascii="Times New Roman" w:hAnsi="Times New Roman" w:eastAsia="宋体" w:cs="Times New Roman"/>
                <w:b/>
                <w:color w:val="auto"/>
                <w:szCs w:val="18"/>
                <w:lang w:val="en-US" w:eastAsia="zh-CN"/>
              </w:rPr>
              <w:t>声环境质量标准</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2815"/>
              <w:gridCol w:w="31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55" w:type="pct"/>
                  <w:vMerge w:val="restart"/>
                  <w:vAlign w:val="center"/>
                </w:tcPr>
                <w:p>
                  <w:pPr>
                    <w:spacing w:line="27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相关标准限值dB(A)</w:t>
                  </w:r>
                </w:p>
              </w:tc>
              <w:tc>
                <w:tcPr>
                  <w:tcW w:w="1660" w:type="pct"/>
                  <w:vAlign w:val="center"/>
                </w:tcPr>
                <w:p>
                  <w:pPr>
                    <w:spacing w:line="276"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昼间</w:t>
                  </w:r>
                </w:p>
              </w:tc>
              <w:tc>
                <w:tcPr>
                  <w:tcW w:w="1885" w:type="pct"/>
                  <w:vAlign w:val="center"/>
                </w:tcPr>
                <w:p>
                  <w:pPr>
                    <w:spacing w:line="276" w:lineRule="auto"/>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455" w:type="pct"/>
                  <w:vMerge w:val="continue"/>
                  <w:vAlign w:val="center"/>
                </w:tcPr>
                <w:p>
                  <w:pPr>
                    <w:spacing w:line="276" w:lineRule="auto"/>
                    <w:jc w:val="center"/>
                    <w:rPr>
                      <w:rFonts w:hint="default" w:ascii="Times New Roman" w:hAnsi="Times New Roman" w:cs="Times New Roman"/>
                      <w:color w:val="auto"/>
                      <w:kern w:val="0"/>
                      <w:szCs w:val="21"/>
                    </w:rPr>
                  </w:pPr>
                </w:p>
              </w:tc>
              <w:tc>
                <w:tcPr>
                  <w:tcW w:w="1660" w:type="pct"/>
                  <w:vAlign w:val="center"/>
                </w:tcPr>
                <w:p>
                  <w:pPr>
                    <w:spacing w:line="27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60</w:t>
                  </w:r>
                </w:p>
              </w:tc>
              <w:tc>
                <w:tcPr>
                  <w:tcW w:w="1885" w:type="pct"/>
                  <w:vAlign w:val="center"/>
                </w:tcPr>
                <w:p>
                  <w:pPr>
                    <w:spacing w:line="276" w:lineRule="auto"/>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w:t>
                  </w:r>
                </w:p>
              </w:tc>
            </w:tr>
          </w:tbl>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4、土壤环境质量</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本项目占地范围内土壤环境质量执行《土壤环境质量农用地土壤污染风险管控标准》（GB15618-2018）相关标准，具体标准值见下表：</w:t>
            </w:r>
          </w:p>
          <w:p>
            <w:pPr>
              <w:widowControl/>
              <w:numPr>
                <w:ilvl w:val="0"/>
                <w:numId w:val="12"/>
              </w:numPr>
              <w:adjustRightInd w:val="0"/>
              <w:snapToGrid w:val="0"/>
              <w:jc w:val="center"/>
              <w:rPr>
                <w:rFonts w:hint="default" w:ascii="Times New Roman" w:hAnsi="Times New Roman" w:eastAsia="宋体" w:cs="Times New Roman"/>
                <w:b/>
                <w:color w:val="000000" w:themeColor="text1"/>
                <w:szCs w:val="18"/>
                <w:lang w:val="en-US" w:eastAsia="zh-CN"/>
                <w14:textFill>
                  <w14:solidFill>
                    <w14:schemeClr w14:val="tx1"/>
                  </w14:solidFill>
                </w14:textFill>
              </w:rPr>
            </w:pPr>
            <w:r>
              <w:rPr>
                <w:rFonts w:hint="default" w:ascii="Times New Roman" w:hAnsi="Times New Roman" w:eastAsia="宋体" w:cs="Times New Roman"/>
                <w:b/>
                <w:color w:val="000000" w:themeColor="text1"/>
                <w:szCs w:val="18"/>
                <w:lang w:val="en-US" w:eastAsia="zh-CN"/>
                <w14:textFill>
                  <w14:solidFill>
                    <w14:schemeClr w14:val="tx1"/>
                  </w14:solidFill>
                </w14:textFill>
              </w:rPr>
              <w:t>农用地土壤污染风险筛选值单位：mg/kg</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083"/>
              <w:gridCol w:w="2124"/>
              <w:gridCol w:w="2124"/>
              <w:gridCol w:w="21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8" w:type="pct"/>
                  <w:gridSpan w:val="2"/>
                  <w:vAlign w:val="center"/>
                </w:tcPr>
                <w:p>
                  <w:pPr>
                    <w:pStyle w:val="239"/>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监测指标</w:t>
                  </w:r>
                </w:p>
              </w:tc>
              <w:tc>
                <w:tcPr>
                  <w:tcW w:w="3761" w:type="pct"/>
                  <w:gridSpan w:val="3"/>
                  <w:vAlign w:val="center"/>
                </w:tcPr>
                <w:p>
                  <w:pPr>
                    <w:pStyle w:val="239"/>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《土壤环境质量农用地土壤污染风险管控标准》（GB15618-2018）标准限值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8" w:type="pct"/>
                  <w:gridSpan w:val="2"/>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pH</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Style w:val="79"/>
                      <w:rFonts w:hint="default" w:ascii="Times New Roman" w:hAnsi="Times New Roman" w:eastAsia="等线" w:cs="Times New Roman"/>
                      <w:color w:val="000000" w:themeColor="text1"/>
                      <w14:textFill>
                        <w14:solidFill>
                          <w14:schemeClr w14:val="tx1"/>
                        </w14:solidFill>
                      </w14:textFill>
                    </w:rPr>
                    <w:t>5.5&lt;pH</w:t>
                  </w:r>
                  <w:r>
                    <w:rPr>
                      <w:rStyle w:val="80"/>
                      <w:rFonts w:hint="default" w:ascii="Times New Roman" w:hAnsi="Times New Roman" w:cs="Times New Roman"/>
                      <w:color w:val="000000" w:themeColor="text1"/>
                      <w14:textFill>
                        <w14:solidFill>
                          <w14:schemeClr w14:val="tx1"/>
                        </w14:solidFill>
                      </w14:textFill>
                    </w:rPr>
                    <w:t>≤</w:t>
                  </w:r>
                  <w:r>
                    <w:rPr>
                      <w:rStyle w:val="79"/>
                      <w:rFonts w:hint="default" w:ascii="Times New Roman" w:hAnsi="Times New Roman" w:eastAsia="等线" w:cs="Times New Roman"/>
                      <w:color w:val="000000" w:themeColor="text1"/>
                      <w14:textFill>
                        <w14:solidFill>
                          <w14:schemeClr w14:val="tx1"/>
                        </w14:solidFill>
                      </w14:textFill>
                    </w:rPr>
                    <w:t>6.5</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6.5&lt;pH≤7.5</w:t>
                  </w:r>
                </w:p>
              </w:tc>
              <w:tc>
                <w:tcPr>
                  <w:tcW w:w="1254"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pH&gt;7.5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restar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镉</w:t>
                  </w:r>
                </w:p>
              </w:tc>
              <w:tc>
                <w:tcPr>
                  <w:tcW w:w="639" w:type="pct"/>
                  <w:vAlign w:val="center"/>
                </w:tcPr>
                <w:p>
                  <w:pPr>
                    <w:pStyle w:val="239"/>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水田</w:t>
                  </w:r>
                </w:p>
              </w:tc>
              <w:tc>
                <w:tcPr>
                  <w:tcW w:w="1253" w:type="pct"/>
                  <w:vAlign w:val="center"/>
                </w:tcPr>
                <w:p>
                  <w:pPr>
                    <w:pStyle w:val="239"/>
                    <w:rPr>
                      <w:rStyle w:val="79"/>
                      <w:rFonts w:hint="default" w:ascii="Times New Roman" w:hAnsi="Times New Roman" w:eastAsia="等线" w:cs="Times New Roman"/>
                      <w:color w:val="000000" w:themeColor="text1"/>
                      <w:lang w:val="en-US"/>
                      <w14:textFill>
                        <w14:solidFill>
                          <w14:schemeClr w14:val="tx1"/>
                        </w14:solidFill>
                      </w14:textFill>
                    </w:rPr>
                  </w:pPr>
                  <w:r>
                    <w:rPr>
                      <w:rStyle w:val="79"/>
                      <w:rFonts w:hint="default" w:ascii="Times New Roman" w:hAnsi="Times New Roman" w:eastAsia="等线" w:cs="Times New Roman"/>
                      <w:color w:val="000000" w:themeColor="text1"/>
                      <w:lang w:val="en-US"/>
                      <w14:textFill>
                        <w14:solidFill>
                          <w14:schemeClr w14:val="tx1"/>
                        </w14:solidFill>
                      </w14:textFill>
                    </w:rPr>
                    <w:t>0.4</w:t>
                  </w:r>
                </w:p>
              </w:tc>
              <w:tc>
                <w:tcPr>
                  <w:tcW w:w="1253" w:type="pct"/>
                  <w:vAlign w:val="center"/>
                </w:tcPr>
                <w:p>
                  <w:pPr>
                    <w:pStyle w:val="239"/>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0.6</w:t>
                  </w:r>
                </w:p>
              </w:tc>
              <w:tc>
                <w:tcPr>
                  <w:tcW w:w="1254"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continue"/>
                  <w:vAlign w:val="center"/>
                </w:tcPr>
                <w:p>
                  <w:pPr>
                    <w:pStyle w:val="239"/>
                    <w:rPr>
                      <w:rFonts w:hint="default" w:ascii="Times New Roman" w:hAnsi="Times New Roman" w:cs="Times New Roman"/>
                      <w:color w:val="000000" w:themeColor="text1"/>
                      <w14:textFill>
                        <w14:solidFill>
                          <w14:schemeClr w14:val="tx1"/>
                        </w14:solidFill>
                      </w14:textFill>
                    </w:rPr>
                  </w:pPr>
                </w:p>
              </w:tc>
              <w:tc>
                <w:tcPr>
                  <w:tcW w:w="639" w:type="pct"/>
                  <w:vAlign w:val="center"/>
                </w:tcPr>
                <w:p>
                  <w:pPr>
                    <w:pStyle w:val="239"/>
                    <w:rPr>
                      <w:rFonts w:hint="default" w:ascii="Times New Roman" w:hAnsi="Times New Roman" w:cs="Times New Roman"/>
                      <w:color w:val="000000" w:themeColor="text1"/>
                      <w:lang w:val="en-US"/>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其他</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0.3</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0.3</w:t>
                  </w:r>
                </w:p>
              </w:tc>
              <w:tc>
                <w:tcPr>
                  <w:tcW w:w="1254" w:type="pct"/>
                  <w:vAlign w:val="center"/>
                </w:tcPr>
                <w:p>
                  <w:pPr>
                    <w:pStyle w:val="239"/>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restar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汞</w:t>
                  </w:r>
                </w:p>
              </w:tc>
              <w:tc>
                <w:tcPr>
                  <w:tcW w:w="639"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水田</w:t>
                  </w:r>
                </w:p>
              </w:tc>
              <w:tc>
                <w:tcPr>
                  <w:tcW w:w="1253"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0.5</w:t>
                  </w:r>
                </w:p>
              </w:tc>
              <w:tc>
                <w:tcPr>
                  <w:tcW w:w="1253"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0.6</w:t>
                  </w:r>
                </w:p>
              </w:tc>
              <w:tc>
                <w:tcPr>
                  <w:tcW w:w="1254"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continue"/>
                  <w:vAlign w:val="center"/>
                </w:tcPr>
                <w:p>
                  <w:pPr>
                    <w:pStyle w:val="239"/>
                    <w:rPr>
                      <w:rFonts w:hint="default" w:ascii="Times New Roman" w:hAnsi="Times New Roman" w:cs="Times New Roman"/>
                      <w:color w:val="000000" w:themeColor="text1"/>
                      <w14:textFill>
                        <w14:solidFill>
                          <w14:schemeClr w14:val="tx1"/>
                        </w14:solidFill>
                      </w14:textFill>
                    </w:rPr>
                  </w:pPr>
                </w:p>
              </w:tc>
              <w:tc>
                <w:tcPr>
                  <w:tcW w:w="639"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其他</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1.8</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2.4</w:t>
                  </w:r>
                </w:p>
              </w:tc>
              <w:tc>
                <w:tcPr>
                  <w:tcW w:w="1254" w:type="pct"/>
                  <w:vAlign w:val="center"/>
                </w:tcPr>
                <w:p>
                  <w:pPr>
                    <w:pStyle w:val="239"/>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restar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砷</w:t>
                  </w:r>
                </w:p>
              </w:tc>
              <w:tc>
                <w:tcPr>
                  <w:tcW w:w="639"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水田</w:t>
                  </w:r>
                </w:p>
              </w:tc>
              <w:tc>
                <w:tcPr>
                  <w:tcW w:w="1253"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30</w:t>
                  </w:r>
                </w:p>
              </w:tc>
              <w:tc>
                <w:tcPr>
                  <w:tcW w:w="1253"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25</w:t>
                  </w:r>
                </w:p>
              </w:tc>
              <w:tc>
                <w:tcPr>
                  <w:tcW w:w="1254"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continue"/>
                  <w:vAlign w:val="center"/>
                </w:tcPr>
                <w:p>
                  <w:pPr>
                    <w:pStyle w:val="239"/>
                    <w:rPr>
                      <w:rFonts w:hint="default" w:ascii="Times New Roman" w:hAnsi="Times New Roman" w:cs="Times New Roman"/>
                      <w:color w:val="000000" w:themeColor="text1"/>
                      <w14:textFill>
                        <w14:solidFill>
                          <w14:schemeClr w14:val="tx1"/>
                        </w14:solidFill>
                      </w14:textFill>
                    </w:rPr>
                  </w:pPr>
                </w:p>
              </w:tc>
              <w:tc>
                <w:tcPr>
                  <w:tcW w:w="639"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其他</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40</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30</w:t>
                  </w:r>
                </w:p>
              </w:tc>
              <w:tc>
                <w:tcPr>
                  <w:tcW w:w="1254" w:type="pct"/>
                  <w:vAlign w:val="center"/>
                </w:tcPr>
                <w:p>
                  <w:pPr>
                    <w:pStyle w:val="239"/>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restar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铅</w:t>
                  </w:r>
                </w:p>
              </w:tc>
              <w:tc>
                <w:tcPr>
                  <w:tcW w:w="639"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水田</w:t>
                  </w:r>
                </w:p>
              </w:tc>
              <w:tc>
                <w:tcPr>
                  <w:tcW w:w="1253"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100</w:t>
                  </w:r>
                </w:p>
              </w:tc>
              <w:tc>
                <w:tcPr>
                  <w:tcW w:w="1253"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140</w:t>
                  </w:r>
                </w:p>
              </w:tc>
              <w:tc>
                <w:tcPr>
                  <w:tcW w:w="1254"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continue"/>
                  <w:vAlign w:val="center"/>
                </w:tcPr>
                <w:p>
                  <w:pPr>
                    <w:pStyle w:val="239"/>
                    <w:rPr>
                      <w:rFonts w:hint="default" w:ascii="Times New Roman" w:hAnsi="Times New Roman" w:cs="Times New Roman"/>
                      <w:color w:val="000000" w:themeColor="text1"/>
                      <w14:textFill>
                        <w14:solidFill>
                          <w14:schemeClr w14:val="tx1"/>
                        </w14:solidFill>
                      </w14:textFill>
                    </w:rPr>
                  </w:pPr>
                </w:p>
              </w:tc>
              <w:tc>
                <w:tcPr>
                  <w:tcW w:w="639"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其他</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90</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120</w:t>
                  </w:r>
                </w:p>
              </w:tc>
              <w:tc>
                <w:tcPr>
                  <w:tcW w:w="1254" w:type="pct"/>
                  <w:vAlign w:val="center"/>
                </w:tcPr>
                <w:p>
                  <w:pPr>
                    <w:pStyle w:val="239"/>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restar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铬</w:t>
                  </w:r>
                </w:p>
              </w:tc>
              <w:tc>
                <w:tcPr>
                  <w:tcW w:w="639"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水田</w:t>
                  </w:r>
                </w:p>
              </w:tc>
              <w:tc>
                <w:tcPr>
                  <w:tcW w:w="1253"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250</w:t>
                  </w:r>
                </w:p>
              </w:tc>
              <w:tc>
                <w:tcPr>
                  <w:tcW w:w="1253"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300</w:t>
                  </w:r>
                </w:p>
              </w:tc>
              <w:tc>
                <w:tcPr>
                  <w:tcW w:w="1254"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continue"/>
                  <w:vAlign w:val="center"/>
                </w:tcPr>
                <w:p>
                  <w:pPr>
                    <w:pStyle w:val="239"/>
                    <w:rPr>
                      <w:rFonts w:hint="default" w:ascii="Times New Roman" w:hAnsi="Times New Roman" w:cs="Times New Roman"/>
                      <w:color w:val="000000" w:themeColor="text1"/>
                      <w14:textFill>
                        <w14:solidFill>
                          <w14:schemeClr w14:val="tx1"/>
                        </w14:solidFill>
                      </w14:textFill>
                    </w:rPr>
                  </w:pPr>
                </w:p>
              </w:tc>
              <w:tc>
                <w:tcPr>
                  <w:tcW w:w="639"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其他</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150</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200</w:t>
                  </w:r>
                </w:p>
              </w:tc>
              <w:tc>
                <w:tcPr>
                  <w:tcW w:w="1254" w:type="pct"/>
                  <w:vAlign w:val="center"/>
                </w:tcPr>
                <w:p>
                  <w:pPr>
                    <w:pStyle w:val="239"/>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restar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铜</w:t>
                  </w:r>
                </w:p>
              </w:tc>
              <w:tc>
                <w:tcPr>
                  <w:tcW w:w="639"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水田</w:t>
                  </w:r>
                </w:p>
              </w:tc>
              <w:tc>
                <w:tcPr>
                  <w:tcW w:w="1253"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150</w:t>
                  </w:r>
                </w:p>
              </w:tc>
              <w:tc>
                <w:tcPr>
                  <w:tcW w:w="1253"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20</w:t>
                  </w:r>
                </w:p>
              </w:tc>
              <w:tc>
                <w:tcPr>
                  <w:tcW w:w="1254" w:type="pct"/>
                  <w:vAlign w:val="center"/>
                </w:tcPr>
                <w:p>
                  <w:pPr>
                    <w:pStyle w:val="239"/>
                    <w:rPr>
                      <w:rFonts w:hint="default" w:ascii="Times New Roman" w:hAnsi="Times New Roman" w:eastAsia="等线" w:cs="Times New Roman"/>
                      <w:color w:val="000000" w:themeColor="text1"/>
                      <w:lang w:val="en-US"/>
                      <w14:textFill>
                        <w14:solidFill>
                          <w14:schemeClr w14:val="tx1"/>
                        </w14:solidFill>
                      </w14:textFill>
                    </w:rPr>
                  </w:pPr>
                  <w:r>
                    <w:rPr>
                      <w:rFonts w:hint="default" w:ascii="Times New Roman" w:hAnsi="Times New Roman" w:eastAsia="等线" w:cs="Times New Roman"/>
                      <w:color w:val="000000" w:themeColor="text1"/>
                      <w:lang w:val="en-US"/>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99" w:type="pct"/>
                  <w:vMerge w:val="continue"/>
                  <w:vAlign w:val="center"/>
                </w:tcPr>
                <w:p>
                  <w:pPr>
                    <w:pStyle w:val="239"/>
                    <w:rPr>
                      <w:rFonts w:hint="default" w:ascii="Times New Roman" w:hAnsi="Times New Roman" w:cs="Times New Roman"/>
                      <w:color w:val="000000" w:themeColor="text1"/>
                      <w14:textFill>
                        <w14:solidFill>
                          <w14:schemeClr w14:val="tx1"/>
                        </w14:solidFill>
                      </w14:textFill>
                    </w:rPr>
                  </w:pPr>
                </w:p>
              </w:tc>
              <w:tc>
                <w:tcPr>
                  <w:tcW w:w="639"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val="en-US"/>
                      <w14:textFill>
                        <w14:solidFill>
                          <w14:schemeClr w14:val="tx1"/>
                        </w14:solidFill>
                      </w14:textFill>
                    </w:rPr>
                    <w:t>其他</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50</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100</w:t>
                  </w:r>
                </w:p>
              </w:tc>
              <w:tc>
                <w:tcPr>
                  <w:tcW w:w="1254" w:type="pct"/>
                  <w:vAlign w:val="center"/>
                </w:tcPr>
                <w:p>
                  <w:pPr>
                    <w:pStyle w:val="239"/>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8" w:type="pct"/>
                  <w:gridSpan w:val="2"/>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镍</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70</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100</w:t>
                  </w:r>
                </w:p>
              </w:tc>
              <w:tc>
                <w:tcPr>
                  <w:tcW w:w="1254" w:type="pct"/>
                  <w:vAlign w:val="center"/>
                </w:tcPr>
                <w:p>
                  <w:pPr>
                    <w:pStyle w:val="239"/>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38" w:type="pct"/>
                  <w:gridSpan w:val="2"/>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锌</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200</w:t>
                  </w:r>
                </w:p>
              </w:tc>
              <w:tc>
                <w:tcPr>
                  <w:tcW w:w="1253" w:type="pct"/>
                  <w:vAlign w:val="center"/>
                </w:tcPr>
                <w:p>
                  <w:pPr>
                    <w:pStyle w:val="239"/>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250</w:t>
                  </w:r>
                </w:p>
              </w:tc>
              <w:tc>
                <w:tcPr>
                  <w:tcW w:w="1254" w:type="pct"/>
                  <w:vAlign w:val="center"/>
                </w:tcPr>
                <w:p>
                  <w:pPr>
                    <w:pStyle w:val="239"/>
                    <w:rPr>
                      <w:rFonts w:hint="default" w:ascii="Times New Roman" w:hAnsi="Times New Roman" w:eastAsia="等线" w:cs="Times New Roman"/>
                      <w:color w:val="000000" w:themeColor="text1"/>
                      <w14:textFill>
                        <w14:solidFill>
                          <w14:schemeClr w14:val="tx1"/>
                        </w14:solidFill>
                      </w14:textFill>
                    </w:rPr>
                  </w:pPr>
                  <w:r>
                    <w:rPr>
                      <w:rFonts w:hint="default" w:ascii="Times New Roman" w:hAnsi="Times New Roman" w:eastAsia="等线" w:cs="Times New Roman"/>
                      <w:color w:val="000000" w:themeColor="text1"/>
                      <w14:textFill>
                        <w14:solidFill>
                          <w14:schemeClr w14:val="tx1"/>
                        </w14:solidFill>
                      </w14:textFill>
                    </w:rPr>
                    <w:t>300</w:t>
                  </w:r>
                </w:p>
              </w:tc>
            </w:tr>
          </w:tbl>
          <w:p>
            <w:pPr>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二、污染物排放标准</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1、废水</w:t>
            </w:r>
          </w:p>
          <w:p>
            <w:pPr>
              <w:spacing w:line="360" w:lineRule="auto"/>
              <w:ind w:firstLine="480" w:firstLineChars="200"/>
              <w:rPr>
                <w:rFonts w:hint="eastAsia"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施工期：</w:t>
            </w:r>
            <w:r>
              <w:rPr>
                <w:rFonts w:hint="default" w:ascii="Times New Roman" w:hAnsi="Times New Roman" w:cs="Times New Roman"/>
                <w:color w:val="000000" w:themeColor="text1"/>
                <w:sz w:val="24"/>
                <w14:textFill>
                  <w14:solidFill>
                    <w14:schemeClr w14:val="tx1"/>
                  </w14:solidFill>
                </w14:textFill>
              </w:rPr>
              <w:t>本项目施工人员租用周边民房，产生的生活污水依托民房已建化粪池收集后用于农田施肥，</w:t>
            </w:r>
            <w:r>
              <w:rPr>
                <w:rFonts w:hint="eastAsia" w:cs="Times New Roman"/>
                <w:color w:val="000000" w:themeColor="text1"/>
                <w:sz w:val="24"/>
                <w:lang w:val="en-US" w:eastAsia="zh-CN"/>
                <w14:textFill>
                  <w14:solidFill>
                    <w14:schemeClr w14:val="tx1"/>
                  </w14:solidFill>
                </w14:textFill>
              </w:rPr>
              <w:t>施工</w:t>
            </w:r>
            <w:r>
              <w:rPr>
                <w:rFonts w:hint="default" w:ascii="Times New Roman" w:hAnsi="Times New Roman" w:cs="Times New Roman"/>
                <w:color w:val="000000" w:themeColor="text1"/>
                <w:sz w:val="24"/>
                <w14:textFill>
                  <w14:solidFill>
                    <w14:schemeClr w14:val="tx1"/>
                  </w14:solidFill>
                </w14:textFill>
              </w:rPr>
              <w:t>废水经处理后综合利用，</w:t>
            </w:r>
            <w:r>
              <w:rPr>
                <w:rFonts w:hint="eastAsia" w:cs="Times New Roman"/>
                <w:color w:val="000000" w:themeColor="text1"/>
                <w:sz w:val="24"/>
                <w:lang w:val="en-US" w:eastAsia="zh-CN"/>
                <w14:textFill>
                  <w14:solidFill>
                    <w14:schemeClr w14:val="tx1"/>
                  </w14:solidFill>
                </w14:textFill>
              </w:rPr>
              <w:t>无</w:t>
            </w:r>
            <w:r>
              <w:rPr>
                <w:rFonts w:hint="default" w:ascii="Times New Roman" w:hAnsi="Times New Roman" w:cs="Times New Roman"/>
                <w:color w:val="000000" w:themeColor="text1"/>
                <w:sz w:val="24"/>
                <w14:textFill>
                  <w14:solidFill>
                    <w14:schemeClr w14:val="tx1"/>
                  </w14:solidFill>
                </w14:textFill>
              </w:rPr>
              <w:t>外排</w:t>
            </w:r>
            <w:r>
              <w:rPr>
                <w:rFonts w:hint="eastAsia" w:cs="Times New Roman"/>
                <w:color w:val="000000" w:themeColor="text1"/>
                <w:sz w:val="24"/>
                <w:lang w:val="en-US" w:eastAsia="zh-CN"/>
                <w14:textFill>
                  <w14:solidFill>
                    <w14:schemeClr w14:val="tx1"/>
                  </w14:solidFill>
                </w14:textFill>
              </w:rPr>
              <w:t>废水。</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营运期：营运期无废水产生</w:t>
            </w:r>
            <w:r>
              <w:rPr>
                <w:rFonts w:hint="default" w:ascii="Times New Roman" w:hAnsi="Times New Roman" w:cs="Times New Roman"/>
                <w:color w:val="000000" w:themeColor="text1"/>
                <w:sz w:val="24"/>
                <w14:textFill>
                  <w14:solidFill>
                    <w14:schemeClr w14:val="tx1"/>
                  </w14:solidFill>
                </w14:textFill>
              </w:rPr>
              <w:t>。</w:t>
            </w:r>
          </w:p>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2、废气</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施工期：扬尘执行《四川省施工场地扬尘排放标准》（DB51/2682-2020）表1中广元市限值要求，标准见下表。</w:t>
            </w:r>
          </w:p>
          <w:p>
            <w:pPr>
              <w:widowControl/>
              <w:numPr>
                <w:ilvl w:val="0"/>
                <w:numId w:val="12"/>
              </w:numPr>
              <w:adjustRightInd w:val="0"/>
              <w:snapToGrid w:val="0"/>
              <w:jc w:val="center"/>
              <w:rPr>
                <w:rFonts w:hint="default" w:ascii="Times New Roman" w:hAnsi="Times New Roman" w:eastAsia="宋体" w:cs="Times New Roman"/>
                <w:b/>
                <w:color w:val="000000" w:themeColor="text1"/>
                <w:szCs w:val="18"/>
                <w:lang w:val="en-US" w:eastAsia="zh-CN"/>
                <w14:textFill>
                  <w14:solidFill>
                    <w14:schemeClr w14:val="tx1"/>
                  </w14:solidFill>
                </w14:textFill>
              </w:rPr>
            </w:pPr>
            <w:r>
              <w:rPr>
                <w:rFonts w:hint="default" w:ascii="Times New Roman" w:hAnsi="Times New Roman" w:eastAsia="宋体" w:cs="Times New Roman"/>
                <w:b/>
                <w:color w:val="000000" w:themeColor="text1"/>
                <w:szCs w:val="18"/>
                <w:lang w:val="en-US" w:eastAsia="zh-CN"/>
                <w14:textFill>
                  <w14:solidFill>
                    <w14:schemeClr w14:val="tx1"/>
                  </w14:solidFill>
                </w14:textFill>
              </w:rPr>
              <w:t>施工期废气执行标准</w:t>
            </w:r>
          </w:p>
          <w:tbl>
            <w:tblPr>
              <w:tblStyle w:val="38"/>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
              <w:gridCol w:w="777"/>
              <w:gridCol w:w="901"/>
              <w:gridCol w:w="1741"/>
              <w:gridCol w:w="1267"/>
              <w:gridCol w:w="1512"/>
              <w:gridCol w:w="1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1" w:type="pct"/>
                  <w:vAlign w:val="center"/>
                </w:tcPr>
                <w:p>
                  <w:pPr>
                    <w:widowControl/>
                    <w:adjustRightInd w:val="0"/>
                    <w:snapToGrid w:val="0"/>
                    <w:spacing w:before="48" w:beforeLines="20" w:after="48" w:afterLines="2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序号</w:t>
                  </w:r>
                </w:p>
              </w:tc>
              <w:tc>
                <w:tcPr>
                  <w:tcW w:w="458" w:type="pct"/>
                  <w:vAlign w:val="center"/>
                </w:tcPr>
                <w:p>
                  <w:pPr>
                    <w:widowControl/>
                    <w:adjustRightInd w:val="0"/>
                    <w:snapToGrid w:val="0"/>
                    <w:spacing w:before="48" w:beforeLines="20" w:after="48" w:afterLines="2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污染物</w:t>
                  </w:r>
                </w:p>
              </w:tc>
              <w:tc>
                <w:tcPr>
                  <w:tcW w:w="531" w:type="pct"/>
                  <w:vAlign w:val="center"/>
                </w:tcPr>
                <w:p>
                  <w:pPr>
                    <w:widowControl/>
                    <w:adjustRightInd w:val="0"/>
                    <w:snapToGrid w:val="0"/>
                    <w:spacing w:before="48" w:beforeLines="20" w:after="48" w:afterLines="2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监控点</w:t>
                  </w:r>
                </w:p>
              </w:tc>
              <w:tc>
                <w:tcPr>
                  <w:tcW w:w="1026" w:type="pct"/>
                  <w:vAlign w:val="center"/>
                </w:tcPr>
                <w:p>
                  <w:pPr>
                    <w:widowControl/>
                    <w:adjustRightInd w:val="0"/>
                    <w:snapToGrid w:val="0"/>
                    <w:spacing w:before="48" w:beforeLines="20" w:after="48" w:afterLines="2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施工阶段</w:t>
                  </w:r>
                </w:p>
              </w:tc>
              <w:tc>
                <w:tcPr>
                  <w:tcW w:w="747" w:type="pct"/>
                  <w:vAlign w:val="center"/>
                </w:tcPr>
                <w:p>
                  <w:pPr>
                    <w:widowControl/>
                    <w:adjustRightInd w:val="0"/>
                    <w:snapToGrid w:val="0"/>
                    <w:spacing w:before="48" w:beforeLines="20" w:after="48" w:afterLines="2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排放限值</w:t>
                  </w:r>
                </w:p>
                <w:p>
                  <w:pPr>
                    <w:widowControl/>
                    <w:adjustRightInd w:val="0"/>
                    <w:snapToGrid w:val="0"/>
                    <w:spacing w:before="48" w:beforeLines="20" w:after="48" w:afterLines="2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（mg/m</w:t>
                  </w:r>
                  <w:r>
                    <w:rPr>
                      <w:rFonts w:hint="default" w:ascii="Times New Roman" w:hAnsi="Times New Roman" w:cs="Times New Roman"/>
                      <w:b/>
                      <w:color w:val="000000" w:themeColor="text1"/>
                      <w:szCs w:val="21"/>
                      <w:vertAlign w:val="superscript"/>
                      <w14:textFill>
                        <w14:solidFill>
                          <w14:schemeClr w14:val="tx1"/>
                        </w14:solidFill>
                      </w14:textFill>
                    </w:rPr>
                    <w:t>3</w:t>
                  </w:r>
                  <w:r>
                    <w:rPr>
                      <w:rFonts w:hint="default" w:ascii="Times New Roman" w:hAnsi="Times New Roman" w:cs="Times New Roman"/>
                      <w:b/>
                      <w:color w:val="000000" w:themeColor="text1"/>
                      <w:szCs w:val="21"/>
                      <w14:textFill>
                        <w14:solidFill>
                          <w14:schemeClr w14:val="tx1"/>
                        </w14:solidFill>
                      </w14:textFill>
                    </w:rPr>
                    <w:t>）</w:t>
                  </w:r>
                </w:p>
              </w:tc>
              <w:tc>
                <w:tcPr>
                  <w:tcW w:w="891" w:type="pct"/>
                  <w:vAlign w:val="center"/>
                </w:tcPr>
                <w:p>
                  <w:pPr>
                    <w:widowControl/>
                    <w:adjustRightInd w:val="0"/>
                    <w:snapToGrid w:val="0"/>
                    <w:spacing w:before="48" w:beforeLines="20" w:after="48" w:afterLines="2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监测时间</w:t>
                  </w:r>
                </w:p>
              </w:tc>
              <w:tc>
                <w:tcPr>
                  <w:tcW w:w="1103" w:type="pct"/>
                  <w:vAlign w:val="center"/>
                </w:tcPr>
                <w:p>
                  <w:pPr>
                    <w:widowControl/>
                    <w:adjustRightInd w:val="0"/>
                    <w:snapToGrid w:val="0"/>
                    <w:spacing w:before="48" w:beforeLines="20" w:after="48" w:afterLines="2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1" w:type="pct"/>
                  <w:vMerge w:val="restart"/>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458" w:type="pct"/>
                  <w:vMerge w:val="restart"/>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施工扬尘</w:t>
                  </w:r>
                </w:p>
              </w:tc>
              <w:tc>
                <w:tcPr>
                  <w:tcW w:w="531" w:type="pct"/>
                  <w:vMerge w:val="restart"/>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周界外浓度最高点</w:t>
                  </w:r>
                </w:p>
              </w:tc>
              <w:tc>
                <w:tcPr>
                  <w:tcW w:w="1026" w:type="pct"/>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拆除、土方开挖、土方回填阶段</w:t>
                  </w:r>
                </w:p>
              </w:tc>
              <w:tc>
                <w:tcPr>
                  <w:tcW w:w="747" w:type="pct"/>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≤0.6</w:t>
                  </w:r>
                </w:p>
              </w:tc>
              <w:tc>
                <w:tcPr>
                  <w:tcW w:w="891" w:type="pct"/>
                  <w:vMerge w:val="restart"/>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自监测起连续15分钟均值</w:t>
                  </w:r>
                </w:p>
              </w:tc>
              <w:tc>
                <w:tcPr>
                  <w:tcW w:w="1103" w:type="pct"/>
                  <w:vMerge w:val="restart"/>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《四川省施工场地扬尘排放标准》（DB51/2682-2020）表1中广元市限值要求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41" w:type="pct"/>
                  <w:vMerge w:val="continue"/>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p>
              </w:tc>
              <w:tc>
                <w:tcPr>
                  <w:tcW w:w="458" w:type="pct"/>
                  <w:vMerge w:val="continue"/>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p>
              </w:tc>
              <w:tc>
                <w:tcPr>
                  <w:tcW w:w="531" w:type="pct"/>
                  <w:vMerge w:val="continue"/>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p>
              </w:tc>
              <w:tc>
                <w:tcPr>
                  <w:tcW w:w="1026" w:type="pct"/>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其他工程</w:t>
                  </w:r>
                </w:p>
              </w:tc>
              <w:tc>
                <w:tcPr>
                  <w:tcW w:w="747" w:type="pct"/>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0.25</w:t>
                  </w:r>
                </w:p>
              </w:tc>
              <w:tc>
                <w:tcPr>
                  <w:tcW w:w="891" w:type="pct"/>
                  <w:vMerge w:val="continue"/>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p>
              </w:tc>
              <w:tc>
                <w:tcPr>
                  <w:tcW w:w="1103" w:type="pct"/>
                  <w:vMerge w:val="continue"/>
                  <w:vAlign w:val="center"/>
                </w:tcPr>
                <w:p>
                  <w:pPr>
                    <w:widowControl/>
                    <w:adjustRightInd w:val="0"/>
                    <w:snapToGrid w:val="0"/>
                    <w:spacing w:before="48" w:beforeLines="20" w:after="48" w:afterLines="20"/>
                    <w:jc w:val="center"/>
                    <w:rPr>
                      <w:rFonts w:hint="default" w:ascii="Times New Roman" w:hAnsi="Times New Roman" w:cs="Times New Roman"/>
                      <w:color w:val="000000" w:themeColor="text1"/>
                      <w:szCs w:val="21"/>
                      <w14:textFill>
                        <w14:solidFill>
                          <w14:schemeClr w14:val="tx1"/>
                        </w14:solidFill>
                      </w14:textFill>
                    </w:rPr>
                  </w:pPr>
                </w:p>
              </w:tc>
            </w:tr>
          </w:tbl>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营运期：营运期无废气排放。</w:t>
            </w:r>
          </w:p>
          <w:p>
            <w:pPr>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3、噪声</w:t>
            </w:r>
          </w:p>
          <w:p>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本项目施工期噪声执行《建筑施工场界环境噪声排放标准》(GB12523-2011)标准。具体要求如下。</w:t>
            </w:r>
          </w:p>
          <w:p>
            <w:pPr>
              <w:widowControl/>
              <w:numPr>
                <w:ilvl w:val="0"/>
                <w:numId w:val="12"/>
              </w:numPr>
              <w:adjustRightInd w:val="0"/>
              <w:snapToGrid w:val="0"/>
              <w:jc w:val="center"/>
              <w:rPr>
                <w:rFonts w:hint="default" w:ascii="Times New Roman" w:hAnsi="Times New Roman" w:eastAsia="宋体" w:cs="Times New Roman"/>
                <w:b/>
                <w:color w:val="000000" w:themeColor="text1"/>
                <w:szCs w:val="18"/>
                <w:lang w:val="en-US" w:eastAsia="zh-CN"/>
                <w14:textFill>
                  <w14:solidFill>
                    <w14:schemeClr w14:val="tx1"/>
                  </w14:solidFill>
                </w14:textFill>
              </w:rPr>
            </w:pPr>
            <w:r>
              <w:rPr>
                <w:rFonts w:hint="default" w:ascii="Times New Roman" w:hAnsi="Times New Roman" w:eastAsia="宋体" w:cs="Times New Roman"/>
                <w:b/>
                <w:color w:val="000000" w:themeColor="text1"/>
                <w:szCs w:val="18"/>
                <w:lang w:val="en-US" w:eastAsia="zh-CN"/>
                <w14:textFill>
                  <w14:solidFill>
                    <w14:schemeClr w14:val="tx1"/>
                  </w14:solidFill>
                </w14:textFill>
              </w:rPr>
              <w:t>施工期噪声标准单位：dB（A）</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89"/>
              <w:gridCol w:w="880"/>
              <w:gridCol w:w="878"/>
              <w:gridCol w:w="44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50" w:type="pct"/>
                  <w:tcBorders>
                    <w:tl2br w:val="single" w:color="auto" w:sz="4" w:space="0"/>
                  </w:tcBorders>
                </w:tcPr>
                <w:p>
                  <w:pPr>
                    <w:widowControl/>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时段</w:t>
                  </w:r>
                </w:p>
                <w:p>
                  <w:pPr>
                    <w:widowControl/>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阶段</w:t>
                  </w:r>
                </w:p>
              </w:tc>
              <w:tc>
                <w:tcPr>
                  <w:tcW w:w="519" w:type="pct"/>
                  <w:vAlign w:val="center"/>
                </w:tcPr>
                <w:p>
                  <w:pPr>
                    <w:widowControl/>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昼间</w:t>
                  </w:r>
                </w:p>
              </w:tc>
              <w:tc>
                <w:tcPr>
                  <w:tcW w:w="518" w:type="pct"/>
                  <w:tcBorders>
                    <w:right w:val="single" w:color="auto" w:sz="4" w:space="0"/>
                  </w:tcBorders>
                  <w:vAlign w:val="center"/>
                </w:tcPr>
                <w:p>
                  <w:pPr>
                    <w:widowControl/>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夜间</w:t>
                  </w:r>
                </w:p>
              </w:tc>
              <w:tc>
                <w:tcPr>
                  <w:tcW w:w="2613" w:type="pct"/>
                  <w:tcBorders>
                    <w:left w:val="single" w:color="auto" w:sz="4" w:space="0"/>
                  </w:tcBorders>
                  <w:vAlign w:val="center"/>
                </w:tcPr>
                <w:p>
                  <w:pPr>
                    <w:widowControl/>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50" w:type="pct"/>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施工期</w:t>
                  </w:r>
                </w:p>
              </w:tc>
              <w:tc>
                <w:tcPr>
                  <w:tcW w:w="519" w:type="pct"/>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w:t>
                  </w:r>
                </w:p>
              </w:tc>
              <w:tc>
                <w:tcPr>
                  <w:tcW w:w="518" w:type="pct"/>
                  <w:tcBorders>
                    <w:right w:val="single" w:color="auto" w:sz="4" w:space="0"/>
                  </w:tcBorders>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c>
                <w:tcPr>
                  <w:tcW w:w="2613" w:type="pct"/>
                  <w:tcBorders>
                    <w:left w:val="single" w:color="auto" w:sz="4" w:space="0"/>
                  </w:tcBorders>
                  <w:vAlign w:val="center"/>
                </w:tcPr>
                <w:p>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施工期场界噪声执行《建筑施工场界环境噪声排放标准》(GB12523-2011)标准。</w:t>
                  </w:r>
                </w:p>
              </w:tc>
            </w:tr>
          </w:tbl>
          <w:p>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4、固废</w:t>
            </w:r>
          </w:p>
          <w:p>
            <w:pPr>
              <w:spacing w:line="360" w:lineRule="auto"/>
              <w:ind w:firstLine="480" w:firstLineChars="200"/>
              <w:rPr>
                <w:rFonts w:hint="default" w:ascii="Times New Roman" w:hAnsi="Times New Roman" w:cs="Times New Roman"/>
                <w:color w:val="FF0000"/>
                <w:kern w:val="0"/>
                <w:szCs w:val="21"/>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eastAsia="宋体" w:cs="Times New Roman"/>
                <w:color w:val="000000" w:themeColor="text1"/>
                <w:spacing w:val="0"/>
                <w:sz w:val="24"/>
                <w:szCs w:val="24"/>
                <w14:textFill>
                  <w14:solidFill>
                    <w14:schemeClr w14:val="tx1"/>
                  </w14:solidFill>
                </w14:textFill>
              </w:rPr>
              <w:t>一般固废执行《一般工业固体废物贮存和填埋污染控制标准》（GB18599-2020）有关规定</w:t>
            </w:r>
            <w:r>
              <w:rPr>
                <w:rFonts w:hint="default" w:ascii="Times New Roman" w:hAnsi="Times New Roman" w:eastAsia="宋体" w:cs="Times New Roman"/>
                <w:color w:val="000000" w:themeColor="text1"/>
                <w:sz w:val="24"/>
                <w:szCs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463" w:type="dxa"/>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w:t>
            </w:r>
          </w:p>
        </w:tc>
        <w:tc>
          <w:tcPr>
            <w:tcW w:w="8694" w:type="dxa"/>
            <w:vAlign w:val="center"/>
          </w:tcPr>
          <w:p>
            <w:pPr>
              <w:adjustRightInd w:val="0"/>
              <w:snapToGrid w:val="0"/>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rPr>
              <w:t>本项目属于生态影响型项目，项目营运期不产生大气污染物和水污染物。因此，本项目不设置总量控制指标。</w:t>
            </w:r>
          </w:p>
        </w:tc>
      </w:tr>
    </w:tbl>
    <w:p>
      <w:pPr>
        <w:widowControl/>
        <w:adjustRightInd w:val="0"/>
        <w:snapToGrid w:val="0"/>
        <w:spacing w:line="160" w:lineRule="atLeast"/>
        <w:jc w:val="left"/>
        <w:rPr>
          <w:rFonts w:hint="default" w:ascii="Times New Roman" w:hAnsi="Times New Roman" w:cs="Times New Roman"/>
          <w:color w:val="FF0000"/>
          <w:sz w:val="24"/>
        </w:rPr>
        <w:sectPr>
          <w:pgSz w:w="11906" w:h="16838"/>
          <w:pgMar w:top="1440" w:right="1800" w:bottom="1440" w:left="1800" w:header="851" w:footer="1077" w:gutter="0"/>
          <w:cols w:space="425" w:num="1"/>
          <w:docGrid w:linePitch="312" w:charSpace="0"/>
        </w:sectPr>
      </w:pPr>
    </w:p>
    <w:p>
      <w:pPr>
        <w:pStyle w:val="32"/>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四、生态环境影响分析</w:t>
      </w:r>
    </w:p>
    <w:tbl>
      <w:tblPr>
        <w:tblStyle w:val="37"/>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416" w:type="dxa"/>
            <w:tcMar>
              <w:left w:w="28" w:type="dxa"/>
              <w:right w:w="28" w:type="dxa"/>
            </w:tcMar>
            <w:vAlign w:val="center"/>
          </w:tcPr>
          <w:p>
            <w:pPr>
              <w:pStyle w:val="32"/>
              <w:adjustRightInd w:val="0"/>
              <w:snapToGrid w:val="0"/>
              <w:spacing w:before="0" w:beforeAutospacing="0" w:after="0" w:afterAutospacing="0"/>
              <w:jc w:val="center"/>
              <w:rPr>
                <w:rFonts w:hint="default" w:ascii="Times New Roman" w:hAnsi="Times New Roman" w:eastAsia="宋体" w:cs="Times New Roman"/>
                <w:bCs/>
                <w:color w:val="FF0000"/>
                <w:kern w:val="2"/>
              </w:rPr>
            </w:pPr>
            <w:bookmarkStart w:id="12" w:name="_Hlk49796138"/>
            <w:r>
              <w:rPr>
                <w:rFonts w:hint="default" w:ascii="Times New Roman" w:hAnsi="Times New Roman" w:eastAsia="宋体" w:cs="Times New Roman"/>
                <w:bCs/>
                <w:color w:val="000000" w:themeColor="text1"/>
                <w:spacing w:val="10"/>
                <w:kern w:val="2"/>
                <w14:textFill>
                  <w14:solidFill>
                    <w14:schemeClr w14:val="tx1"/>
                  </w14:solidFill>
                </w14:textFill>
              </w:rPr>
              <w:t>施工期生态环境影响分析</w:t>
            </w:r>
            <w:bookmarkEnd w:id="12"/>
          </w:p>
        </w:tc>
        <w:tc>
          <w:tcPr>
            <w:tcW w:w="8826" w:type="dxa"/>
            <w:vAlign w:val="top"/>
          </w:tcPr>
          <w:p>
            <w:pPr>
              <w:adjustRightInd w:val="0"/>
              <w:snapToGrid w:val="0"/>
              <w:spacing w:line="360" w:lineRule="auto"/>
              <w:jc w:val="left"/>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一、施工期</w:t>
            </w:r>
            <w:r>
              <w:rPr>
                <w:rFonts w:hint="eastAsia" w:ascii="Times New Roman" w:hAnsi="Times New Roman" w:cs="Times New Roman"/>
                <w:b/>
                <w:bCs/>
                <w:color w:val="000000" w:themeColor="text1"/>
                <w:sz w:val="24"/>
                <w:lang w:val="en-US" w:eastAsia="zh-CN"/>
                <w14:textFill>
                  <w14:solidFill>
                    <w14:schemeClr w14:val="tx1"/>
                  </w14:solidFill>
                </w14:textFill>
              </w:rPr>
              <w:t>环境</w:t>
            </w:r>
            <w:r>
              <w:rPr>
                <w:rFonts w:hint="default" w:ascii="Times New Roman" w:hAnsi="Times New Roman" w:eastAsia="宋体" w:cs="Times New Roman"/>
                <w:b/>
                <w:bCs/>
                <w:color w:val="000000" w:themeColor="text1"/>
                <w:sz w:val="24"/>
                <w14:textFill>
                  <w14:solidFill>
                    <w14:schemeClr w14:val="tx1"/>
                  </w14:solidFill>
                </w14:textFill>
              </w:rPr>
              <w:t>影响分析</w:t>
            </w:r>
          </w:p>
          <w:p>
            <w:pPr>
              <w:spacing w:line="360" w:lineRule="auto"/>
              <w:ind w:firstLine="480"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施工过程中产生的污染物主要为施工扬尘、燃油废气、生活污水、施工废水、噪声、弃土弃渣等。施工过程中将对施工影响区域内造成一定程度的水土流失及生态破坏</w:t>
            </w:r>
            <w:r>
              <w:rPr>
                <w:rFonts w:ascii="Times New Roman" w:hAnsi="Times New Roman" w:eastAsia="宋体" w:cs="Times New Roman"/>
                <w:color w:val="000000" w:themeColor="text1"/>
                <w:sz w:val="24"/>
                <w14:textFill>
                  <w14:solidFill>
                    <w14:schemeClr w14:val="tx1"/>
                  </w14:solidFill>
                </w14:textFill>
              </w:rPr>
              <w:t>。</w:t>
            </w:r>
          </w:p>
          <w:p>
            <w:pPr>
              <w:pStyle w:val="236"/>
              <w:numPr>
                <w:ilvl w:val="0"/>
                <w:numId w:val="14"/>
              </w:numPr>
              <w:spacing w:before="0"/>
              <w:ind w:right="0"/>
              <w:jc w:val="left"/>
              <w:rPr>
                <w:rFonts w:hint="eastAsia"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大气环境影响分析</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施工期大气污染源主要是施工扬尘、施工机械和运输车辆排放的燃油废气，主要污染物为颗粒物、NO</w:t>
            </w:r>
            <w:r>
              <w:rPr>
                <w:rFonts w:hint="default" w:ascii="Times New Roman" w:hAnsi="Times New Roman" w:cs="Times New Roman"/>
                <w:b w:val="0"/>
                <w:bCs w:val="0"/>
                <w:color w:val="000000" w:themeColor="text1"/>
                <w:vertAlign w:val="subscript"/>
                <w:lang w:val="en-US" w:eastAsia="zh-CN"/>
                <w14:textFill>
                  <w14:solidFill>
                    <w14:schemeClr w14:val="tx1"/>
                  </w14:solidFill>
                </w14:textFill>
              </w:rPr>
              <w:t>X</w:t>
            </w:r>
            <w:r>
              <w:rPr>
                <w:rFonts w:hint="default" w:ascii="Times New Roman" w:hAnsi="Times New Roman" w:cs="Times New Roman"/>
                <w:b w:val="0"/>
                <w:bCs w:val="0"/>
                <w:color w:val="000000" w:themeColor="text1"/>
                <w:lang w:val="en-US" w:eastAsia="zh-CN"/>
                <w14:textFill>
                  <w14:solidFill>
                    <w14:schemeClr w14:val="tx1"/>
                  </w14:solidFill>
                </w14:textFill>
              </w:rPr>
              <w:t>、CO、烃类等。</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（1）施工扬尘</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施工扬尘主要来自于土石方开挖、填筑、汽车运输及表土临时堆场扬尘等。临时堆场起尘主要是露天堆放的表土表层浮尘因天气干燥及大风而产生风尘扬尘，扬尘量受距地面50m处风速、起尘风速、尘粒含水量影响。因此，在保证表土一定含水量并采用篷布对土方进行遮盖，可有效降低堆场扬尘。土石方开挖、填筑、汽车运输、装卸时产生的扬尘主要是由于外力产生的灰尘再悬浮在空中形成。施工期施工车辆运输车辆产生的扬尘对周边环境的影响较大。根据类比分析，施工道路在自然风作用下产生的扬尘所影响的范围在180m以内。根据《交通运输类环境影响评价》（环境保护部环境影响评价工程师职业资格登记管理办公室编），施工运输道路实施洒水抑尘，可有效控制扬尘，并将TSP污染范围缩小到20~50m 范围内。</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cs="Times New Roman"/>
                <w:b w:val="0"/>
                <w:bCs w:val="0"/>
                <w:color w:val="000000" w:themeColor="text1"/>
                <w:lang w:val="en-US" w:eastAsia="zh-CN"/>
                <w14:textFill>
                  <w14:solidFill>
                    <w14:schemeClr w14:val="tx1"/>
                  </w14:solidFill>
                </w14:textFill>
              </w:rPr>
            </w:pPr>
            <w:r>
              <w:rPr>
                <w:rFonts w:hint="default" w:ascii="Times New Roman" w:hAnsi="Times New Roman" w:cs="Times New Roman"/>
                <w:b w:val="0"/>
                <w:bCs w:val="0"/>
                <w:color w:val="000000" w:themeColor="text1"/>
                <w:lang w:val="en-US" w:eastAsia="zh-CN"/>
                <w14:textFill>
                  <w14:solidFill>
                    <w14:schemeClr w14:val="tx1"/>
                  </w14:solidFill>
                </w14:textFill>
              </w:rPr>
              <w:t>（2）燃油废气</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cs="Times New Roman"/>
                <w:b/>
                <w:bCs/>
                <w:color w:val="FF0000"/>
                <w:lang w:val="en-US" w:eastAsia="zh-CN"/>
              </w:rPr>
            </w:pPr>
            <w:r>
              <w:rPr>
                <w:rFonts w:hint="default" w:ascii="Times New Roman" w:hAnsi="Times New Roman" w:cs="Times New Roman"/>
                <w:b w:val="0"/>
                <w:bCs w:val="0"/>
                <w:color w:val="000000" w:themeColor="text1"/>
                <w:lang w:val="en-US" w:eastAsia="zh-CN"/>
                <w14:textFill>
                  <w14:solidFill>
                    <w14:schemeClr w14:val="tx1"/>
                  </w14:solidFill>
                </w14:textFill>
              </w:rPr>
              <w:t>燃油废气主要来自于施工机械和运输车辆运行。项目通过选用符合国家标准的机械设备、车辆和柴油，降低NO</w:t>
            </w:r>
            <w:r>
              <w:rPr>
                <w:rFonts w:hint="default" w:ascii="Times New Roman" w:hAnsi="Times New Roman" w:cs="Times New Roman"/>
                <w:b w:val="0"/>
                <w:bCs w:val="0"/>
                <w:color w:val="000000" w:themeColor="text1"/>
                <w:vertAlign w:val="subscript"/>
                <w:lang w:val="en-US" w:eastAsia="zh-CN"/>
                <w14:textFill>
                  <w14:solidFill>
                    <w14:schemeClr w14:val="tx1"/>
                  </w14:solidFill>
                </w14:textFill>
              </w:rPr>
              <w:t>X</w:t>
            </w:r>
            <w:r>
              <w:rPr>
                <w:rFonts w:hint="default" w:ascii="Times New Roman" w:hAnsi="Times New Roman" w:cs="Times New Roman"/>
                <w:b w:val="0"/>
                <w:bCs w:val="0"/>
                <w:color w:val="000000" w:themeColor="text1"/>
                <w:lang w:val="en-US" w:eastAsia="zh-CN"/>
                <w14:textFill>
                  <w14:solidFill>
                    <w14:schemeClr w14:val="tx1"/>
                  </w14:solidFill>
                </w14:textFill>
              </w:rPr>
              <w:t>、CO、烃类等污染物的产生及排放，降低对周边大气环境的影响。</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cs="Times New Roman"/>
                <w:b w:val="0"/>
                <w:bCs w:val="0"/>
                <w:color w:val="000000" w:themeColor="text1"/>
                <w:lang w:val="en-US" w:eastAsia="zh-CN"/>
                <w14:textFill>
                  <w14:solidFill>
                    <w14:schemeClr w14:val="tx1"/>
                  </w14:solidFill>
                </w14:textFill>
              </w:rPr>
            </w:pPr>
            <w:r>
              <w:rPr>
                <w:rFonts w:hint="eastAsia" w:ascii="Times New Roman" w:hAnsi="Times New Roman" w:cs="Times New Roman"/>
                <w:b w:val="0"/>
                <w:bCs w:val="0"/>
                <w:color w:val="000000" w:themeColor="text1"/>
                <w:lang w:val="en-US" w:eastAsia="zh-CN"/>
                <w14:textFill>
                  <w14:solidFill>
                    <w14:schemeClr w14:val="tx1"/>
                  </w14:solidFill>
                </w14:textFill>
              </w:rPr>
              <w:t>此外，项目堤防工程所在区域地势开阔，扩散条件良好，施工扬尘、燃油废气等经扩散后对周边大气环境的影响很小。且随着施工结束，施工扬尘、燃油废气也随之消失，不再对大气环境产生影响。</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2" w:firstLineChars="200"/>
              <w:jc w:val="left"/>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2、地表水环境影响分析</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施工期产生的废水包括开挖过程中的基坑排水、施工废水、施工人员将产生少量的生活污水。</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（1）基坑废水</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堤防基础开挖产生的基坑，采用明沟排水系统，排水系统布置兼顾基坑开挖及主体建筑物施工。基坑排水包括初期排水和经常性排水。初期排水主要是基坑积水（覆盖层含水）、降雨和其他途径来水。经常性排水主要为围堰渗水，根据实际工程情况导流围堰内设置排水沟，并在下游设置一个集水沉淀池有效容积约为10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lang w:val="en-US" w:eastAsia="zh-CN"/>
                <w14:textFill>
                  <w14:solidFill>
                    <w14:schemeClr w14:val="tx1"/>
                  </w14:solidFill>
                </w14:textFill>
              </w:rPr>
              <w:t>，将基坑排水沉淀处理后进行回用施工用水，</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不外排</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（2）施工废水</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施工废水分为车辆冲洗废水以及设备冲洗废水。本项目设有施工场地，主要用于车辆以及机械设备停放、建筑材料堆放等，本项目在施工场地设置车辆冲洗区，会产生冲洗废水，本项目冲洗区设置隔油沉淀池，有效容积为10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lang w:val="en-US" w:eastAsia="zh-CN"/>
                <w14:textFill>
                  <w14:solidFill>
                    <w14:schemeClr w14:val="tx1"/>
                  </w14:solidFill>
                </w14:textFill>
              </w:rPr>
              <w:t>，设备冲洗废水经沉淀隔油池收集处理后回用，不外排，隔油池会产生少量浮油，收集后交有资质单位进行处理。</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环评要求施工过程中加强管理，施工前加强对员职工环保意识宣传教育，禁止施工车辆及施工设备在河道中进行冲洗，车辆及设备冲洗必须到施工场地冲洗点进行处理，同时加强对施工场地冲洗废水收集措施的检查，避免冲洗废水流入</w:t>
            </w:r>
            <w:r>
              <w:rPr>
                <w:rFonts w:hint="eastAsia" w:ascii="Times New Roman" w:hAnsi="Times New Roman" w:eastAsia="宋体" w:cs="Times New Roman"/>
                <w:b w:val="0"/>
                <w:bCs w:val="0"/>
                <w:color w:val="000000" w:themeColor="text1"/>
                <w:lang w:val="en-US" w:eastAsia="zh-CN"/>
                <w14:textFill>
                  <w14:solidFill>
                    <w14:schemeClr w14:val="tx1"/>
                  </w14:solidFill>
                </w14:textFill>
              </w:rPr>
              <w:t>芝溪河</w:t>
            </w:r>
            <w:r>
              <w:rPr>
                <w:rFonts w:hint="default" w:ascii="Times New Roman" w:hAnsi="Times New Roman" w:eastAsia="宋体" w:cs="Times New Roman"/>
                <w:b w:val="0"/>
                <w:bCs w:val="0"/>
                <w:color w:val="000000" w:themeColor="text1"/>
                <w:lang w:val="en-US" w:eastAsia="zh-CN"/>
                <w14:textFill>
                  <w14:solidFill>
                    <w14:schemeClr w14:val="tx1"/>
                  </w14:solidFill>
                </w14:textFill>
              </w:rPr>
              <w:t>中</w:t>
            </w:r>
            <w:r>
              <w:rPr>
                <w:rFonts w:hint="eastAsia" w:ascii="Times New Roman" w:hAnsi="Times New Roman" w:eastAsia="宋体" w:cs="Times New Roman"/>
                <w:b w:val="0"/>
                <w:bCs w:val="0"/>
                <w:color w:val="000000" w:themeColor="text1"/>
                <w:lang w:val="en-US"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18"/>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18"/>
                <w:lang w:val="en-US" w:eastAsia="zh-CN" w:bidi="ar-SA"/>
                <w14:textFill>
                  <w14:solidFill>
                    <w14:schemeClr w14:val="tx1"/>
                  </w14:solidFill>
                </w14:textFill>
              </w:rPr>
              <w:t>（3）生活污水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本项目施工高峰期施工人数按100人计。施工场地不涉及餐饮、住宿，项目办公用房租赁就近民房作为办公用房。本项目施工期生活污水产生量按50L/d·人计算，则施工期生活用水量约为5m</w:t>
            </w:r>
            <w:r>
              <w:rPr>
                <w:rFonts w:hint="default" w:ascii="Times New Roman" w:hAnsi="Times New Roman" w:eastAsia="宋体" w:cs="Times New Roman"/>
                <w:b w:val="0"/>
                <w:bCs w:val="0"/>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/d。污水排放系数按80%计算，生活污水排放量为4m</w:t>
            </w:r>
            <w:r>
              <w:rPr>
                <w:rFonts w:hint="default" w:ascii="Times New Roman" w:hAnsi="Times New Roman" w:eastAsia="宋体" w:cs="Times New Roman"/>
                <w:b w:val="0"/>
                <w:bCs w:val="0"/>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/d。本项目施</w:t>
            </w:r>
            <w:r>
              <w:rPr>
                <w:rFonts w:hint="default" w:ascii="Times New Roman" w:hAnsi="Times New Roman" w:eastAsia="宋体" w:cs="Times New Roman"/>
                <w:color w:val="000000"/>
                <w:kern w:val="0"/>
                <w:sz w:val="24"/>
                <w:szCs w:val="24"/>
                <w:lang w:val="en-US" w:eastAsia="zh-CN" w:bidi="ar"/>
              </w:rPr>
              <w:t>工期生活废水依托租赁的民房现有废水处理设施进行处理，施工期生活废水经处理后用于周边农作物灌溉施肥，不外排，施工期结束后施工人员生活废水影响随之消除。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（4）施工作业对</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 xml:space="preserve">河水质影响分析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本项目施工期生活废水、车辆及机械冲洗废水经相应的废水处理设施处理后回用，不外排，施工期产生的废水不会对</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河水质造成影响；施工期基坑积水主要污染物为SS，采用沉淀池沉淀后</w:t>
            </w:r>
            <w:r>
              <w:rPr>
                <w:rFonts w:hint="eastAsia" w:ascii="Times New Roman" w:hAnsi="Times New Roman" w:eastAsia="宋体" w:cs="Times New Roman"/>
                <w:color w:val="000000"/>
                <w:kern w:val="0"/>
                <w:sz w:val="24"/>
                <w:szCs w:val="24"/>
                <w:lang w:val="en-US" w:eastAsia="zh-CN" w:bidi="ar"/>
              </w:rPr>
              <w:t>回用，不外排</w:t>
            </w:r>
            <w:r>
              <w:rPr>
                <w:rFonts w:hint="default" w:ascii="Times New Roman" w:hAnsi="Times New Roman" w:eastAsia="宋体" w:cs="Times New Roman"/>
                <w:color w:val="000000"/>
                <w:kern w:val="0"/>
                <w:sz w:val="24"/>
                <w:szCs w:val="24"/>
                <w:lang w:val="en-US" w:eastAsia="zh-CN" w:bidi="ar"/>
              </w:rPr>
              <w:t>，不会对</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河水质造成影响。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本项目主要对水质的影响为河堤施工过程中地表水扰动，造成</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河水质SS浓度增加。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根据本项目施工河段特点，</w:t>
            </w:r>
            <w:r>
              <w:rPr>
                <w:rFonts w:hint="eastAsia" w:ascii="Times New Roman" w:hAnsi="Times New Roman" w:eastAsia="宋体" w:cs="Times New Roman"/>
                <w:color w:val="000000"/>
                <w:kern w:val="0"/>
                <w:sz w:val="24"/>
                <w:szCs w:val="24"/>
                <w:lang w:val="en-US" w:eastAsia="zh-CN" w:bidi="ar"/>
              </w:rPr>
              <w:t>项目设置在枯水期施工</w:t>
            </w:r>
            <w:r>
              <w:rPr>
                <w:rFonts w:hint="default" w:ascii="Times New Roman" w:hAnsi="Times New Roman" w:eastAsia="宋体" w:cs="Times New Roman"/>
                <w:color w:val="000000"/>
                <w:kern w:val="0"/>
                <w:sz w:val="24"/>
                <w:szCs w:val="24"/>
                <w:lang w:val="en-US" w:eastAsia="zh-CN" w:bidi="ar"/>
              </w:rPr>
              <w:t>，同时通过分段新建导流围堰的方式进行导流。本项目导流围堰采用土石方围堰，编织袋装土石挡水，迎水面采用复合土工膜防渗，施工结束后围堰全部拆除。在围堰施工和拆除过程中由于机械扰动、土石方填筑，对</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河河水扰动，造成</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河水质SS浓度增加，甚至可能超标，在</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形成一定区域的污染带。本项目施工过程中主要为施工过程砂石浮动造成SS浓度增加，砂石随河水运动的同时可在水中沉降，最终沉积于河底，这一特性决定了其影响地表水的范围和影响时间是有限的，形成的污染带很短，同时该污染带只在围堰施工和拆除过程中形成，待围堰形成后，本项目施工作业均在围堰内进行，不会直接对</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河河水进行扰动，施工结束后该污染物消失，不会对下游水质造成明显影响。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5</w:t>
            </w:r>
            <w:r>
              <w:rPr>
                <w:rFonts w:hint="eastAsia" w:ascii="Times New Roman" w:hAnsi="Times New Roman" w:eastAsia="宋体" w:cs="Times New Roman"/>
                <w:color w:val="000000"/>
                <w:kern w:val="0"/>
                <w:sz w:val="24"/>
                <w:szCs w:val="24"/>
                <w:lang w:val="en-US" w:eastAsia="zh-CN" w:bidi="ar"/>
              </w:rPr>
              <w:t xml:space="preserve">）地面径流对地表水环境影响分析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本项目施工机械跑、冒、滴、漏的污油及露天机械被雨水等冲刷后产生油污染，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在雨天时易形成地表径流流入</w:t>
            </w:r>
            <w:r>
              <w:rPr>
                <w:rFonts w:hint="eastAsia" w:ascii="Times New Roman" w:hAnsi="Times New Roman" w:cs="Times New Roman"/>
                <w:color w:val="000000"/>
                <w:kern w:val="0"/>
                <w:sz w:val="24"/>
                <w:szCs w:val="24"/>
                <w:lang w:val="en-US" w:eastAsia="zh-CN" w:bidi="ar"/>
              </w:rPr>
              <w:t>芝溪河</w:t>
            </w:r>
            <w:r>
              <w:rPr>
                <w:rFonts w:hint="eastAsia" w:ascii="Times New Roman" w:hAnsi="Times New Roman" w:eastAsia="宋体" w:cs="Times New Roman"/>
                <w:color w:val="000000"/>
                <w:kern w:val="0"/>
                <w:sz w:val="24"/>
                <w:szCs w:val="24"/>
                <w:lang w:val="en-US" w:eastAsia="zh-CN" w:bidi="ar"/>
              </w:rPr>
              <w:t>中污染水体；堆放的建筑材料管理防护不当被雨水冲刷时也会对</w:t>
            </w:r>
            <w:r>
              <w:rPr>
                <w:rFonts w:hint="eastAsia" w:ascii="Times New Roman" w:hAnsi="Times New Roman" w:cs="Times New Roman"/>
                <w:color w:val="000000"/>
                <w:kern w:val="0"/>
                <w:sz w:val="24"/>
                <w:szCs w:val="24"/>
                <w:lang w:val="en-US" w:eastAsia="zh-CN" w:bidi="ar"/>
              </w:rPr>
              <w:t>芝溪河</w:t>
            </w:r>
            <w:r>
              <w:rPr>
                <w:rFonts w:hint="eastAsia" w:ascii="Times New Roman" w:hAnsi="Times New Roman" w:eastAsia="宋体" w:cs="Times New Roman"/>
                <w:color w:val="000000"/>
                <w:kern w:val="0"/>
                <w:sz w:val="24"/>
                <w:szCs w:val="24"/>
                <w:lang w:val="en-US" w:eastAsia="zh-CN" w:bidi="ar"/>
              </w:rPr>
              <w:t>水质造成污染。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为了减小地面径流对地表水环境的影响，环评提出下列治理措施：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①进入施工现场的机械设备和运输车辆要加强检修，杜绝“跑、冒、滴、漏”等问题；运输车辆和机械设备全部外委进行维修，不在施工场地进行维修</w:t>
            </w:r>
            <w:r>
              <w:rPr>
                <w:rFonts w:hint="eastAsia" w:ascii="Times New Roman" w:hAnsi="Times New Roman"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②在施工期间采取防雨布对开挖以及表土堆场、土石方临时堆场、材料堆场等进行覆盖；并采用相应的水土保持措施。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③临时施工场地四周设计截流沟，并配套设置沉砂池。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采取这些措施后将大大的减少受雨水冲刷造成的水质影响，在强降雨条件下所产生的面源流失量也较小，对周围地表水环境影响较小。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综上，本项目施工期废水对区域地表水环境不会造成明显影响，施工结束后，影响</w:t>
            </w:r>
            <w:r>
              <w:rPr>
                <w:rFonts w:hint="eastAsia" w:ascii="Times New Roman" w:hAnsi="Times New Roman" w:cs="Times New Roman"/>
                <w:color w:val="000000"/>
                <w:kern w:val="0"/>
                <w:sz w:val="24"/>
                <w:szCs w:val="24"/>
                <w:lang w:val="en-US" w:eastAsia="zh-CN" w:bidi="ar"/>
              </w:rPr>
              <w:t>将很快消失</w:t>
            </w:r>
            <w:r>
              <w:rPr>
                <w:rFonts w:hint="eastAsia" w:ascii="Times New Roman" w:hAnsi="Times New Roman" w:eastAsia="宋体" w:cs="Times New Roman"/>
                <w:color w:val="000000"/>
                <w:kern w:val="0"/>
                <w:sz w:val="24"/>
                <w:szCs w:val="24"/>
                <w:lang w:val="en-US" w:eastAsia="zh-CN" w:bidi="ar"/>
              </w:rPr>
              <w:t>。</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2" w:firstLineChars="200"/>
              <w:jc w:val="left"/>
              <w:textAlignment w:val="auto"/>
              <w:rPr>
                <w:rFonts w:hint="default" w:ascii="Times New Roman" w:hAnsi="Times New Roman"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3、声环境影响分析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 xml:space="preserve">）施工期噪声源强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在施工过程中，施工机具设备噪声将会对周围环境产生一定的影响。施工作业噪声主要指一些零星的敲打声、装卸车辆的撞击声、吆喝声、拆装模板的撞击声，多为瞬间噪声；施工车辆的噪声属于交通噪声。施工单位必须严格遵守《中华人民共和国环境噪声污染防治法》中的有关建筑施工噪声污染防治的条款：在施工期间向周围生活环境排放建筑施工噪声的，应当符合国家规定的建筑施工场界环境噪声排放标准，即《建筑施工场界环境噪声排放标准》（</w:t>
            </w:r>
            <w:r>
              <w:rPr>
                <w:rFonts w:hint="default" w:ascii="Times New Roman" w:hAnsi="Times New Roman" w:eastAsia="宋体" w:cs="Times New Roman"/>
                <w:color w:val="000000"/>
                <w:kern w:val="0"/>
                <w:sz w:val="24"/>
                <w:szCs w:val="24"/>
                <w:lang w:val="en-US" w:eastAsia="zh-CN" w:bidi="ar"/>
              </w:rPr>
              <w:t>GB12523-2011</w:t>
            </w:r>
            <w:r>
              <w:rPr>
                <w:rFonts w:hint="eastAsia" w:ascii="Times New Roman" w:hAnsi="Times New Roman" w:eastAsia="宋体" w:cs="Times New Roman"/>
                <w:color w:val="000000"/>
                <w:kern w:val="0"/>
                <w:sz w:val="24"/>
                <w:szCs w:val="24"/>
                <w:lang w:val="en-US" w:eastAsia="zh-CN" w:bidi="ar"/>
              </w:rPr>
              <w:t>）。施工期主要机械噪声源强如下所示。本项目施工期间主要噪声源强如下表所示。</w:t>
            </w:r>
          </w:p>
          <w:p>
            <w:pPr>
              <w:widowControl/>
              <w:numPr>
                <w:ilvl w:val="0"/>
                <w:numId w:val="15"/>
              </w:numPr>
              <w:adjustRightInd w:val="0"/>
              <w:snapToGrid w:val="0"/>
              <w:ind w:left="840" w:leftChars="0" w:hanging="420" w:firstLineChars="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施工</w:t>
            </w:r>
            <w:r>
              <w:rPr>
                <w:rFonts w:hint="eastAsia" w:ascii="Times New Roman" w:hAnsi="Times New Roman" w:cs="Times New Roman"/>
                <w:b/>
                <w:bCs/>
                <w:color w:val="000000" w:themeColor="text1"/>
                <w:szCs w:val="21"/>
                <w:lang w:val="en-US" w:eastAsia="zh-CN"/>
                <w14:textFill>
                  <w14:solidFill>
                    <w14:schemeClr w14:val="tx1"/>
                  </w14:solidFill>
                </w14:textFill>
              </w:rPr>
              <w:t>期间主要噪声产生源</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742"/>
              <w:gridCol w:w="1381"/>
              <w:gridCol w:w="1365"/>
              <w:gridCol w:w="2058"/>
              <w:gridCol w:w="1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color w:val="auto"/>
                      <w:sz w:val="21"/>
                      <w:szCs w:val="21"/>
                    </w:rPr>
                  </w:pPr>
                  <w:r>
                    <w:rPr>
                      <w:rFonts w:hint="eastAsia"/>
                      <w:color w:val="auto"/>
                      <w:sz w:val="21"/>
                      <w:szCs w:val="21"/>
                    </w:rPr>
                    <w:t>序号</w:t>
                  </w:r>
                </w:p>
              </w:tc>
              <w:tc>
                <w:tcPr>
                  <w:tcW w:w="1016" w:type="pct"/>
                  <w:vAlign w:val="center"/>
                </w:tcPr>
                <w:p>
                  <w:pPr>
                    <w:spacing w:line="240" w:lineRule="auto"/>
                    <w:ind w:firstLine="0" w:firstLineChars="0"/>
                    <w:jc w:val="center"/>
                    <w:rPr>
                      <w:color w:val="auto"/>
                      <w:sz w:val="21"/>
                      <w:szCs w:val="21"/>
                    </w:rPr>
                  </w:pPr>
                  <w:r>
                    <w:rPr>
                      <w:rFonts w:hint="eastAsia"/>
                      <w:color w:val="auto"/>
                      <w:sz w:val="21"/>
                      <w:szCs w:val="21"/>
                    </w:rPr>
                    <w:t>主要噪声源</w:t>
                  </w:r>
                </w:p>
              </w:tc>
              <w:tc>
                <w:tcPr>
                  <w:tcW w:w="805" w:type="pct"/>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数量</w:t>
                  </w:r>
                </w:p>
              </w:tc>
              <w:tc>
                <w:tcPr>
                  <w:tcW w:w="796" w:type="pct"/>
                  <w:vAlign w:val="center"/>
                </w:tcPr>
                <w:p>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声源强度</w:t>
                  </w:r>
                </w:p>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rPr>
                    <w:t>dB（A）</w:t>
                  </w:r>
                </w:p>
              </w:tc>
              <w:tc>
                <w:tcPr>
                  <w:tcW w:w="1200" w:type="pct"/>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治理措施</w:t>
                  </w:r>
                </w:p>
              </w:tc>
              <w:tc>
                <w:tcPr>
                  <w:tcW w:w="711" w:type="pct"/>
                  <w:vAlign w:val="center"/>
                </w:tcPr>
                <w:p>
                  <w:pPr>
                    <w:spacing w:line="240" w:lineRule="auto"/>
                    <w:ind w:firstLine="0" w:firstLineChars="0"/>
                    <w:jc w:val="center"/>
                    <w:rPr>
                      <w:rFonts w:hint="eastAsia"/>
                      <w:color w:val="auto"/>
                      <w:sz w:val="21"/>
                      <w:szCs w:val="21"/>
                      <w:lang w:eastAsia="zh-CN"/>
                    </w:rPr>
                  </w:pPr>
                  <w:r>
                    <w:rPr>
                      <w:rFonts w:hint="eastAsia"/>
                      <w:color w:val="auto"/>
                      <w:sz w:val="21"/>
                      <w:szCs w:val="21"/>
                      <w:lang w:val="en-US" w:eastAsia="zh-CN"/>
                    </w:rPr>
                    <w:t>治理后声级</w:t>
                  </w:r>
                  <w:r>
                    <w:rPr>
                      <w:rFonts w:hint="eastAsia"/>
                      <w:color w:val="auto"/>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color w:val="auto"/>
                      <w:sz w:val="21"/>
                      <w:szCs w:val="21"/>
                    </w:rPr>
                  </w:pPr>
                  <w:r>
                    <w:rPr>
                      <w:rFonts w:hint="eastAsia"/>
                      <w:color w:val="auto"/>
                      <w:sz w:val="21"/>
                      <w:szCs w:val="21"/>
                    </w:rPr>
                    <w:t>1</w:t>
                  </w:r>
                </w:p>
              </w:tc>
              <w:tc>
                <w:tcPr>
                  <w:tcW w:w="1016" w:type="pct"/>
                  <w:vAlign w:val="center"/>
                </w:tcPr>
                <w:p>
                  <w:pPr>
                    <w:spacing w:line="240" w:lineRule="auto"/>
                    <w:ind w:firstLine="0" w:firstLineChars="0"/>
                    <w:jc w:val="center"/>
                    <w:rPr>
                      <w:color w:val="auto"/>
                      <w:sz w:val="21"/>
                      <w:szCs w:val="21"/>
                    </w:rPr>
                  </w:pPr>
                  <w:r>
                    <w:rPr>
                      <w:rFonts w:hint="eastAsia"/>
                      <w:color w:val="auto"/>
                      <w:sz w:val="21"/>
                      <w:szCs w:val="21"/>
                    </w:rPr>
                    <w:t>液压挖掘机</w:t>
                  </w:r>
                </w:p>
              </w:tc>
              <w:tc>
                <w:tcPr>
                  <w:tcW w:w="805" w:type="pct"/>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8</w:t>
                  </w:r>
                </w:p>
              </w:tc>
              <w:tc>
                <w:tcPr>
                  <w:tcW w:w="796"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100</w:t>
                  </w:r>
                </w:p>
              </w:tc>
              <w:tc>
                <w:tcPr>
                  <w:tcW w:w="1200" w:type="pct"/>
                  <w:vMerge w:val="restart"/>
                  <w:vAlign w:val="center"/>
                </w:tcPr>
                <w:p>
                  <w:pPr>
                    <w:spacing w:line="240" w:lineRule="auto"/>
                    <w:ind w:firstLine="0" w:firstLineChars="0"/>
                    <w:jc w:val="center"/>
                    <w:rPr>
                      <w:rFonts w:hint="eastAsia"/>
                      <w:color w:val="auto"/>
                      <w:sz w:val="21"/>
                      <w:szCs w:val="21"/>
                    </w:rPr>
                  </w:pPr>
                  <w:r>
                    <w:rPr>
                      <w:rFonts w:hint="eastAsia"/>
                      <w:color w:val="auto"/>
                      <w:sz w:val="21"/>
                      <w:szCs w:val="21"/>
                    </w:rPr>
                    <w:t>施工区设置围挡，对高噪声设备安装简易工棚、加强设备维护、加强管理等</w:t>
                  </w:r>
                </w:p>
              </w:tc>
              <w:tc>
                <w:tcPr>
                  <w:tcW w:w="711"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color w:val="auto"/>
                      <w:sz w:val="21"/>
                      <w:szCs w:val="21"/>
                    </w:rPr>
                  </w:pPr>
                  <w:r>
                    <w:rPr>
                      <w:rFonts w:hint="eastAsia"/>
                      <w:color w:val="auto"/>
                      <w:sz w:val="21"/>
                      <w:szCs w:val="21"/>
                    </w:rPr>
                    <w:t>2</w:t>
                  </w:r>
                </w:p>
              </w:tc>
              <w:tc>
                <w:tcPr>
                  <w:tcW w:w="1016"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推土机</w:t>
                  </w:r>
                </w:p>
              </w:tc>
              <w:tc>
                <w:tcPr>
                  <w:tcW w:w="805"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796" w:type="pct"/>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90</w:t>
                  </w:r>
                </w:p>
              </w:tc>
              <w:tc>
                <w:tcPr>
                  <w:tcW w:w="1200" w:type="pct"/>
                  <w:vMerge w:val="continue"/>
                  <w:vAlign w:val="center"/>
                </w:tcPr>
                <w:p>
                  <w:pPr>
                    <w:spacing w:line="240" w:lineRule="auto"/>
                    <w:ind w:firstLine="0" w:firstLineChars="0"/>
                    <w:jc w:val="center"/>
                    <w:rPr>
                      <w:rFonts w:hint="eastAsia"/>
                      <w:color w:val="auto"/>
                      <w:sz w:val="21"/>
                      <w:szCs w:val="21"/>
                    </w:rPr>
                  </w:pPr>
                </w:p>
              </w:tc>
              <w:tc>
                <w:tcPr>
                  <w:tcW w:w="711"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color w:val="auto"/>
                      <w:sz w:val="21"/>
                      <w:szCs w:val="21"/>
                    </w:rPr>
                  </w:pPr>
                  <w:r>
                    <w:rPr>
                      <w:rFonts w:hint="eastAsia"/>
                      <w:color w:val="auto"/>
                      <w:sz w:val="21"/>
                      <w:szCs w:val="21"/>
                    </w:rPr>
                    <w:t>3</w:t>
                  </w:r>
                </w:p>
              </w:tc>
              <w:tc>
                <w:tcPr>
                  <w:tcW w:w="1016"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载重汽车</w:t>
                  </w:r>
                </w:p>
              </w:tc>
              <w:tc>
                <w:tcPr>
                  <w:tcW w:w="805"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796"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90</w:t>
                  </w:r>
                </w:p>
              </w:tc>
              <w:tc>
                <w:tcPr>
                  <w:tcW w:w="1200" w:type="pct"/>
                  <w:vMerge w:val="continue"/>
                  <w:vAlign w:val="center"/>
                </w:tcPr>
                <w:p>
                  <w:pPr>
                    <w:spacing w:line="240" w:lineRule="auto"/>
                    <w:ind w:firstLine="0" w:firstLineChars="0"/>
                    <w:jc w:val="center"/>
                    <w:rPr>
                      <w:rFonts w:hint="eastAsia"/>
                      <w:color w:val="auto"/>
                      <w:sz w:val="21"/>
                      <w:szCs w:val="21"/>
                    </w:rPr>
                  </w:pPr>
                </w:p>
              </w:tc>
              <w:tc>
                <w:tcPr>
                  <w:tcW w:w="711"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color w:val="auto"/>
                      <w:sz w:val="21"/>
                      <w:szCs w:val="21"/>
                    </w:rPr>
                  </w:pPr>
                  <w:r>
                    <w:rPr>
                      <w:rFonts w:hint="eastAsia"/>
                      <w:color w:val="auto"/>
                      <w:sz w:val="21"/>
                      <w:szCs w:val="21"/>
                    </w:rPr>
                    <w:t>4</w:t>
                  </w:r>
                </w:p>
              </w:tc>
              <w:tc>
                <w:tcPr>
                  <w:tcW w:w="1016"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蛙式夯实机</w:t>
                  </w:r>
                </w:p>
              </w:tc>
              <w:tc>
                <w:tcPr>
                  <w:tcW w:w="805"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w:t>
                  </w:r>
                </w:p>
              </w:tc>
              <w:tc>
                <w:tcPr>
                  <w:tcW w:w="796"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85</w:t>
                  </w:r>
                </w:p>
              </w:tc>
              <w:tc>
                <w:tcPr>
                  <w:tcW w:w="1200" w:type="pct"/>
                  <w:vMerge w:val="continue"/>
                  <w:vAlign w:val="center"/>
                </w:tcPr>
                <w:p>
                  <w:pPr>
                    <w:spacing w:line="240" w:lineRule="auto"/>
                    <w:ind w:firstLine="0" w:firstLineChars="0"/>
                    <w:jc w:val="center"/>
                    <w:rPr>
                      <w:rFonts w:hint="eastAsia"/>
                      <w:color w:val="auto"/>
                      <w:sz w:val="21"/>
                      <w:szCs w:val="21"/>
                    </w:rPr>
                  </w:pPr>
                </w:p>
              </w:tc>
              <w:tc>
                <w:tcPr>
                  <w:tcW w:w="711"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color w:val="auto"/>
                      <w:sz w:val="21"/>
                      <w:szCs w:val="21"/>
                    </w:rPr>
                  </w:pPr>
                  <w:r>
                    <w:rPr>
                      <w:rFonts w:hint="eastAsia"/>
                      <w:color w:val="auto"/>
                      <w:sz w:val="21"/>
                      <w:szCs w:val="21"/>
                    </w:rPr>
                    <w:t>5</w:t>
                  </w:r>
                </w:p>
              </w:tc>
              <w:tc>
                <w:tcPr>
                  <w:tcW w:w="1016"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color w:val="auto"/>
                      <w:sz w:val="21"/>
                      <w:szCs w:val="21"/>
                    </w:rPr>
                    <w:t>混凝土</w:t>
                  </w:r>
                  <w:r>
                    <w:rPr>
                      <w:rFonts w:hint="eastAsia"/>
                      <w:color w:val="auto"/>
                      <w:sz w:val="21"/>
                      <w:szCs w:val="21"/>
                      <w:lang w:val="en-US" w:eastAsia="zh-CN"/>
                    </w:rPr>
                    <w:t>拌合机</w:t>
                  </w:r>
                </w:p>
              </w:tc>
              <w:tc>
                <w:tcPr>
                  <w:tcW w:w="805"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796"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85</w:t>
                  </w:r>
                </w:p>
              </w:tc>
              <w:tc>
                <w:tcPr>
                  <w:tcW w:w="1200" w:type="pct"/>
                  <w:vMerge w:val="continue"/>
                  <w:vAlign w:val="center"/>
                </w:tcPr>
                <w:p>
                  <w:pPr>
                    <w:spacing w:line="240" w:lineRule="auto"/>
                    <w:ind w:firstLine="0" w:firstLineChars="0"/>
                    <w:jc w:val="center"/>
                    <w:rPr>
                      <w:rFonts w:hint="eastAsia"/>
                      <w:color w:val="auto"/>
                      <w:sz w:val="21"/>
                      <w:szCs w:val="21"/>
                    </w:rPr>
                  </w:pPr>
                </w:p>
              </w:tc>
              <w:tc>
                <w:tcPr>
                  <w:tcW w:w="711"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color w:val="auto"/>
                      <w:sz w:val="21"/>
                      <w:szCs w:val="21"/>
                    </w:rPr>
                  </w:pPr>
                  <w:r>
                    <w:rPr>
                      <w:rFonts w:hint="eastAsia"/>
                      <w:color w:val="auto"/>
                      <w:sz w:val="21"/>
                      <w:szCs w:val="21"/>
                    </w:rPr>
                    <w:t>6</w:t>
                  </w:r>
                </w:p>
              </w:tc>
              <w:tc>
                <w:tcPr>
                  <w:tcW w:w="1016"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color w:val="auto"/>
                      <w:sz w:val="21"/>
                      <w:szCs w:val="21"/>
                    </w:rPr>
                    <w:t>混凝土振捣器</w:t>
                  </w:r>
                </w:p>
              </w:tc>
              <w:tc>
                <w:tcPr>
                  <w:tcW w:w="805" w:type="pct"/>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10</w:t>
                  </w:r>
                </w:p>
              </w:tc>
              <w:tc>
                <w:tcPr>
                  <w:tcW w:w="796"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85</w:t>
                  </w:r>
                </w:p>
              </w:tc>
              <w:tc>
                <w:tcPr>
                  <w:tcW w:w="1200" w:type="pct"/>
                  <w:vMerge w:val="continue"/>
                  <w:vAlign w:val="center"/>
                </w:tcPr>
                <w:p>
                  <w:pPr>
                    <w:spacing w:line="240" w:lineRule="auto"/>
                    <w:ind w:firstLine="0" w:firstLineChars="0"/>
                    <w:jc w:val="center"/>
                    <w:rPr>
                      <w:rFonts w:hint="eastAsia"/>
                      <w:color w:val="auto"/>
                      <w:sz w:val="21"/>
                      <w:szCs w:val="21"/>
                    </w:rPr>
                  </w:pPr>
                </w:p>
              </w:tc>
              <w:tc>
                <w:tcPr>
                  <w:tcW w:w="711"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color w:val="auto"/>
                      <w:sz w:val="21"/>
                      <w:szCs w:val="21"/>
                    </w:rPr>
                  </w:pPr>
                  <w:r>
                    <w:rPr>
                      <w:rFonts w:hint="eastAsia"/>
                      <w:color w:val="auto"/>
                      <w:sz w:val="21"/>
                      <w:szCs w:val="21"/>
                    </w:rPr>
                    <w:t>7</w:t>
                  </w:r>
                </w:p>
              </w:tc>
              <w:tc>
                <w:tcPr>
                  <w:tcW w:w="1016" w:type="pct"/>
                  <w:vAlign w:val="center"/>
                </w:tcPr>
                <w:p>
                  <w:pPr>
                    <w:keepNext w:val="0"/>
                    <w:keepLines w:val="0"/>
                    <w:widowControl/>
                    <w:suppressLineNumbers w:val="0"/>
                    <w:jc w:val="center"/>
                    <w:rPr>
                      <w:rFonts w:ascii="Times New Roman" w:hAnsi="Times New Roman" w:eastAsia="宋体" w:cs="Times New Roman"/>
                      <w:color w:val="auto"/>
                      <w:kern w:val="2"/>
                      <w:sz w:val="21"/>
                      <w:szCs w:val="21"/>
                      <w:lang w:val="en-US" w:eastAsia="zh-CN" w:bidi="ar-SA"/>
                    </w:rPr>
                  </w:pPr>
                  <w:r>
                    <w:rPr>
                      <w:rFonts w:hint="eastAsia" w:ascii="宋体" w:hAnsi="宋体" w:eastAsia="宋体" w:cs="宋体"/>
                      <w:color w:val="000000"/>
                      <w:kern w:val="0"/>
                      <w:sz w:val="21"/>
                      <w:szCs w:val="21"/>
                      <w:lang w:val="en-US" w:eastAsia="zh-CN" w:bidi="ar"/>
                    </w:rPr>
                    <w:t>自卸汽车</w:t>
                  </w:r>
                </w:p>
              </w:tc>
              <w:tc>
                <w:tcPr>
                  <w:tcW w:w="805"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22</w:t>
                  </w:r>
                </w:p>
              </w:tc>
              <w:tc>
                <w:tcPr>
                  <w:tcW w:w="796"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80</w:t>
                  </w:r>
                </w:p>
              </w:tc>
              <w:tc>
                <w:tcPr>
                  <w:tcW w:w="1200" w:type="pct"/>
                  <w:vMerge w:val="continue"/>
                  <w:vAlign w:val="center"/>
                </w:tcPr>
                <w:p>
                  <w:pPr>
                    <w:spacing w:line="240" w:lineRule="auto"/>
                    <w:ind w:firstLine="0" w:firstLineChars="0"/>
                    <w:jc w:val="center"/>
                    <w:rPr>
                      <w:rFonts w:hint="eastAsia"/>
                      <w:color w:val="auto"/>
                      <w:sz w:val="21"/>
                      <w:szCs w:val="21"/>
                    </w:rPr>
                  </w:pPr>
                </w:p>
              </w:tc>
              <w:tc>
                <w:tcPr>
                  <w:tcW w:w="711"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8</w:t>
                  </w:r>
                </w:p>
              </w:tc>
              <w:tc>
                <w:tcPr>
                  <w:tcW w:w="1016" w:type="pct"/>
                  <w:vAlign w:val="center"/>
                </w:tcPr>
                <w:p>
                  <w:pPr>
                    <w:keepNext w:val="0"/>
                    <w:keepLines w:val="0"/>
                    <w:widowControl/>
                    <w:suppressLineNumbers w:val="0"/>
                    <w:jc w:val="center"/>
                    <w:rPr>
                      <w:rFonts w:ascii="Times New Roman" w:hAnsi="Times New Roman" w:eastAsia="宋体" w:cs="Times New Roman"/>
                      <w:color w:val="auto"/>
                      <w:kern w:val="2"/>
                      <w:sz w:val="21"/>
                      <w:szCs w:val="21"/>
                      <w:lang w:val="en-US" w:eastAsia="zh-CN" w:bidi="ar-SA"/>
                    </w:rPr>
                  </w:pPr>
                  <w:r>
                    <w:rPr>
                      <w:rFonts w:hint="eastAsia" w:ascii="宋体" w:hAnsi="宋体" w:eastAsia="宋体" w:cs="宋体"/>
                      <w:color w:val="000000"/>
                      <w:kern w:val="0"/>
                      <w:sz w:val="21"/>
                      <w:szCs w:val="21"/>
                      <w:lang w:val="en-US" w:eastAsia="zh-CN" w:bidi="ar"/>
                    </w:rPr>
                    <w:t>农用四轮车</w:t>
                  </w:r>
                </w:p>
              </w:tc>
              <w:tc>
                <w:tcPr>
                  <w:tcW w:w="805"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w:t>
                  </w:r>
                </w:p>
              </w:tc>
              <w:tc>
                <w:tcPr>
                  <w:tcW w:w="796"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65</w:t>
                  </w:r>
                </w:p>
              </w:tc>
              <w:tc>
                <w:tcPr>
                  <w:tcW w:w="1200" w:type="pct"/>
                  <w:vMerge w:val="continue"/>
                  <w:vAlign w:val="center"/>
                </w:tcPr>
                <w:p>
                  <w:pPr>
                    <w:spacing w:line="240" w:lineRule="auto"/>
                    <w:ind w:firstLine="0" w:firstLineChars="0"/>
                    <w:jc w:val="center"/>
                    <w:rPr>
                      <w:rFonts w:hint="eastAsia"/>
                      <w:color w:val="auto"/>
                      <w:sz w:val="21"/>
                      <w:szCs w:val="21"/>
                    </w:rPr>
                  </w:pPr>
                </w:p>
              </w:tc>
              <w:tc>
                <w:tcPr>
                  <w:tcW w:w="711" w:type="pct"/>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9</w:t>
                  </w:r>
                </w:p>
              </w:tc>
              <w:tc>
                <w:tcPr>
                  <w:tcW w:w="1016" w:type="pct"/>
                  <w:vAlign w:val="center"/>
                </w:tcPr>
                <w:p>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000000" w:themeColor="text1"/>
                      <w:sz w:val="21"/>
                      <w:szCs w:val="21"/>
                      <w14:textFill>
                        <w14:solidFill>
                          <w14:schemeClr w14:val="tx1"/>
                        </w14:solidFill>
                      </w14:textFill>
                    </w:rPr>
                    <w:t>机动翻斗车</w:t>
                  </w:r>
                </w:p>
              </w:tc>
              <w:tc>
                <w:tcPr>
                  <w:tcW w:w="805"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12</w:t>
                  </w:r>
                </w:p>
              </w:tc>
              <w:tc>
                <w:tcPr>
                  <w:tcW w:w="796"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75</w:t>
                  </w:r>
                </w:p>
              </w:tc>
              <w:tc>
                <w:tcPr>
                  <w:tcW w:w="1200" w:type="pct"/>
                  <w:vMerge w:val="continue"/>
                  <w:vAlign w:val="center"/>
                </w:tcPr>
                <w:p>
                  <w:pPr>
                    <w:spacing w:line="240" w:lineRule="auto"/>
                    <w:ind w:firstLine="0" w:firstLineChars="0"/>
                    <w:jc w:val="center"/>
                    <w:rPr>
                      <w:rFonts w:hint="eastAsia"/>
                      <w:color w:val="auto"/>
                      <w:sz w:val="21"/>
                      <w:szCs w:val="21"/>
                    </w:rPr>
                  </w:pPr>
                </w:p>
              </w:tc>
              <w:tc>
                <w:tcPr>
                  <w:tcW w:w="711" w:type="pct"/>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101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供水泵</w:t>
                  </w:r>
                </w:p>
              </w:tc>
              <w:tc>
                <w:tcPr>
                  <w:tcW w:w="805"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w:t>
                  </w:r>
                </w:p>
              </w:tc>
              <w:tc>
                <w:tcPr>
                  <w:tcW w:w="796"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85</w:t>
                  </w:r>
                </w:p>
              </w:tc>
              <w:tc>
                <w:tcPr>
                  <w:tcW w:w="1200" w:type="pct"/>
                  <w:vMerge w:val="continue"/>
                  <w:vAlign w:val="center"/>
                </w:tcPr>
                <w:p>
                  <w:pPr>
                    <w:spacing w:line="240" w:lineRule="auto"/>
                    <w:ind w:firstLine="0" w:firstLineChars="0"/>
                    <w:jc w:val="center"/>
                    <w:rPr>
                      <w:rFonts w:hint="eastAsia"/>
                      <w:color w:val="auto"/>
                      <w:sz w:val="21"/>
                      <w:szCs w:val="21"/>
                    </w:rPr>
                  </w:pPr>
                </w:p>
              </w:tc>
              <w:tc>
                <w:tcPr>
                  <w:tcW w:w="711" w:type="pct"/>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69"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11</w:t>
                  </w:r>
                </w:p>
              </w:tc>
              <w:tc>
                <w:tcPr>
                  <w:tcW w:w="1016" w:type="pct"/>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rFonts w:hint="eastAsia"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排水泵</w:t>
                  </w:r>
                </w:p>
              </w:tc>
              <w:tc>
                <w:tcPr>
                  <w:tcW w:w="805" w:type="pct"/>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w:t>
                  </w:r>
                </w:p>
              </w:tc>
              <w:tc>
                <w:tcPr>
                  <w:tcW w:w="796" w:type="pct"/>
                  <w:vAlign w:val="center"/>
                </w:tcPr>
                <w:p>
                  <w:pPr>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85</w:t>
                  </w:r>
                </w:p>
              </w:tc>
              <w:tc>
                <w:tcPr>
                  <w:tcW w:w="1200" w:type="pct"/>
                  <w:vMerge w:val="continue"/>
                  <w:vAlign w:val="center"/>
                </w:tcPr>
                <w:p>
                  <w:pPr>
                    <w:spacing w:line="240" w:lineRule="auto"/>
                    <w:ind w:firstLine="0" w:firstLineChars="0"/>
                    <w:jc w:val="center"/>
                    <w:rPr>
                      <w:rFonts w:hint="eastAsia"/>
                      <w:color w:val="auto"/>
                      <w:sz w:val="21"/>
                      <w:szCs w:val="21"/>
                    </w:rPr>
                  </w:pPr>
                </w:p>
              </w:tc>
              <w:tc>
                <w:tcPr>
                  <w:tcW w:w="711" w:type="pct"/>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75</w:t>
                  </w:r>
                </w:p>
              </w:tc>
            </w:tr>
          </w:tbl>
          <w:p>
            <w:pPr>
              <w:pStyle w:val="253"/>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spacing w:val="-3"/>
                <w:lang w:val="en-US" w:eastAsia="zh-CN"/>
              </w:rPr>
            </w:pPr>
            <w:r>
              <w:rPr>
                <w:rFonts w:hint="default" w:ascii="Times New Roman" w:hAnsi="Times New Roman" w:cs="Times New Roman"/>
                <w:spacing w:val="-3"/>
                <w:lang w:eastAsia="zh-CN"/>
              </w:rPr>
              <w:t>（</w:t>
            </w:r>
            <w:r>
              <w:rPr>
                <w:rFonts w:hint="default" w:ascii="Times New Roman" w:hAnsi="Times New Roman" w:cs="Times New Roman"/>
                <w:spacing w:val="-3"/>
                <w:lang w:val="en-US" w:eastAsia="zh-CN"/>
              </w:rPr>
              <w:t>2</w:t>
            </w:r>
            <w:r>
              <w:rPr>
                <w:rFonts w:hint="default" w:ascii="Times New Roman" w:hAnsi="Times New Roman" w:cs="Times New Roman"/>
                <w:spacing w:val="-3"/>
                <w:lang w:eastAsia="zh-CN"/>
              </w:rPr>
              <w:t>）</w:t>
            </w:r>
            <w:r>
              <w:rPr>
                <w:rFonts w:hint="default" w:ascii="Times New Roman" w:hAnsi="Times New Roman" w:cs="Times New Roman"/>
                <w:spacing w:val="-3"/>
                <w:lang w:val="en-US" w:eastAsia="zh-CN"/>
              </w:rPr>
              <w:t>施工噪声声环境影响分析</w:t>
            </w:r>
          </w:p>
          <w:p>
            <w:pPr>
              <w:pStyle w:val="253"/>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pPr>
            <w:r>
              <w:rPr>
                <w:spacing w:val="-3"/>
              </w:rPr>
              <w:t>项目施工噪声源可视为点声源，本次施工期噪声预测采用《环境影</w:t>
            </w:r>
            <w:r>
              <w:rPr>
                <w:spacing w:val="-4"/>
              </w:rPr>
              <w:t>响评价</w:t>
            </w:r>
            <w:r>
              <w:t xml:space="preserve"> </w:t>
            </w:r>
            <w:r>
              <w:rPr>
                <w:spacing w:val="-2"/>
              </w:rPr>
              <w:t>技术导则 声环境》（</w:t>
            </w:r>
            <w:r>
              <w:rPr>
                <w:rFonts w:ascii="Times New Roman" w:hAnsi="Times New Roman" w:eastAsia="Times New Roman" w:cs="Times New Roman"/>
                <w:spacing w:val="-2"/>
              </w:rPr>
              <w:t>HJ2.4-2021</w:t>
            </w:r>
            <w:r>
              <w:rPr>
                <w:spacing w:val="-2"/>
              </w:rPr>
              <w:t>）中点声源的几何发散衰减模式，预测公式为：</w:t>
            </w:r>
          </w:p>
          <w:p>
            <w:pPr>
              <w:pStyle w:val="253"/>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Times New Roman" w:hAnsi="Times New Roman" w:eastAsia="宋体" w:cs="Times New Roman"/>
                <w:sz w:val="24"/>
                <w:szCs w:val="24"/>
                <w:lang w:eastAsia="zh-CN"/>
              </w:rPr>
            </w:pPr>
            <w:r>
              <w:rPr>
                <w:rFonts w:hint="default" w:ascii="Times New Roman" w:hAnsi="Times New Roman" w:eastAsia="Cambria Math" w:cs="Times New Roman"/>
                <w:spacing w:val="-2"/>
                <w:sz w:val="24"/>
                <w:szCs w:val="24"/>
              </w:rPr>
              <w:t>L</w:t>
            </w:r>
            <w:r>
              <w:rPr>
                <w:rFonts w:hint="default" w:ascii="Times New Roman" w:hAnsi="Times New Roman" w:eastAsia="Cambria Math" w:cs="Times New Roman"/>
                <w:spacing w:val="-2"/>
                <w:sz w:val="24"/>
                <w:szCs w:val="24"/>
                <w:vertAlign w:val="subscript"/>
              </w:rPr>
              <w:t>P</w:t>
            </w:r>
            <w:r>
              <w:rPr>
                <w:rFonts w:hint="default" w:ascii="Times New Roman" w:hAnsi="Times New Roman" w:eastAsia="Cambria Math" w:cs="Times New Roman"/>
                <w:spacing w:val="-2"/>
                <w:sz w:val="24"/>
                <w:szCs w:val="24"/>
              </w:rPr>
              <w:t>(r)=L</w:t>
            </w:r>
            <w:r>
              <w:rPr>
                <w:rFonts w:hint="default" w:ascii="Times New Roman" w:hAnsi="Times New Roman" w:eastAsia="Cambria Math" w:cs="Times New Roman"/>
                <w:spacing w:val="-2"/>
                <w:position w:val="-4"/>
                <w:sz w:val="24"/>
                <w:szCs w:val="24"/>
                <w:vertAlign w:val="subscript"/>
              </w:rPr>
              <w:t>p</w:t>
            </w:r>
            <w:r>
              <w:rPr>
                <w:rFonts w:hint="default" w:ascii="Times New Roman" w:hAnsi="Times New Roman" w:eastAsia="Cambria Math" w:cs="Times New Roman"/>
                <w:spacing w:val="-2"/>
                <w:sz w:val="24"/>
                <w:szCs w:val="24"/>
              </w:rPr>
              <w:t>(r</w:t>
            </w:r>
            <w:r>
              <w:rPr>
                <w:rFonts w:hint="eastAsia" w:ascii="Times New Roman" w:hAnsi="Times New Roman" w:eastAsia="宋体" w:cs="Times New Roman"/>
                <w:spacing w:val="-2"/>
                <w:position w:val="-4"/>
                <w:sz w:val="24"/>
                <w:szCs w:val="24"/>
                <w:vertAlign w:val="subscript"/>
                <w:lang w:val="en-US" w:eastAsia="zh-CN"/>
              </w:rPr>
              <w:t>0</w:t>
            </w:r>
            <w:r>
              <w:rPr>
                <w:rFonts w:hint="default" w:ascii="Times New Roman" w:hAnsi="Times New Roman" w:eastAsia="Cambria Math" w:cs="Times New Roman"/>
                <w:spacing w:val="-2"/>
                <w:sz w:val="24"/>
                <w:szCs w:val="24"/>
              </w:rPr>
              <w:t>)</w:t>
            </w:r>
            <w:r>
              <w:rPr>
                <w:rFonts w:hint="default" w:ascii="Times New Roman" w:hAnsi="Times New Roman" w:cs="Times New Roman"/>
                <w:spacing w:val="-91"/>
                <w:sz w:val="24"/>
                <w:szCs w:val="24"/>
              </w:rPr>
              <w:t xml:space="preserve"> </w:t>
            </w:r>
            <w:r>
              <w:rPr>
                <w:rFonts w:hint="default" w:ascii="Times New Roman" w:hAnsi="Times New Roman" w:eastAsia="Cambria Math" w:cs="Times New Roman"/>
                <w:spacing w:val="-2"/>
                <w:sz w:val="24"/>
                <w:szCs w:val="24"/>
              </w:rPr>
              <w:t>−20lg</w:t>
            </w:r>
            <w:r>
              <w:rPr>
                <w:rFonts w:hint="eastAsia" w:ascii="Times New Roman" w:hAnsi="Times New Roman" w:eastAsia="宋体" w:cs="Times New Roman"/>
                <w:spacing w:val="-2"/>
                <w:sz w:val="24"/>
                <w:szCs w:val="24"/>
                <w:lang w:eastAsia="zh-CN"/>
              </w:rPr>
              <w:t>（</w:t>
            </w:r>
            <w:r>
              <w:rPr>
                <w:rFonts w:hint="eastAsia" w:ascii="Times New Roman" w:hAnsi="Times New Roman" w:eastAsia="宋体" w:cs="Times New Roman"/>
                <w:spacing w:val="-2"/>
                <w:sz w:val="24"/>
                <w:szCs w:val="24"/>
                <w:lang w:val="en-US" w:eastAsia="zh-CN"/>
              </w:rPr>
              <w:t>r/r</w:t>
            </w:r>
            <w:r>
              <w:rPr>
                <w:rFonts w:hint="eastAsia" w:ascii="Times New Roman" w:hAnsi="Times New Roman" w:eastAsia="宋体" w:cs="Times New Roman"/>
                <w:spacing w:val="-2"/>
                <w:sz w:val="24"/>
                <w:szCs w:val="24"/>
                <w:vertAlign w:val="subscript"/>
                <w:lang w:val="en-US" w:eastAsia="zh-CN"/>
              </w:rPr>
              <w:t>0</w:t>
            </w:r>
            <w:r>
              <w:rPr>
                <w:rFonts w:hint="eastAsia" w:ascii="Times New Roman" w:hAnsi="Times New Roman" w:eastAsia="宋体" w:cs="Times New Roman"/>
                <w:spacing w:val="-2"/>
                <w:sz w:val="24"/>
                <w:szCs w:val="24"/>
                <w:lang w:eastAsia="zh-CN"/>
              </w:rPr>
              <w:t>）</w:t>
            </w:r>
          </w:p>
          <w:p>
            <w:pPr>
              <w:pStyle w:val="253"/>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pPr>
            <w:r>
              <w:rPr>
                <w:spacing w:val="-1"/>
              </w:rPr>
              <w:t>式中：</w:t>
            </w:r>
            <w:r>
              <w:rPr>
                <w:rFonts w:hint="default" w:ascii="Times New Roman" w:hAnsi="Times New Roman" w:eastAsia="Cambria Math" w:cs="Times New Roman"/>
                <w:spacing w:val="-2"/>
                <w:sz w:val="24"/>
                <w:szCs w:val="24"/>
              </w:rPr>
              <w:t>L</w:t>
            </w:r>
            <w:r>
              <w:rPr>
                <w:rFonts w:hint="default" w:ascii="Times New Roman" w:hAnsi="Times New Roman" w:eastAsia="Cambria Math" w:cs="Times New Roman"/>
                <w:spacing w:val="-2"/>
                <w:position w:val="-4"/>
                <w:sz w:val="24"/>
                <w:szCs w:val="24"/>
                <w:vertAlign w:val="subscript"/>
              </w:rPr>
              <w:t>p</w:t>
            </w:r>
            <w:r>
              <w:rPr>
                <w:rFonts w:hint="default" w:ascii="Times New Roman" w:hAnsi="Times New Roman" w:eastAsia="Cambria Math" w:cs="Times New Roman"/>
                <w:spacing w:val="-2"/>
                <w:sz w:val="24"/>
                <w:szCs w:val="24"/>
              </w:rPr>
              <w:t>(r)</w:t>
            </w:r>
            <w:r>
              <w:rPr>
                <w:rFonts w:hint="default" w:ascii="Times New Roman" w:hAnsi="Times New Roman" w:cs="Times New Roman"/>
                <w:spacing w:val="-91"/>
                <w:sz w:val="24"/>
                <w:szCs w:val="24"/>
              </w:rPr>
              <w:t xml:space="preserve"> </w:t>
            </w:r>
            <w:r>
              <w:rPr>
                <w:rFonts w:ascii="Times New Roman" w:hAnsi="Times New Roman" w:eastAsia="Times New Roman" w:cs="Times New Roman"/>
                <w:spacing w:val="-1"/>
              </w:rPr>
              <w:t>——</w:t>
            </w:r>
            <w:r>
              <w:rPr>
                <w:spacing w:val="-1"/>
              </w:rPr>
              <w:t>预测点处的声压级，</w:t>
            </w:r>
            <w:r>
              <w:rPr>
                <w:rFonts w:ascii="Times New Roman" w:hAnsi="Times New Roman" w:eastAsia="Times New Roman" w:cs="Times New Roman"/>
                <w:spacing w:val="-1"/>
              </w:rPr>
              <w:t>dB</w:t>
            </w:r>
            <w:r>
              <w:rPr>
                <w:spacing w:val="-1"/>
              </w:rPr>
              <w:t>；</w:t>
            </w:r>
          </w:p>
          <w:p>
            <w:pPr>
              <w:pStyle w:val="253"/>
              <w:keepNext w:val="0"/>
              <w:keepLines w:val="0"/>
              <w:pageBreakBefore w:val="0"/>
              <w:widowControl w:val="0"/>
              <w:kinsoku/>
              <w:wordWrap/>
              <w:overflowPunct/>
              <w:topLinePunct w:val="0"/>
              <w:autoSpaceDE/>
              <w:autoSpaceDN/>
              <w:bidi w:val="0"/>
              <w:adjustRightInd/>
              <w:snapToGrid/>
              <w:spacing w:line="360" w:lineRule="auto"/>
              <w:ind w:left="0" w:right="0" w:firstLine="1180" w:firstLineChars="500"/>
              <w:textAlignment w:val="auto"/>
            </w:pPr>
            <w:r>
              <w:rPr>
                <w:rFonts w:hint="default" w:ascii="Times New Roman" w:hAnsi="Times New Roman" w:eastAsia="Cambria Math" w:cs="Times New Roman"/>
                <w:spacing w:val="-2"/>
                <w:sz w:val="24"/>
                <w:szCs w:val="24"/>
              </w:rPr>
              <w:t>L</w:t>
            </w:r>
            <w:r>
              <w:rPr>
                <w:rFonts w:hint="default" w:ascii="Times New Roman" w:hAnsi="Times New Roman" w:eastAsia="Cambria Math" w:cs="Times New Roman"/>
                <w:spacing w:val="-2"/>
                <w:position w:val="-4"/>
                <w:sz w:val="24"/>
                <w:szCs w:val="24"/>
                <w:vertAlign w:val="subscript"/>
              </w:rPr>
              <w:t>p</w:t>
            </w:r>
            <w:r>
              <w:rPr>
                <w:rFonts w:hint="default" w:ascii="Times New Roman" w:hAnsi="Times New Roman" w:eastAsia="Cambria Math" w:cs="Times New Roman"/>
                <w:spacing w:val="-2"/>
                <w:sz w:val="24"/>
                <w:szCs w:val="24"/>
              </w:rPr>
              <w:t>(r</w:t>
            </w:r>
            <w:r>
              <w:rPr>
                <w:rFonts w:hint="eastAsia" w:ascii="Times New Roman" w:hAnsi="Times New Roman" w:eastAsia="宋体" w:cs="Times New Roman"/>
                <w:spacing w:val="-2"/>
                <w:position w:val="-4"/>
                <w:sz w:val="24"/>
                <w:szCs w:val="24"/>
                <w:vertAlign w:val="subscript"/>
                <w:lang w:val="en-US" w:eastAsia="zh-CN"/>
              </w:rPr>
              <w:t>0</w:t>
            </w:r>
            <w:r>
              <w:rPr>
                <w:rFonts w:hint="default" w:ascii="Times New Roman" w:hAnsi="Times New Roman" w:eastAsia="Cambria Math" w:cs="Times New Roman"/>
                <w:spacing w:val="-2"/>
                <w:sz w:val="24"/>
                <w:szCs w:val="24"/>
              </w:rPr>
              <w:t>)</w:t>
            </w:r>
            <w:r>
              <w:rPr>
                <w:rFonts w:hint="default" w:ascii="Times New Roman" w:hAnsi="Times New Roman" w:cs="Times New Roman"/>
                <w:spacing w:val="-91"/>
                <w:sz w:val="24"/>
                <w:szCs w:val="24"/>
              </w:rPr>
              <w:t xml:space="preserve"> </w:t>
            </w:r>
            <w:r>
              <w:rPr>
                <w:rFonts w:ascii="Times New Roman" w:hAnsi="Times New Roman" w:eastAsia="Times New Roman" w:cs="Times New Roman"/>
                <w:spacing w:val="-1"/>
              </w:rPr>
              <w:t>——</w:t>
            </w:r>
            <w:r>
              <w:rPr>
                <w:spacing w:val="-1"/>
              </w:rPr>
              <w:t>参考位置</w:t>
            </w:r>
            <w:r>
              <w:rPr>
                <w:spacing w:val="-57"/>
              </w:rPr>
              <w:t xml:space="preserve"> </w:t>
            </w:r>
            <w:r>
              <w:rPr>
                <w:rFonts w:ascii="Times New Roman" w:hAnsi="Times New Roman" w:eastAsia="Times New Roman" w:cs="Times New Roman"/>
                <w:spacing w:val="-1"/>
              </w:rPr>
              <w:t>r</w:t>
            </w:r>
            <w:r>
              <w:rPr>
                <w:rFonts w:ascii="Times New Roman" w:hAnsi="Times New Roman" w:eastAsia="Times New Roman" w:cs="Times New Roman"/>
                <w:spacing w:val="-1"/>
                <w:position w:val="-1"/>
                <w:sz w:val="16"/>
                <w:szCs w:val="16"/>
              </w:rPr>
              <w:t>0</w:t>
            </w:r>
            <w:r>
              <w:rPr>
                <w:spacing w:val="-1"/>
              </w:rPr>
              <w:t>处的声压级，</w:t>
            </w:r>
            <w:r>
              <w:rPr>
                <w:rFonts w:ascii="Times New Roman" w:hAnsi="Times New Roman" w:eastAsia="Times New Roman" w:cs="Times New Roman"/>
                <w:spacing w:val="-1"/>
              </w:rPr>
              <w:t>dB</w:t>
            </w:r>
            <w:r>
              <w:rPr>
                <w:spacing w:val="-1"/>
              </w:rPr>
              <w:t>；</w:t>
            </w:r>
          </w:p>
          <w:p>
            <w:pPr>
              <w:pStyle w:val="253"/>
              <w:keepNext w:val="0"/>
              <w:keepLines w:val="0"/>
              <w:pageBreakBefore w:val="0"/>
              <w:widowControl w:val="0"/>
              <w:kinsoku/>
              <w:wordWrap/>
              <w:overflowPunct/>
              <w:topLinePunct w:val="0"/>
              <w:autoSpaceDE/>
              <w:autoSpaceDN/>
              <w:bidi w:val="0"/>
              <w:adjustRightInd/>
              <w:snapToGrid/>
              <w:spacing w:line="360" w:lineRule="auto"/>
              <w:ind w:left="0" w:right="0" w:firstLine="1150" w:firstLineChars="500"/>
              <w:textAlignment w:val="auto"/>
              <w:rPr>
                <w:spacing w:val="-5"/>
              </w:rPr>
            </w:pPr>
            <w:r>
              <w:rPr>
                <w:rFonts w:ascii="Times New Roman" w:hAnsi="Times New Roman" w:eastAsia="Times New Roman" w:cs="Times New Roman"/>
                <w:spacing w:val="-5"/>
              </w:rPr>
              <w:t>r——</w:t>
            </w:r>
            <w:r>
              <w:rPr>
                <w:spacing w:val="-5"/>
              </w:rPr>
              <w:t>预测点距声源的距离；</w:t>
            </w:r>
          </w:p>
          <w:p>
            <w:pPr>
              <w:pStyle w:val="253"/>
              <w:keepNext w:val="0"/>
              <w:keepLines w:val="0"/>
              <w:pageBreakBefore w:val="0"/>
              <w:widowControl w:val="0"/>
              <w:kinsoku/>
              <w:wordWrap/>
              <w:overflowPunct/>
              <w:topLinePunct w:val="0"/>
              <w:autoSpaceDE/>
              <w:autoSpaceDN/>
              <w:bidi w:val="0"/>
              <w:adjustRightInd/>
              <w:snapToGrid/>
              <w:spacing w:line="360" w:lineRule="auto"/>
              <w:ind w:left="0" w:right="0" w:firstLine="1190" w:firstLineChars="500"/>
              <w:textAlignment w:val="auto"/>
            </w:pPr>
            <w:r>
              <w:rPr>
                <w:rFonts w:ascii="Times New Roman" w:hAnsi="Times New Roman" w:eastAsia="Times New Roman" w:cs="Times New Roman"/>
                <w:spacing w:val="-1"/>
              </w:rPr>
              <w:t>r</w:t>
            </w:r>
            <w:r>
              <w:rPr>
                <w:rFonts w:ascii="Times New Roman" w:hAnsi="Times New Roman" w:eastAsia="Times New Roman" w:cs="Times New Roman"/>
                <w:spacing w:val="-1"/>
                <w:vertAlign w:val="subscript"/>
              </w:rPr>
              <w:t>0</w:t>
            </w:r>
            <w:r>
              <w:rPr>
                <w:rFonts w:ascii="Times New Roman" w:hAnsi="Times New Roman" w:eastAsia="Times New Roman" w:cs="Times New Roman"/>
                <w:spacing w:val="-1"/>
              </w:rPr>
              <w:t>——</w:t>
            </w:r>
            <w:r>
              <w:rPr>
                <w:spacing w:val="-1"/>
              </w:rPr>
              <w:t>参考位置的距离；</w:t>
            </w:r>
          </w:p>
          <w:p>
            <w:pPr>
              <w:pStyle w:val="253"/>
              <w:keepNext w:val="0"/>
              <w:keepLines w:val="0"/>
              <w:pageBreakBefore w:val="0"/>
              <w:widowControl w:val="0"/>
              <w:kinsoku/>
              <w:wordWrap/>
              <w:overflowPunct/>
              <w:topLinePunct w:val="0"/>
              <w:autoSpaceDE/>
              <w:autoSpaceDN/>
              <w:bidi w:val="0"/>
              <w:adjustRightInd/>
              <w:snapToGrid/>
              <w:spacing w:line="360" w:lineRule="auto"/>
              <w:ind w:left="0" w:right="0" w:firstLine="485"/>
              <w:textAlignment w:val="auto"/>
            </w:pPr>
            <w:r>
              <w:rPr>
                <w:spacing w:val="-3"/>
              </w:rPr>
              <w:t>根据预测，施工期各类施工机械在满负荷运行时的噪声值距离衰减值见下表</w:t>
            </w:r>
            <w:r>
              <w:rPr>
                <w:spacing w:val="-2"/>
              </w:rPr>
              <w:t>。</w:t>
            </w:r>
          </w:p>
          <w:p>
            <w:pPr>
              <w:widowControl/>
              <w:numPr>
                <w:ilvl w:val="0"/>
                <w:numId w:val="15"/>
              </w:numPr>
              <w:adjustRightInd w:val="0"/>
              <w:snapToGrid w:val="0"/>
              <w:spacing w:line="240" w:lineRule="auto"/>
              <w:ind w:left="840" w:leftChars="0" w:hanging="420" w:firstLineChars="0"/>
              <w:jc w:val="center"/>
              <w:rPr>
                <w:rFonts w:hint="eastAsia" w:ascii="Times New Roman" w:hAnsi="Times New Roman" w:eastAsia="宋体" w:cs="Times New Roman"/>
                <w:b/>
                <w:bCs/>
                <w:color w:val="000000" w:themeColor="text1"/>
                <w:szCs w:val="21"/>
                <w14:textFill>
                  <w14:solidFill>
                    <w14:schemeClr w14:val="tx1"/>
                  </w14:solidFill>
                </w14:textFill>
              </w:rPr>
            </w:pPr>
            <w:r>
              <w:rPr>
                <w:rFonts w:hint="eastAsia" w:ascii="Times New Roman" w:hAnsi="Times New Roman" w:eastAsia="宋体" w:cs="Times New Roman"/>
                <w:b/>
                <w:bCs/>
                <w:color w:val="000000" w:themeColor="text1"/>
                <w:szCs w:val="21"/>
                <w14:textFill>
                  <w14:solidFill>
                    <w14:schemeClr w14:val="tx1"/>
                  </w14:solidFill>
                </w14:textFill>
              </w:rPr>
              <w:t>主要施工机械不同距离处的噪声级</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
                <w:bCs/>
                <w:color w:val="000000" w:themeColor="text1"/>
                <w:szCs w:val="21"/>
                <w14:textFill>
                  <w14:solidFill>
                    <w14:schemeClr w14:val="tx1"/>
                  </w14:solidFill>
                </w14:textFill>
              </w:rPr>
              <w:t>单位：dB（A）</w:t>
            </w:r>
          </w:p>
          <w:tbl>
            <w:tblPr>
              <w:tblStyle w:val="38"/>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880"/>
              <w:gridCol w:w="880"/>
              <w:gridCol w:w="880"/>
              <w:gridCol w:w="880"/>
              <w:gridCol w:w="880"/>
              <w:gridCol w:w="880"/>
              <w:gridCol w:w="880"/>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pStyle w:val="15"/>
                    <w:spacing w:line="240" w:lineRule="auto"/>
                    <w:ind w:firstLine="0" w:firstLineChars="0"/>
                    <w:jc w:val="center"/>
                    <w:rPr>
                      <w:b/>
                      <w:bCs/>
                      <w:color w:val="auto"/>
                      <w:sz w:val="21"/>
                      <w:szCs w:val="21"/>
                    </w:rPr>
                  </w:pPr>
                  <w:r>
                    <w:rPr>
                      <w:b/>
                      <w:bCs/>
                      <w:color w:val="auto"/>
                      <w:sz w:val="21"/>
                      <w:szCs w:val="21"/>
                    </w:rPr>
                    <w:t>噪声源</w:t>
                  </w:r>
                </w:p>
              </w:tc>
              <w:tc>
                <w:tcPr>
                  <w:tcW w:w="514" w:type="pct"/>
                  <w:tcBorders>
                    <w:tl2br w:val="nil"/>
                    <w:tr2bl w:val="nil"/>
                  </w:tcBorders>
                  <w:vAlign w:val="center"/>
                </w:tcPr>
                <w:p>
                  <w:pPr>
                    <w:pStyle w:val="15"/>
                    <w:spacing w:line="240" w:lineRule="auto"/>
                    <w:ind w:firstLine="0" w:firstLineChars="0"/>
                    <w:jc w:val="center"/>
                    <w:rPr>
                      <w:b/>
                      <w:bCs/>
                      <w:color w:val="auto"/>
                      <w:sz w:val="21"/>
                      <w:szCs w:val="21"/>
                    </w:rPr>
                  </w:pPr>
                  <w:r>
                    <w:rPr>
                      <w:b/>
                      <w:bCs/>
                      <w:color w:val="auto"/>
                      <w:sz w:val="21"/>
                      <w:szCs w:val="21"/>
                    </w:rPr>
                    <w:t>5m</w:t>
                  </w:r>
                </w:p>
              </w:tc>
              <w:tc>
                <w:tcPr>
                  <w:tcW w:w="514" w:type="pct"/>
                  <w:tcBorders>
                    <w:tl2br w:val="nil"/>
                    <w:tr2bl w:val="nil"/>
                  </w:tcBorders>
                  <w:vAlign w:val="center"/>
                </w:tcPr>
                <w:p>
                  <w:pPr>
                    <w:pStyle w:val="15"/>
                    <w:spacing w:line="240" w:lineRule="auto"/>
                    <w:ind w:firstLine="0" w:firstLineChars="0"/>
                    <w:jc w:val="center"/>
                    <w:rPr>
                      <w:b/>
                      <w:bCs/>
                      <w:color w:val="auto"/>
                      <w:sz w:val="21"/>
                      <w:szCs w:val="21"/>
                    </w:rPr>
                  </w:pPr>
                  <w:r>
                    <w:rPr>
                      <w:b/>
                      <w:bCs/>
                      <w:color w:val="auto"/>
                      <w:sz w:val="21"/>
                      <w:szCs w:val="21"/>
                    </w:rPr>
                    <w:t>10m</w:t>
                  </w:r>
                </w:p>
              </w:tc>
              <w:tc>
                <w:tcPr>
                  <w:tcW w:w="514" w:type="pct"/>
                  <w:tcBorders>
                    <w:tl2br w:val="nil"/>
                    <w:tr2bl w:val="nil"/>
                  </w:tcBorders>
                  <w:vAlign w:val="center"/>
                </w:tcPr>
                <w:p>
                  <w:pPr>
                    <w:pStyle w:val="15"/>
                    <w:spacing w:line="240" w:lineRule="auto"/>
                    <w:ind w:firstLine="0" w:firstLineChars="0"/>
                    <w:jc w:val="center"/>
                    <w:rPr>
                      <w:b/>
                      <w:bCs/>
                      <w:color w:val="auto"/>
                      <w:sz w:val="21"/>
                      <w:szCs w:val="21"/>
                    </w:rPr>
                  </w:pPr>
                  <w:r>
                    <w:rPr>
                      <w:b/>
                      <w:bCs/>
                      <w:color w:val="auto"/>
                      <w:sz w:val="21"/>
                      <w:szCs w:val="21"/>
                    </w:rPr>
                    <w:t>20m</w:t>
                  </w:r>
                </w:p>
              </w:tc>
              <w:tc>
                <w:tcPr>
                  <w:tcW w:w="514" w:type="pct"/>
                  <w:tcBorders>
                    <w:tl2br w:val="nil"/>
                    <w:tr2bl w:val="nil"/>
                  </w:tcBorders>
                  <w:vAlign w:val="center"/>
                </w:tcPr>
                <w:p>
                  <w:pPr>
                    <w:adjustRightInd w:val="0"/>
                    <w:spacing w:line="240" w:lineRule="auto"/>
                    <w:ind w:firstLine="0" w:firstLineChars="0"/>
                    <w:jc w:val="center"/>
                    <w:textAlignment w:val="baseline"/>
                    <w:rPr>
                      <w:b/>
                      <w:bCs/>
                      <w:color w:val="auto"/>
                      <w:szCs w:val="21"/>
                    </w:rPr>
                  </w:pPr>
                  <w:r>
                    <w:rPr>
                      <w:b/>
                      <w:bCs/>
                      <w:color w:val="auto"/>
                      <w:szCs w:val="21"/>
                    </w:rPr>
                    <w:t>40m</w:t>
                  </w:r>
                </w:p>
              </w:tc>
              <w:tc>
                <w:tcPr>
                  <w:tcW w:w="514" w:type="pct"/>
                  <w:tcBorders>
                    <w:tl2br w:val="nil"/>
                    <w:tr2bl w:val="nil"/>
                  </w:tcBorders>
                  <w:vAlign w:val="center"/>
                </w:tcPr>
                <w:p>
                  <w:pPr>
                    <w:adjustRightInd w:val="0"/>
                    <w:spacing w:line="240" w:lineRule="auto"/>
                    <w:ind w:firstLine="0" w:firstLineChars="0"/>
                    <w:jc w:val="center"/>
                    <w:textAlignment w:val="baseline"/>
                    <w:rPr>
                      <w:b/>
                      <w:bCs/>
                      <w:color w:val="auto"/>
                      <w:szCs w:val="21"/>
                    </w:rPr>
                  </w:pPr>
                  <w:r>
                    <w:rPr>
                      <w:b/>
                      <w:bCs/>
                      <w:color w:val="auto"/>
                      <w:szCs w:val="21"/>
                    </w:rPr>
                    <w:t>50m</w:t>
                  </w:r>
                </w:p>
              </w:tc>
              <w:tc>
                <w:tcPr>
                  <w:tcW w:w="514" w:type="pct"/>
                  <w:tcBorders>
                    <w:tl2br w:val="nil"/>
                    <w:tr2bl w:val="nil"/>
                  </w:tcBorders>
                  <w:vAlign w:val="center"/>
                </w:tcPr>
                <w:p>
                  <w:pPr>
                    <w:adjustRightInd w:val="0"/>
                    <w:spacing w:line="240" w:lineRule="auto"/>
                    <w:ind w:firstLine="0" w:firstLineChars="0"/>
                    <w:jc w:val="center"/>
                    <w:textAlignment w:val="baseline"/>
                    <w:rPr>
                      <w:b/>
                      <w:bCs/>
                      <w:color w:val="auto"/>
                      <w:szCs w:val="21"/>
                    </w:rPr>
                  </w:pPr>
                  <w:r>
                    <w:rPr>
                      <w:b/>
                      <w:bCs/>
                      <w:color w:val="auto"/>
                      <w:szCs w:val="21"/>
                    </w:rPr>
                    <w:t>100m</w:t>
                  </w:r>
                </w:p>
              </w:tc>
              <w:tc>
                <w:tcPr>
                  <w:tcW w:w="514" w:type="pct"/>
                  <w:tcBorders>
                    <w:tl2br w:val="nil"/>
                    <w:tr2bl w:val="nil"/>
                  </w:tcBorders>
                  <w:vAlign w:val="center"/>
                </w:tcPr>
                <w:p>
                  <w:pPr>
                    <w:adjustRightInd w:val="0"/>
                    <w:spacing w:line="240" w:lineRule="auto"/>
                    <w:ind w:firstLine="0" w:firstLineChars="0"/>
                    <w:jc w:val="center"/>
                    <w:textAlignment w:val="baseline"/>
                    <w:rPr>
                      <w:b/>
                      <w:bCs/>
                      <w:color w:val="auto"/>
                      <w:szCs w:val="21"/>
                    </w:rPr>
                  </w:pPr>
                  <w:r>
                    <w:rPr>
                      <w:b/>
                      <w:bCs/>
                      <w:color w:val="auto"/>
                      <w:szCs w:val="21"/>
                    </w:rPr>
                    <w:t>150m</w:t>
                  </w:r>
                </w:p>
              </w:tc>
              <w:tc>
                <w:tcPr>
                  <w:tcW w:w="516" w:type="pct"/>
                  <w:tcBorders>
                    <w:tl2br w:val="nil"/>
                    <w:tr2bl w:val="nil"/>
                  </w:tcBorders>
                  <w:vAlign w:val="center"/>
                </w:tcPr>
                <w:p>
                  <w:pPr>
                    <w:adjustRightInd w:val="0"/>
                    <w:spacing w:line="240" w:lineRule="auto"/>
                    <w:ind w:firstLine="0" w:firstLineChars="0"/>
                    <w:jc w:val="center"/>
                    <w:textAlignment w:val="baseline"/>
                    <w:rPr>
                      <w:b/>
                      <w:bCs/>
                      <w:color w:val="auto"/>
                      <w:szCs w:val="21"/>
                    </w:rPr>
                  </w:pPr>
                  <w:r>
                    <w:rPr>
                      <w:b/>
                      <w:bCs/>
                      <w:color w:val="auto"/>
                      <w:szCs w:val="21"/>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spacing w:line="240" w:lineRule="auto"/>
                    <w:ind w:firstLine="0" w:firstLineChars="0"/>
                    <w:jc w:val="center"/>
                    <w:rPr>
                      <w:color w:val="auto"/>
                      <w:szCs w:val="21"/>
                    </w:rPr>
                  </w:pPr>
                  <w:r>
                    <w:rPr>
                      <w:color w:val="auto"/>
                      <w:szCs w:val="21"/>
                    </w:rPr>
                    <w:t>液压挖掘机</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81</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75</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69</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62</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61</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55</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51</w:t>
                  </w:r>
                </w:p>
              </w:tc>
              <w:tc>
                <w:tcPr>
                  <w:tcW w:w="516"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Cs w:val="21"/>
                    </w:rPr>
                    <w:t>推土机</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79</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72</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66</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60</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58</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52</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48</w:t>
                  </w:r>
                </w:p>
              </w:tc>
              <w:tc>
                <w:tcPr>
                  <w:tcW w:w="516"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载重汽车</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74</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68</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62</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56</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54</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48</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150</w:t>
                  </w:r>
                </w:p>
              </w:tc>
              <w:tc>
                <w:tcPr>
                  <w:tcW w:w="516"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rPr>
                    <w:t>蛙式夯实机</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71</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65</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59</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53</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51</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45</w:t>
                  </w:r>
                </w:p>
              </w:tc>
              <w:tc>
                <w:tcPr>
                  <w:tcW w:w="514"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41</w:t>
                  </w:r>
                </w:p>
              </w:tc>
              <w:tc>
                <w:tcPr>
                  <w:tcW w:w="516" w:type="pct"/>
                  <w:tcBorders>
                    <w:tl2br w:val="nil"/>
                    <w:tr2bl w:val="nil"/>
                  </w:tcBorders>
                  <w:vAlign w:val="center"/>
                </w:tcPr>
                <w:p>
                  <w:pPr>
                    <w:pStyle w:val="15"/>
                    <w:spacing w:line="240" w:lineRule="auto"/>
                    <w:ind w:firstLine="0" w:firstLineChars="0"/>
                    <w:jc w:val="center"/>
                    <w:rPr>
                      <w:rFonts w:hint="eastAsia" w:ascii="Times New Roman" w:hAnsi="Times New Roman" w:eastAsia="宋体" w:cs="Times New Roman"/>
                      <w:color w:val="auto"/>
                      <w:spacing w:val="-2"/>
                      <w:kern w:val="2"/>
                      <w:sz w:val="21"/>
                      <w:szCs w:val="21"/>
                      <w:lang w:val="en-US" w:eastAsia="zh-CN" w:bidi="ar-SA"/>
                    </w:rPr>
                  </w:pPr>
                  <w:r>
                    <w:rPr>
                      <w:rFonts w:hint="eastAsia"/>
                      <w:color w:val="auto"/>
                      <w:sz w:val="21"/>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spacing w:line="240" w:lineRule="auto"/>
                    <w:ind w:firstLine="0" w:firstLineChars="0"/>
                    <w:jc w:val="center"/>
                    <w:rPr>
                      <w:rFonts w:hint="default" w:eastAsia="宋体"/>
                      <w:color w:val="auto"/>
                      <w:szCs w:val="21"/>
                      <w:lang w:val="en-US" w:eastAsia="zh-CN"/>
                    </w:rPr>
                  </w:pPr>
                  <w:r>
                    <w:rPr>
                      <w:color w:val="auto"/>
                      <w:szCs w:val="21"/>
                    </w:rPr>
                    <w:t>混凝土</w:t>
                  </w:r>
                  <w:r>
                    <w:rPr>
                      <w:rFonts w:hint="eastAsia"/>
                      <w:color w:val="auto"/>
                      <w:szCs w:val="21"/>
                      <w:lang w:val="en-US" w:eastAsia="zh-CN"/>
                    </w:rPr>
                    <w:t>拌合机</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71</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65</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59</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53</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51</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45</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41</w:t>
                  </w:r>
                </w:p>
              </w:tc>
              <w:tc>
                <w:tcPr>
                  <w:tcW w:w="516"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spacing w:line="240" w:lineRule="auto"/>
                    <w:ind w:firstLine="0" w:firstLineChars="0"/>
                    <w:jc w:val="center"/>
                    <w:rPr>
                      <w:rFonts w:hint="eastAsia"/>
                      <w:color w:val="auto"/>
                      <w:szCs w:val="21"/>
                      <w:lang w:val="en-US" w:eastAsia="zh-CN"/>
                    </w:rPr>
                  </w:pPr>
                  <w:r>
                    <w:rPr>
                      <w:color w:val="auto"/>
                      <w:szCs w:val="21"/>
                    </w:rPr>
                    <w:t>混凝土振捣器</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81</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75</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69</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62</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61</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55</w:t>
                  </w:r>
                </w:p>
              </w:tc>
              <w:tc>
                <w:tcPr>
                  <w:tcW w:w="514"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51</w:t>
                  </w:r>
                </w:p>
              </w:tc>
              <w:tc>
                <w:tcPr>
                  <w:tcW w:w="516" w:type="pct"/>
                  <w:tcBorders>
                    <w:tl2br w:val="nil"/>
                    <w:tr2bl w:val="nil"/>
                  </w:tcBorders>
                  <w:vAlign w:val="center"/>
                </w:tcPr>
                <w:p>
                  <w:pPr>
                    <w:pStyle w:val="15"/>
                    <w:spacing w:line="240" w:lineRule="auto"/>
                    <w:ind w:firstLine="0" w:firstLineChars="0"/>
                    <w:jc w:val="center"/>
                    <w:rPr>
                      <w:rFonts w:hint="eastAsia"/>
                      <w:color w:val="auto"/>
                      <w:sz w:val="21"/>
                      <w:szCs w:val="21"/>
                    </w:rPr>
                  </w:pPr>
                  <w:r>
                    <w:rPr>
                      <w:rFonts w:hint="eastAsia"/>
                      <w:color w:val="auto"/>
                      <w:sz w:val="21"/>
                      <w:szCs w:val="21"/>
                    </w:rPr>
                    <w:t>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spacing w:line="240" w:lineRule="auto"/>
                    <w:ind w:firstLine="0" w:firstLineChars="0"/>
                    <w:jc w:val="center"/>
                    <w:rPr>
                      <w:color w:val="auto"/>
                      <w:szCs w:val="21"/>
                    </w:rPr>
                  </w:pPr>
                  <w:r>
                    <w:rPr>
                      <w:rFonts w:hint="eastAsia" w:ascii="宋体" w:hAnsi="宋体" w:eastAsia="宋体" w:cs="宋体"/>
                      <w:color w:val="000000"/>
                      <w:kern w:val="0"/>
                      <w:sz w:val="21"/>
                      <w:szCs w:val="21"/>
                      <w:lang w:val="en-US" w:eastAsia="zh-CN" w:bidi="ar"/>
                    </w:rPr>
                    <w:t>自卸汽车</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56</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50</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44</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38</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34</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26</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24</w:t>
                  </w:r>
                </w:p>
              </w:tc>
              <w:tc>
                <w:tcPr>
                  <w:tcW w:w="516"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keepNext w:val="0"/>
                    <w:keepLines w:val="0"/>
                    <w:widowControl/>
                    <w:suppressLineNumbers w:val="0"/>
                    <w:jc w:val="center"/>
                    <w:rPr>
                      <w:color w:val="auto"/>
                      <w:szCs w:val="21"/>
                    </w:rPr>
                  </w:pPr>
                  <w:r>
                    <w:rPr>
                      <w:rFonts w:hint="eastAsia" w:ascii="宋体" w:hAnsi="宋体" w:eastAsia="宋体" w:cs="宋体"/>
                      <w:color w:val="000000"/>
                      <w:kern w:val="0"/>
                      <w:sz w:val="21"/>
                      <w:szCs w:val="21"/>
                      <w:lang w:val="en-US" w:eastAsia="zh-CN" w:bidi="ar"/>
                    </w:rPr>
                    <w:t>农用四轮车</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50</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45</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39</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33</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31</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25</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21</w:t>
                  </w:r>
                </w:p>
              </w:tc>
              <w:tc>
                <w:tcPr>
                  <w:tcW w:w="516"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spacing w:line="240" w:lineRule="auto"/>
                    <w:ind w:firstLine="0" w:firstLineChars="0"/>
                    <w:jc w:val="center"/>
                    <w:rPr>
                      <w:color w:val="auto"/>
                      <w:szCs w:val="21"/>
                    </w:rPr>
                  </w:pPr>
                  <w:r>
                    <w:rPr>
                      <w:rFonts w:hint="default" w:ascii="Times New Roman" w:hAnsi="Times New Roman" w:eastAsia="宋体" w:cs="Times New Roman"/>
                      <w:color w:val="000000" w:themeColor="text1"/>
                      <w:sz w:val="21"/>
                      <w:szCs w:val="21"/>
                      <w14:textFill>
                        <w14:solidFill>
                          <w14:schemeClr w14:val="tx1"/>
                        </w14:solidFill>
                      </w14:textFill>
                    </w:rPr>
                    <w:t>机动翻斗车</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61</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55</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49</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43</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41</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35</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31</w:t>
                  </w:r>
                </w:p>
              </w:tc>
              <w:tc>
                <w:tcPr>
                  <w:tcW w:w="516"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color w:val="auto"/>
                      <w:szCs w:val="21"/>
                    </w:rPr>
                  </w:pPr>
                  <w:r>
                    <w:rPr>
                      <w:rFonts w:hint="default" w:ascii="Times New Roman" w:hAnsi="Times New Roman" w:eastAsia="宋体" w:cs="Times New Roman"/>
                      <w:color w:val="000000" w:themeColor="text1"/>
                      <w:sz w:val="21"/>
                      <w:szCs w:val="21"/>
                      <w14:textFill>
                        <w14:solidFill>
                          <w14:schemeClr w14:val="tx1"/>
                        </w14:solidFill>
                      </w14:textFill>
                    </w:rPr>
                    <w:t>供水泵</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61</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55</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49</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43</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39</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31</w:t>
                  </w:r>
                </w:p>
              </w:tc>
              <w:tc>
                <w:tcPr>
                  <w:tcW w:w="514"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29</w:t>
                  </w:r>
                </w:p>
              </w:tc>
              <w:tc>
                <w:tcPr>
                  <w:tcW w:w="516" w:type="pct"/>
                  <w:tcBorders>
                    <w:tl2br w:val="nil"/>
                    <w:tr2bl w:val="nil"/>
                  </w:tcBorders>
                  <w:vAlign w:val="center"/>
                </w:tcPr>
                <w:p>
                  <w:pPr>
                    <w:pStyle w:val="15"/>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85" w:type="pct"/>
                  <w:tcBorders>
                    <w:tl2br w:val="nil"/>
                    <w:tr2bl w:val="nil"/>
                  </w:tcBorders>
                  <w:vAlign w:val="center"/>
                </w:tcPr>
                <w:p>
                  <w:pPr>
                    <w:pStyle w:val="24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baseline"/>
                    <w:rPr>
                      <w:color w:val="auto"/>
                      <w:szCs w:val="21"/>
                    </w:rPr>
                  </w:pPr>
                  <w:r>
                    <w:rPr>
                      <w:rFonts w:hint="default" w:ascii="Times New Roman" w:hAnsi="Times New Roman" w:eastAsia="宋体" w:cs="Times New Roman"/>
                      <w:color w:val="000000" w:themeColor="text1"/>
                      <w:sz w:val="21"/>
                      <w:szCs w:val="21"/>
                      <w14:textFill>
                        <w14:solidFill>
                          <w14:schemeClr w14:val="tx1"/>
                        </w14:solidFill>
                      </w14:textFill>
                    </w:rPr>
                    <w:t>排水泵</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lang w:val="en-US" w:eastAsia="zh-CN"/>
                    </w:rPr>
                    <w:t>61</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lang w:val="en-US" w:eastAsia="zh-CN"/>
                    </w:rPr>
                    <w:t>55</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lang w:val="en-US" w:eastAsia="zh-CN"/>
                    </w:rPr>
                    <w:t>49</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lang w:val="en-US" w:eastAsia="zh-CN"/>
                    </w:rPr>
                    <w:t>43</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lang w:val="en-US" w:eastAsia="zh-CN"/>
                    </w:rPr>
                    <w:t>39</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lang w:val="en-US" w:eastAsia="zh-CN"/>
                    </w:rPr>
                    <w:t>31</w:t>
                  </w:r>
                </w:p>
              </w:tc>
              <w:tc>
                <w:tcPr>
                  <w:tcW w:w="514"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lang w:val="en-US" w:eastAsia="zh-CN"/>
                    </w:rPr>
                    <w:t>29</w:t>
                  </w:r>
                </w:p>
              </w:tc>
              <w:tc>
                <w:tcPr>
                  <w:tcW w:w="516" w:type="pct"/>
                  <w:tcBorders>
                    <w:tl2br w:val="nil"/>
                    <w:tr2bl w:val="nil"/>
                  </w:tcBorders>
                  <w:vAlign w:val="center"/>
                </w:tcPr>
                <w:p>
                  <w:pPr>
                    <w:pStyle w:val="15"/>
                    <w:spacing w:line="240" w:lineRule="auto"/>
                    <w:ind w:firstLine="0" w:firstLineChars="0"/>
                    <w:jc w:val="center"/>
                    <w:rPr>
                      <w:color w:val="auto"/>
                      <w:sz w:val="21"/>
                      <w:szCs w:val="21"/>
                    </w:rPr>
                  </w:pPr>
                  <w:r>
                    <w:rPr>
                      <w:rFonts w:hint="eastAsia"/>
                      <w:color w:val="auto"/>
                      <w:sz w:val="21"/>
                      <w:szCs w:val="21"/>
                      <w:lang w:val="en-US" w:eastAsia="zh-CN"/>
                    </w:rPr>
                    <w:t>25</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68" w:firstLineChars="200"/>
              <w:jc w:val="left"/>
              <w:textAlignment w:val="auto"/>
              <w:rPr>
                <w:rFonts w:hint="default" w:ascii="Times New Roman" w:hAnsi="Times New Roman" w:eastAsia="宋体" w:cs="Times New Roman"/>
                <w:spacing w:val="-3"/>
                <w:kern w:val="2"/>
                <w:sz w:val="24"/>
                <w:szCs w:val="24"/>
                <w:lang w:val="en-US" w:eastAsia="en-US" w:bidi="ar-SA"/>
              </w:rPr>
            </w:pPr>
            <w:r>
              <w:rPr>
                <w:rFonts w:hint="default" w:ascii="Times New Roman" w:hAnsi="Times New Roman" w:eastAsia="宋体" w:cs="Times New Roman"/>
                <w:spacing w:val="-3"/>
                <w:kern w:val="2"/>
                <w:sz w:val="24"/>
                <w:szCs w:val="24"/>
                <w:lang w:val="en-US" w:eastAsia="zh-CN" w:bidi="ar-SA"/>
              </w:rPr>
              <w:t>本项目不在夜间施工，根据上表各类施工机械在不同距离处的噪声预测值可知，单个施工机械噪声昼间在距声源</w:t>
            </w:r>
            <w:r>
              <w:rPr>
                <w:rFonts w:hint="eastAsia" w:ascii="Times New Roman" w:hAnsi="Times New Roman" w:cs="Times New Roman"/>
                <w:spacing w:val="-3"/>
                <w:kern w:val="2"/>
                <w:sz w:val="24"/>
                <w:szCs w:val="24"/>
                <w:lang w:val="en-US" w:eastAsia="zh-CN" w:bidi="ar-SA"/>
              </w:rPr>
              <w:t>2</w:t>
            </w:r>
            <w:r>
              <w:rPr>
                <w:rFonts w:hint="default" w:ascii="Times New Roman" w:hAnsi="Times New Roman" w:eastAsia="宋体" w:cs="Times New Roman"/>
                <w:spacing w:val="-3"/>
                <w:kern w:val="2"/>
                <w:sz w:val="24"/>
                <w:szCs w:val="24"/>
                <w:lang w:val="en-US" w:eastAsia="zh-CN" w:bidi="ar-SA"/>
              </w:rPr>
              <w:t>0m以外可达到《建筑施工场界环境噪声排放标准》（GB12523-2011）要求。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噪声主要为新建堤防施工噪声，根据外环境可知，本项目新建堤防沿线两岸均分布有居民，为减小施工噪声产生的环境影响，本次环评要求采取以下治理措施，以降低施工过程产生的噪声给附近居民带来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①施工单位选用符合国家标准的低噪设备，并加强设备的维修保养，避免由于设备非正常工作而产生高噪声污染。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合理安排施工计划和施工机械设备组合以及施工时间，禁止在中午（12:00~14:00）和夜间（22:00~6:00）施工，避免在同一时间集中使用大量的动力机械设备。在施工过程中，尽量减少运行动力机械设备的数量，尽可能动力机械比较均匀的使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③加强管理，合理布局。在施工过程中应把高噪声工作安排在项目中央，要加强一线操作人员的环境意识，对一些零星的手工作业，如拆装模板、装卸建材，尽可能做到轻拿轻放，并辅以一定的减缓措施。同时应避免在同一地点安排大量动力机械设备，以避免局部声级过高。对产生高噪声的固定设备建议在其外加盖简易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④根据施工外环境关系，在靠近居民敏感点一侧设置围栏，进行打围施工，以降低施工噪声对周边的影响；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⑤加强运输车辆的管理，合理安排运输路线和时间，物料运输通道尽量避开居民集中区；在途经有居民和学校路段，减速慢行、禁止鸣笛；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⑥科学安排施工现场运输车辆作业时间，设法压缩汽车数量及行车频率，运输时在施工场地严禁鸣笛；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⑦禁止夜间施工，避免噪声扰民现象发生；若特殊情况需夜间作业是，应通过现场公告等方式告知施工区域附近的居民，同时做好施工组织，确保施工边界夜间声级不超过《建筑施工场界环境噪声排放标准》（GB12523-2011）的限值。除采取有效措施外，施工单位必须事前报经主管政府部门，同时执行建筑施工噪声申报登记制度，在工程开工15日前填写《建筑施工工场噪声管理审批表》，向当地环境保护主管部门申报，并领取《夜间作业许可证》，方可进行施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（3）运输车辆噪声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本项目运输车辆包括场内运输和场外运输，场内运输主要为开挖土石方转运，场外运输包括施工材料运输以及建筑垃圾外运等。针对运输车辆噪声，本项目采取以下治理措施。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①减少或禁止鸣笛，严禁超速、超载行驶。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②定期对运输车辆进行维修，避免故障车辆运输。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③施工期应加强对入场道路以及场内临时道路的检修维护，及时对损坏路面及时进行修补，减少运输车辆颠簸产生噪声。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④合理规划对场外路线，尽量避让城镇、学校等人群较多区域，对于无法避让噪声敏感点时应减速慢行，禁止鸣笛，严禁超速行驶。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⑤合理安排运输任务，夜间不得进行运输任务。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综上所述，本项目施工期在采取相关措施后，可确保达到《建筑施工场界环境噪声排放标准》（GB12523-2011）要求，同时施工期的噪声是暂时、短期的，随施工的结束而消失，不会对项目区域声环境质量造成较大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4、固体废物影响分析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本项目施工期产生的固体废物主要是开挖土石方、建筑垃圾、施工人员生活垃圾等。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（1）生活垃圾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本项目施工人员高峰期约100人，本项目施工场地不涉及餐饮、住宿，按每人每日产生垃圾0.5kg计算，每日产生生活垃圾50kg，施工现场设置生活垃圾收集桶，生活垃圾定点收集，每天施工结束后及时清运至就近垃圾暂存点，交环卫部门统一处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 xml:space="preserve">（2）建筑垃圾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本项目施工期产生的建设垃圾主要包括废弃钢筋、废木材、废弃混凝土块等固废，类比同类型项目，产生量约30t。施工期间建筑垃圾分类收集，其中废弃钢筋等可回收材料统一收集回收利用或外售废品回收站处理，不可回收部分清运至市政建筑渣场统一处理。严禁将建筑垃圾乱放、乱倒、随意堆弃；建筑垃圾外运过程中杜绝超高、超载，运输过程中保持有效遮盖，防止洒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（3）开挖土石方</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根据本项目初设报告核算，</w:t>
            </w:r>
            <w:r>
              <w:rPr>
                <w:rFonts w:hint="default" w:ascii="Times New Roman" w:hAnsi="Times New Roman" w:eastAsia="宋体" w:cs="Times New Roman"/>
                <w:color w:val="auto"/>
                <w:sz w:val="24"/>
                <w:szCs w:val="24"/>
              </w:rPr>
              <w:t>工程开挖土石方4.23万m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（自然方），回填土石方2.65万m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，回填料中利用开挖料0.17万m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，石渣料回填2.48万m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，土石方平衡后，剩余弃渣4.03万m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，弃渣回填至堤后回填区，堤后共布置3个堤后回填区。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5、地下水环境影响分析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（1）工程施工对地下水的影响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本项目对地下水水位的影响主要来自基坑开挖造成的局部地下水损失。经现场调查，本项目建设场地较为平坦，其地势平缓，故本项目基本不涉及高填深挖区域。项目建设场地地下水含水层水位埋深较深，基坑开挖不会对区域地下水产生影响，故本项目的施工建设区域对地下水影响较小。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（2）施工废弃物地下水的影响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在本项目施工期地下水环境影响源主要为施工机械跑、冒、滴、漏的污油及露天机械被雨水等冲刷后产生油污染，通过地面渗透影响区域地下水环境水质。因此，施工过程中需加强对施工机械管理与恢复，杜绝跑、冒、滴、漏现象，若出现油污泄漏，及时进行收集，避免下渗污染地下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本项目施工场地配套设置有车辆及机械冲洗区，车辆与机械冲洗过程中产生的冲洗废水含有污染物石油类，通过隔油沉淀池收集处理后回用，隔油沉淀池采用抗渗混凝土结果，避免含油废水下渗污染地下水。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堤防基坑开挖后会产生基坑废水，该类废水主要为降雨、围堰渗水等来水，其主要污染物为SS，本项目建设场地地下水含水层水位埋深较深，包气带对污染物具有一定的防污性能，故本项目的施工建设不会对地下潜水含水层的水质产生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综上所述，本项目的建设对区域地下水环境影响较小。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6、施工期生态环境影响分析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（1）工程占地影响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本项目施工过程新增临时占地，临时占地主要包括施工场地、临时道路以及临时堆场，占地类型为耕地、水域及水利设施用地。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临时占地会使沿线和其它施工区域的土壤资源和植被受到破坏，临时占地将对植被产生直接的破坏作用，从而降低群落的生物多样性。本项目施工区域位于芝左二0+080.00处，属于人类活动频繁区域，施工区域无大量动物生存，故项目实施对区域动物影响较小。本项目占地主要是耕地、水域及水利设施用地，在工程建成完成后，各种拼块类型面积发生变化导致区域自然生态体系生产能力和稳定状况发生改变，对本区域生态完整性具有一定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施工期结束后及时对临时用地用表土进行恢复，耕地进行复耕，虽然各种拼块类型面积发生变化导致区域自然生态体系生产能力和稳定状况发生改变，短期内对本区域生态完整性具有一定影响，施工结束后进行恢复，经过1-2季耕作后耕地农业生产能够恢复到项目建设前水平，因此本项目临时占地对区域土地影响较小。</w:t>
            </w:r>
          </w:p>
          <w:p>
            <w:pPr>
              <w:pStyle w:val="15"/>
              <w:spacing w:line="360" w:lineRule="auto"/>
              <w:ind w:firstLine="472"/>
              <w:jc w:val="left"/>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lang w:val="en-US" w:eastAsia="zh-CN"/>
              </w:rPr>
              <w:t>对陆生生态的影响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1）对植物多样性和植被的影响分析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①对名木古树与珍稀濒危保护植物的影响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现场调查及资料查证，本工程项目不存在对国家野生重点保护植物和珍稀濒危植物影响。评价区域范围内未发现有挂牌的古树名木分布。如果在施工过程中发现保护植物或古树名木，则暂时停止施工并及时与当地林业部门取得联系，采取悬挂醒目的树牌进行保护，甚至在树体四周设置围栏加以重点保护等措施，对保护植物或古树名木进行及时的保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②生物群落面积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场所占用的土地类型主要为耕地、水域及水利设施用地，工程的实施会使生物群落面积减少。通过对工程区实施三维网喷播植草绿化，增加禾本科草场或灌丛等生物群落的面积，减少对生物群落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③生物群落重要种类受影响程度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根据植被调查结果表明，该项目影响评价范围内，受工程影响的主要灌木和禾本科杂草等极为常见的物种，工程施工不会造成这些物种的消亡，只是对这些物种的植株数量有所减少。该区域自然条件较好，植物生长速度快，植被的自然恢复能力较强，随着施工结束后，工程施工场所内的植物和植被能够快速恢复，工程的实施对生物群落的影响将会大大减轻。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④生物群落结构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受工程施工影响，影响评价区域的生物群落面积略有减少，但面积很小，不会造成该群落结构的进一步简化。相反，可通过对河道边坡实施三维网喷播植草绿化，可增加禾本科草场群落或灌丛群落的面积，使生物群落结构的更进一步趋于稳定和多样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的建设会导致施工期植被面积的减少，但工程扰动范围有限，破坏的植被均为当地广泛分布种。同时，可对河道边坡实施三维网喷播植草绿化，可增加禾本科草场群落或灌丛群落的面积，使生物群落结构的更进一步趋于稳定和多样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因此，项目的建设不会导致植物类型大幅度的减少，也不会造成植被多样性的破坏，对施工范围内的植被影响较小。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综上所述，工程的建设对周边植物种类及数量分布影响有限，对周边植物多样性影响较小。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2）对陆生动物多样性影响分析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期对野生动物造成的影响，主要表现为施工过程中产生的噪音、振动以及产生的扬尘等。噪音对动物的影响主要表现在可能对动物产生惊扰，影响其正常的取食、求偶活动，甚至影响其选择栖息地；振动主要体现为工程车辆运输所产生的地面振动，这些振动主要会对穴居动物产生影响，甚至逃离洞穴；扬尘即在天气干燥的季节车辆运输过程中车轮卷起的扬尘、或来自土方挖掘以及运输工程设备的汽车尾气，长期悬浮在空中，可能会对部分鸟类的活动造成不良的影响。但是随着时间的推移，评价区域内的动物逐渐适应，工程的营运不会造成某一动物物种的消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①对珍稀保护动物影响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据现场调查，工程区内无珍稀保护动物分布，因此不存在对珍稀保护动物的影响。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②栖息地连通性影响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本项目为河道综合治理项目，项目沿</w:t>
            </w:r>
            <w:r>
              <w:rPr>
                <w:rFonts w:hint="eastAsia" w:ascii="Times New Roman" w:hAnsi="Times New Roman" w:eastAsia="宋体" w:cs="Times New Roman"/>
                <w:color w:val="000000"/>
                <w:kern w:val="0"/>
                <w:sz w:val="24"/>
                <w:szCs w:val="24"/>
                <w:lang w:val="en-US" w:eastAsia="zh-CN" w:bidi="ar"/>
              </w:rPr>
              <w:t>芝溪河</w:t>
            </w:r>
            <w:r>
              <w:rPr>
                <w:rFonts w:hint="default" w:ascii="Times New Roman" w:hAnsi="Times New Roman" w:eastAsia="宋体" w:cs="Times New Roman"/>
                <w:color w:val="000000"/>
                <w:kern w:val="0"/>
                <w:sz w:val="24"/>
                <w:szCs w:val="24"/>
                <w:lang w:val="en-US" w:eastAsia="zh-CN" w:bidi="ar"/>
              </w:rPr>
              <w:t>两岸新建护岸，工程施工场所占地面积很小，工程的实施不会使原有相互连通的道路被分割，也不会给野生动物栖息地造成一定的分割。只是在施工期间可能会对野生动物栖息地造成一定的干扰，随着施工结束后，就会使野生动物原来栖息地的连通性得以恢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③对两栖及爬行动物的影响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期占用临时用地，使原有的爬行动物栖息地有所缩小，以及阻断蛇类等爬行动物的活动通道。施工噪音的影响主要表现在对两栖动物活动节律上的影响，特别是繁殖季节，可能会干扰其繁殖行为从而影响其成功繁殖，两栖动物依靠鸣声传递信号，震动声将导致两栖和爬行动物恐慌，影响其正常活动。对爬行动物而言，震动声将导致动物的恐慌，从而影响其正常活动，使其远离栖息地，造成爬行动物的分布区缩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由于本项目所在区域周边植被环境与项目区临时占地植被类型相似，植物物种数量繁多，可供两栖及爬行动物的栖息、繁殖的替代环境较多，它们会迁移到周边类似的其它栖息地，随着时间推移，动物会调整其行为习性并逐渐适应后，影响可能会逐渐降低，且项目施工结束后，各类污染消失，临时占地植被恢复，动物将会回到原有栖息地，对其种群的生存不会造成大的威胁，也不会造成该区域内两栖爬行物种的消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④对兽类的影响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营运后对兽类的主要是影响主要体现在：一是工程设备运行所产生的噪音对兽类的影响，会对大中型兽类造成异性惊扰，可能会使其活动范围适当远离施工期；二是生活的垃圾、污水及废气等由于排放不合理，会对兽类动物的繁殖和生长发育有一定的影响，增加评价区域兽类动物的得病几率，降低兽类动物的抗病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调查，工程区无野生大型兽类分布，主要以小型啮齿类动物为主。兽类对机械声、车辆声音、人为活动的声音极为敏感，一旦受到惊扰，即刻逃离。因小型啮齿类动物分布广泛、数量多、繁殖快，工程建设对其数量和栖息地影响程度有限，且由于陆生动物迁徙能力强，同类生境易于找寻，工程区陆生动物受工程影响不明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⑤对鸟类的影响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评价区内的鸟类主要以陆栖息类鸟类为主，包括农田居民生境鸟类和林缘灌丛生境鸟类。本项目施工占地不会占用鸟类栖息地和繁育地，施工期对鸟类影响主要为施工噪声。受施工机械辆噪声的影响，施工现场一定范围内将不适合鸟类的栖息和觅食，对鸟类有一定的影响。但是鸟类自身的活动范围较大，可以较容易地就近寻找到其他适于栖息和生活的生境。所以，施工期噪声对鸟类的影响是暂时的，并随着施工的结束而减缓或消失。施工材料运输产生的扬尘将对附近的鸟类飞翔造成一定影响，这些鸟类会主动避开项目沿线，并就近寻找到其他不受影响的适于栖息和生活的地方。施工区外的其他区域均在影响范围之外，在此范围内活动的鸟类将不受到扬尘影响。施工对水体中或水体附近活动的鸟类有一定影响，工程对它们的影响除了噪声之外，更重要的是围堰工程作业时，可能发生的对水质的破坏将直接影响它们的觅食环境。因此，围堰施工时应务必加强施工环境监理和环境管理，尽量减少对水质的扰动和污染，以减小水质变化对水域附近鸟类的影响。施工期避开鸟类繁殖季节，将施工对水体的扰动降到最小，将施工对河道附近鸟类造成的影响降到最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总体而言，由于鸟类具有强的迁移能力，无论对食物的寻觅，饮水的获得，项目的建设对它们都没有太大的影响，再加上本项目区不存在仅在该区域内栖息的特有鸟类，因此，项目营运不会对鸟类的生存和种群延续造成很大的影响。</w:t>
            </w:r>
          </w:p>
          <w:p>
            <w:pPr>
              <w:pStyle w:val="15"/>
              <w:spacing w:line="360" w:lineRule="auto"/>
              <w:ind w:firstLine="472"/>
              <w:jc w:val="left"/>
              <w:rPr>
                <w:rFonts w:hint="default" w:eastAsia="宋体"/>
                <w:b/>
                <w:bCs/>
                <w:color w:val="auto"/>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rFonts w:hint="eastAsia"/>
                <w:b/>
                <w:bCs/>
                <w:color w:val="auto"/>
                <w:lang w:val="en-US" w:eastAsia="zh-CN"/>
              </w:rPr>
              <w:t>对水生生态的影响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堤防建设对水文情势的影响较小，不会对水生生物产生新的不利影响。本项目对水生生物影响主要为在岸边乱石、垃圾清理及挡墙、围堰、土石填筑等施工作业中，水体被搅混，影响水生生物的栖息环境，或者将鱼吓跑，影响正常的活动路线；对河岸的开挖和围堰，破坏河漫滩地的水生植物群落，从而影响植食性水生动物的觅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①对水生植物的影响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施工期对评价区域河段植物的影响主要是由于施工采用围堰导流沟进行导流，届时施工河段植被将会部分消失，本项目在采取围堰导流后，施工过程中不再进行涉水作业，施工过程不会对下游水质造成影响。本项目所在河段分布的水生植物均为</w:t>
            </w:r>
            <w:r>
              <w:rPr>
                <w:rFonts w:hint="eastAsia" w:ascii="Times New Roman" w:hAnsi="Times New Roman" w:cs="Times New Roman"/>
                <w:color w:val="000000"/>
                <w:kern w:val="0"/>
                <w:sz w:val="24"/>
                <w:szCs w:val="24"/>
                <w:lang w:val="en-US" w:eastAsia="zh-CN" w:bidi="ar"/>
              </w:rPr>
              <w:t>芝溪河</w:t>
            </w:r>
            <w:r>
              <w:rPr>
                <w:rFonts w:hint="eastAsia" w:ascii="Times New Roman" w:hAnsi="Times New Roman" w:eastAsia="宋体" w:cs="Times New Roman"/>
                <w:color w:val="000000"/>
                <w:kern w:val="0"/>
                <w:sz w:val="24"/>
                <w:szCs w:val="24"/>
                <w:lang w:val="en-US" w:eastAsia="zh-CN" w:bidi="ar"/>
              </w:rPr>
              <w:t>常见水生植物，本项目施工过程中不会造成该类植物物种消失，且施工结束后由于水生生态的恢复作用，该区域水生植被将快速恢复。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因此，工程施工期对水生植物的影响是局部的、暂时的影响，工程建设可能会降低施工区域小范围内浮游植物的生物量，不会对整个评价区域水生植物的整体种类、结构组成造成影响，只是对局部的数量有一定的影响，且这种影响是暂时的。随着施工的结束植物的资源量等会逐渐得到恢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 xml:space="preserve">②浮游生物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浮游生物是水生态系统中不可忽视的初级生产者，其生态环境的变化而变化。施工完成后，生态环境其种类、数量、生物量不会发生变化，将随着施工结束恢复到原河流状，不会产生影响。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③底栖动物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本项目围堰涉水区域，大底质的底栖动物将永久消失。同时，施工所造成的底质破过</w:t>
            </w:r>
            <w:r>
              <w:rPr>
                <w:rFonts w:hint="default" w:ascii="Times New Roman" w:hAnsi="Times New Roman" w:eastAsia="宋体" w:cs="Times New Roman"/>
                <w:color w:val="000000"/>
                <w:kern w:val="0"/>
                <w:sz w:val="24"/>
                <w:szCs w:val="24"/>
                <w:lang w:val="en-US" w:eastAsia="zh-CN" w:bidi="ar"/>
              </w:rPr>
              <w:t>2-3</w:t>
            </w:r>
            <w:r>
              <w:rPr>
                <w:rFonts w:hint="eastAsia" w:ascii="Times New Roman" w:hAnsi="Times New Roman" w:eastAsia="宋体" w:cs="Times New Roman"/>
                <w:color w:val="000000"/>
                <w:kern w:val="0"/>
                <w:sz w:val="24"/>
                <w:szCs w:val="24"/>
                <w:lang w:val="en-US" w:eastAsia="zh-CN" w:bidi="ar"/>
              </w:rPr>
              <w:t>年才能得到恢复，在此期间影响将延续，随着时间恢复原来河流状态，因此。项目施工对底栖动物的影响是暂时的可逆的。底栖动物种类、数量、生物量仍然保持河流生态</w:t>
            </w:r>
            <w:r>
              <w:rPr>
                <w:rFonts w:hint="eastAsia" w:ascii="Times New Roman" w:hAnsi="Times New Roman"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④对鱼类影响分析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a.噪声对鱼类的影响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施工后对鱼类最大的影响是噪声。由于施工的噪声是较大的，将对鱼类的正常活动带来一定的影响，对鱼类有驱赶作用。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区域工程占用河道面积相对较小，对水文形态的影响主要体现在施工断面的流速分布方面，而施工后，水文情势的不变，鱼类不会受到明显的影响。但施工段鱼类需要一定的时间才能适应新的环境条件，因此短期内的影响较明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b.施工扰动对鱼类的影响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本项目施工过程需修建围堰导流，将会临时缩小</w:t>
            </w:r>
            <w:r>
              <w:rPr>
                <w:rFonts w:hint="eastAsia" w:ascii="Times New Roman" w:hAnsi="Times New Roman" w:eastAsia="宋体" w:cs="Times New Roman"/>
                <w:color w:val="000000"/>
                <w:kern w:val="0"/>
                <w:sz w:val="24"/>
                <w:szCs w:val="24"/>
                <w:lang w:val="en-US" w:eastAsia="zh-CN" w:bidi="ar"/>
              </w:rPr>
              <w:t>芝溪河</w:t>
            </w:r>
            <w:r>
              <w:rPr>
                <w:rFonts w:hint="default" w:ascii="Times New Roman" w:hAnsi="Times New Roman" w:eastAsia="宋体" w:cs="Times New Roman"/>
                <w:color w:val="000000"/>
                <w:kern w:val="0"/>
                <w:sz w:val="24"/>
                <w:szCs w:val="24"/>
                <w:lang w:val="en-US" w:eastAsia="zh-CN" w:bidi="ar"/>
              </w:rPr>
              <w:t>流宽度，但不会造成</w:t>
            </w:r>
            <w:r>
              <w:rPr>
                <w:rFonts w:hint="eastAsia" w:ascii="Times New Roman" w:hAnsi="Times New Roman" w:eastAsia="宋体" w:cs="Times New Roman"/>
                <w:color w:val="000000"/>
                <w:kern w:val="0"/>
                <w:sz w:val="24"/>
                <w:szCs w:val="24"/>
                <w:lang w:val="en-US" w:eastAsia="zh-CN" w:bidi="ar"/>
              </w:rPr>
              <w:t>芝溪河</w:t>
            </w:r>
            <w:r>
              <w:rPr>
                <w:rFonts w:hint="default" w:ascii="Times New Roman" w:hAnsi="Times New Roman" w:eastAsia="宋体" w:cs="Times New Roman"/>
                <w:color w:val="000000"/>
                <w:kern w:val="0"/>
                <w:sz w:val="24"/>
                <w:szCs w:val="24"/>
                <w:lang w:val="en-US" w:eastAsia="zh-CN" w:bidi="ar"/>
              </w:rPr>
              <w:t>断流，因此本项目施工实施不会对鱼类连通性造成影响，不会影响鱼类迁移。本项目堤防施工及围堰施工会扰动水，引起河水混浊，造成水体SS升高，其沉积和覆盖将导致施工水城下游一定河段近岸带浮游生物、底栖动物以及水生植物等生物量的减少。造成一定区域鱼类饵料生物的减少，进而影响到鱼类的索饵等。但鱼类的规避能力较强，在受到影响后会迁移至附近水域，对其影响较小。项目区域鱼类主要为一些常见鱼类，未发现有珍稀保护鱼种。本项目建设区域范围内，不涉及国家级和省级水产种质资源保</w:t>
            </w:r>
            <w:r>
              <w:rPr>
                <w:rFonts w:hint="default" w:ascii="Times New Roman" w:hAnsi="Times New Roman" w:eastAsia="宋体" w:cs="Times New Roman"/>
                <w:b w:val="0"/>
                <w:bCs w:val="0"/>
                <w:color w:val="000000"/>
                <w:kern w:val="0"/>
                <w:sz w:val="24"/>
                <w:szCs w:val="24"/>
                <w:lang w:val="en-US" w:eastAsia="zh-CN" w:bidi="ar"/>
              </w:rPr>
              <w:t>护区</w:t>
            </w:r>
            <w:r>
              <w:rPr>
                <w:rFonts w:hint="default" w:ascii="Times New Roman" w:hAnsi="Times New Roman" w:eastAsia="宋体" w:cs="Times New Roman"/>
                <w:b w:val="0"/>
                <w:bCs w:val="0"/>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综上所述，工程在枯水期施工，避开鱼类的繁殖期和产卵期，且仅有局部涉河。同时鱼类的回避、迁移能力较强，可到周边河道寻觅到合适的生境。因此，工程施工对鱼类的影响较小，并在施工期结束后影响基本消失</w:t>
            </w:r>
            <w:r>
              <w:rPr>
                <w:rFonts w:hint="eastAsia" w:cs="Times New Roman"/>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（4）水土流失影响分析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本工程水土流失期主要发生在施工期。在工程的建设过程中，土石方开挖及其它区域土方的开挖、填筑等，使裸露面表层结构疏松，植被覆盖度降低，区域内土壤抗侵蚀能力降低，水土流失加剧。堤防基础开挖、填筑，以及临时堆料场的堆放，毁坏地表植被，使原土壤抗冲性、抗蚀性迅速降低，形成加速侵蚀，进一步加剧了侵蚀区水土流失。同时，堤防的开挖，造成临空面积加大，临时侵蚀基准后退，坡度加大，破坏了原河道稳定性，为崩塌、滑坡等重力侵蚀的发生创造了条件。施工开挖的大量土石方，为水土流失的形成提供了丰富的松散物质源，极易被暴雨洪水搬运进入河道，形成大规模输沙。因而工程建设期是水土流失最严重的时期，也是水土流失防治的重点时期。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水土流失主要为施工过程中由于施工扰动造成的水土流失，工程施工结束后，因施工引起水土流失的各项因素在逐渐消失，地表扰动停止，随着时间的推移，施工区域水土流失达到新的平衡，但植被恢复是一个缓慢的过程，自然恢复期仍有一定量的水土流失。因此，根据施工中不同阶段的自然环境特点和工程特点，采取工程与植物措施结合的手段控制整个工程过程中的水土流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本项目可能造成水土流失危害主要表现在以下几个方面：</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①影响工程本身的施工建设和运行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过程需对堤防基础、护岸进行开挖，形成裸露底部，同时项目施工过程开挖会产生土石方，如不能及时有效地处理，受雨水冲刷将造成水土流失，流失的水土将进入施工现场，影响施工进度，对工程安全构成威胁，同时也对人员的人身安全构成威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②淤积河流，影响行洪</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建设区域的雨量充沛，暴雨期间，由于河水水流较急，工程在施工期间，若不采取防冲措施，势必会受到不同程度的冲刷，造成水土流失危害。工程施工过程中将进行大量的土石方开挖和搬运，开挖的土石方若不及时处理，随意堆置，暴雨时会被冲至河流，造成河流淤积，过水断面减小，河床水位抬高，在一定程度上影响行洪、排涝，降低防洪、排涝能力。土石渣的流入将直接影响下游地表水体的水质，给下游人民的生活、生产活动带来一定的负面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项目采取合理的水土保持措施后，工程建设造成的水土流失不利影响可得到减免，在项目实施过程中，还应加强项目占地范围监督和管理。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b/>
                <w:bCs/>
                <w:color w:val="000000"/>
                <w:kern w:val="0"/>
                <w:sz w:val="24"/>
                <w:szCs w:val="24"/>
                <w:lang w:val="en-US" w:eastAsia="zh-CN" w:bidi="ar"/>
              </w:rPr>
              <w:t xml:space="preserve">（5）对社会环境影响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现场实际情况，本工程沿线附近分布有公路以及民房等建筑物（主要分布新建护岸两侧），本项目沿线的公路及民房均布置在堤后，且距离开挖河道较远，根据堤线布置及堤防断面图分析，施工开挖不会对附近的建筑物产生安全影响，但在施工中的噪声及粉尘会对周围居民生活产生影响，因此建议施工期间尽量安排在白天施工，且对施工工作面采取洒水除尘等方式，最大限度减小对周围居民及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进出道路主要利用周边已建乡村道路交通网络，施工期间将造成区域车流量增加，给周边居民交通出行带来一定影响，但该影响是临时的，本项目工程实施后将改善区域防洪安全，有利于河岸区域经济发展，因此从长远看，本项目建设对区域经济社会具有积极意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color w:val="000000"/>
                <w:kern w:val="0"/>
                <w:sz w:val="24"/>
                <w:szCs w:val="24"/>
                <w:lang w:val="en-US" w:eastAsia="zh-CN" w:bidi="ar"/>
              </w:rPr>
              <w:t>（6）</w:t>
            </w:r>
            <w:r>
              <w:rPr>
                <w:rFonts w:hint="default" w:ascii="Times New Roman" w:hAnsi="Times New Roman" w:eastAsia="宋体" w:cs="Times New Roman"/>
                <w:b/>
                <w:bCs/>
                <w:color w:val="000000"/>
                <w:kern w:val="0"/>
                <w:sz w:val="24"/>
                <w:szCs w:val="24"/>
                <w:lang w:val="en-US" w:eastAsia="zh-CN" w:bidi="ar"/>
              </w:rPr>
              <w:t>对区域景观影响分析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kern w:val="0"/>
                <w:sz w:val="24"/>
                <w:szCs w:val="24"/>
                <w:lang w:val="en-US" w:eastAsia="zh-CN" w:bidi="ar"/>
              </w:rPr>
              <w:t>本</w:t>
            </w:r>
            <w:r>
              <w:rPr>
                <w:rFonts w:hint="default" w:ascii="Times New Roman" w:hAnsi="Times New Roman" w:eastAsia="宋体" w:cs="Times New Roman"/>
                <w:color w:val="000000"/>
                <w:kern w:val="0"/>
                <w:sz w:val="24"/>
                <w:szCs w:val="24"/>
                <w:lang w:val="en-US" w:eastAsia="zh-CN" w:bidi="ar"/>
              </w:rPr>
              <w:t>项目建设过程中涉及土石方工程，在场地平整、基础开挖过程中会产生表土剥离，地表原有植被遭到破坏，影响景观，临时堆士及弃渣的堆放使已有植被遭到破坏，也会影响景观</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施工过程中临时建筑物的搭建、建材的堆放也会对景观产生一定的影响，项目施工结束后，通过迹地恢复、复垦等措施，可消除。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本次通过新建生态堤防，改善河岸景观，对河道进行岸坡清理，可有效的改善河段的水生态环境，提升</w:t>
            </w:r>
            <w:r>
              <w:rPr>
                <w:rFonts w:hint="eastAsia" w:ascii="Times New Roman" w:hAnsi="Times New Roman" w:eastAsia="宋体" w:cs="Times New Roman"/>
                <w:color w:val="000000"/>
                <w:kern w:val="0"/>
                <w:sz w:val="24"/>
                <w:szCs w:val="24"/>
                <w:lang w:val="en-US" w:eastAsia="zh-CN" w:bidi="ar"/>
              </w:rPr>
              <w:t>明月</w:t>
            </w:r>
            <w:r>
              <w:rPr>
                <w:rFonts w:hint="default" w:ascii="Times New Roman" w:hAnsi="Times New Roman" w:eastAsia="宋体" w:cs="Times New Roman"/>
                <w:color w:val="000000"/>
                <w:kern w:val="0"/>
                <w:sz w:val="24"/>
                <w:szCs w:val="24"/>
                <w:lang w:val="en-US" w:eastAsia="zh-CN" w:bidi="ar"/>
              </w:rPr>
              <w:t>镇城镇总体形象。</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b/>
                <w:bCs/>
                <w:color w:val="auto"/>
                <w:sz w:val="24"/>
                <w:lang w:val="en-US" w:eastAsia="zh-CN"/>
              </w:rPr>
            </w:pPr>
            <w:r>
              <w:rPr>
                <w:rFonts w:hint="eastAsia"/>
                <w:b/>
                <w:bCs/>
                <w:color w:val="auto"/>
                <w:sz w:val="24"/>
                <w:lang w:val="en-US" w:eastAsia="zh-CN"/>
              </w:rPr>
              <w:t>7、施工期环境风险影响评价</w:t>
            </w:r>
          </w:p>
          <w:p>
            <w:pPr>
              <w:spacing w:line="360" w:lineRule="auto"/>
              <w:ind w:firstLine="480" w:firstLineChars="200"/>
              <w:rPr>
                <w:rFonts w:hint="eastAsia"/>
                <w:color w:val="auto"/>
                <w:sz w:val="24"/>
                <w:lang w:val="en-US" w:eastAsia="zh-CN"/>
              </w:rPr>
            </w:pPr>
            <w:r>
              <w:rPr>
                <w:rFonts w:hint="eastAsia"/>
                <w:color w:val="auto"/>
                <w:sz w:val="24"/>
                <w:lang w:val="en-US" w:eastAsia="zh-CN"/>
              </w:rPr>
              <w:t>本项目属于防洪治理工程，不存在重大危险源，此类水利建设工程基本不存在突发或非突发的环境风险的几率。项目距离当地市区较近，遂宁市、蓬溪县均可为工程提供一定程度的加工、修理服务，施工过程中不设油库等风险源，施工场地不设机械修配厂、汽车修理厂等。</w:t>
            </w:r>
          </w:p>
          <w:p>
            <w:pPr>
              <w:spacing w:line="360" w:lineRule="auto"/>
              <w:ind w:firstLine="482" w:firstLineChars="200"/>
              <w:rPr>
                <w:rFonts w:hint="eastAsia"/>
                <w:b/>
                <w:bCs/>
                <w:color w:val="auto"/>
                <w:sz w:val="24"/>
                <w:lang w:val="en-US" w:eastAsia="zh-CN"/>
              </w:rPr>
            </w:pPr>
            <w:r>
              <w:rPr>
                <w:rFonts w:hint="eastAsia"/>
                <w:b/>
                <w:bCs/>
                <w:color w:val="auto"/>
                <w:sz w:val="24"/>
                <w:lang w:val="en-US" w:eastAsia="zh-CN"/>
              </w:rPr>
              <w:t>（1）环境风险分析</w:t>
            </w:r>
          </w:p>
          <w:p>
            <w:pPr>
              <w:spacing w:line="360" w:lineRule="auto"/>
              <w:ind w:firstLine="480" w:firstLineChars="200"/>
              <w:rPr>
                <w:rFonts w:hint="eastAsia"/>
                <w:color w:val="auto"/>
                <w:sz w:val="24"/>
                <w:lang w:val="en-US" w:eastAsia="zh-CN"/>
              </w:rPr>
            </w:pPr>
            <w:r>
              <w:rPr>
                <w:rFonts w:hint="eastAsia"/>
                <w:color w:val="auto"/>
                <w:sz w:val="24"/>
                <w:lang w:val="en-US" w:eastAsia="zh-CN"/>
              </w:rPr>
              <w:t>根据本项目施工及运行特点、周围环境特点以及工程与周围环境之间的关系，本项目风险事故主要体现在施工现场隔油沉淀池破损泄漏、暴雨、洪水等自然灾害导致围堰等土方工程破坏等风险。</w:t>
            </w:r>
          </w:p>
          <w:p>
            <w:pPr>
              <w:spacing w:line="360" w:lineRule="auto"/>
              <w:ind w:firstLine="482" w:firstLineChars="200"/>
              <w:rPr>
                <w:rFonts w:hint="eastAsia"/>
                <w:b/>
                <w:bCs/>
                <w:color w:val="auto"/>
                <w:sz w:val="24"/>
                <w:lang w:val="en-US" w:eastAsia="zh-CN"/>
              </w:rPr>
            </w:pPr>
            <w:r>
              <w:rPr>
                <w:rFonts w:hint="eastAsia"/>
                <w:b/>
                <w:bCs/>
                <w:color w:val="auto"/>
                <w:sz w:val="24"/>
                <w:lang w:val="en-US" w:eastAsia="zh-CN"/>
              </w:rPr>
              <w:t>①隔油沉淀池破损泄漏风险</w:t>
            </w:r>
          </w:p>
          <w:p>
            <w:pPr>
              <w:spacing w:line="360" w:lineRule="auto"/>
              <w:ind w:firstLine="480" w:firstLineChars="200"/>
              <w:rPr>
                <w:rFonts w:hint="eastAsia"/>
                <w:color w:val="auto"/>
                <w:sz w:val="24"/>
                <w:lang w:val="en-US" w:eastAsia="zh-CN"/>
              </w:rPr>
            </w:pPr>
            <w:r>
              <w:rPr>
                <w:rFonts w:hint="eastAsia"/>
                <w:color w:val="auto"/>
                <w:sz w:val="24"/>
                <w:lang w:val="en-US" w:eastAsia="zh-CN"/>
              </w:rPr>
              <w:t>项目施工废水收集后经隔油沉淀用于洗车、洒水降尘等，若池体破损泄漏，对地表水、地下水、土壤环境及周边生态环境均会产生影响。</w:t>
            </w:r>
          </w:p>
          <w:p>
            <w:pPr>
              <w:spacing w:line="360" w:lineRule="auto"/>
              <w:ind w:firstLine="482" w:firstLineChars="200"/>
              <w:rPr>
                <w:rFonts w:hint="eastAsia"/>
                <w:b/>
                <w:bCs/>
                <w:color w:val="auto"/>
                <w:sz w:val="24"/>
                <w:lang w:val="en-US" w:eastAsia="zh-CN"/>
              </w:rPr>
            </w:pPr>
            <w:r>
              <w:rPr>
                <w:rFonts w:hint="eastAsia"/>
                <w:b/>
                <w:bCs/>
                <w:color w:val="auto"/>
                <w:sz w:val="24"/>
                <w:lang w:val="en-US" w:eastAsia="zh-CN"/>
              </w:rPr>
              <w:t>②暴雨、洪水等自然灾害导致围堰等土方工程破坏</w:t>
            </w:r>
          </w:p>
          <w:p>
            <w:pPr>
              <w:spacing w:line="360" w:lineRule="auto"/>
              <w:ind w:firstLine="480" w:firstLineChars="200"/>
              <w:rPr>
                <w:rFonts w:hint="eastAsia"/>
                <w:color w:val="auto"/>
                <w:sz w:val="24"/>
                <w:lang w:val="en-US" w:eastAsia="zh-CN"/>
              </w:rPr>
            </w:pPr>
            <w:r>
              <w:rPr>
                <w:rFonts w:hint="eastAsia"/>
                <w:color w:val="auto"/>
                <w:sz w:val="24"/>
                <w:lang w:val="en-US" w:eastAsia="zh-CN"/>
              </w:rPr>
              <w:t>本项目部分堤防需在河道施工，需单独构筑围堰，其它部分位于河漫滩上，</w:t>
            </w:r>
            <w:r>
              <w:rPr>
                <w:color w:val="auto"/>
                <w:sz w:val="24"/>
              </w:rPr>
              <w:t>地面高程远高于施工枯水期洪水位，利用基坑开挖形成临时围堰</w:t>
            </w:r>
            <w:r>
              <w:rPr>
                <w:rFonts w:hint="eastAsia"/>
                <w:color w:val="auto"/>
                <w:sz w:val="24"/>
                <w:lang w:eastAsia="zh-CN"/>
              </w:rPr>
              <w:t>；</w:t>
            </w:r>
            <w:r>
              <w:rPr>
                <w:rFonts w:hint="eastAsia"/>
                <w:color w:val="auto"/>
                <w:sz w:val="24"/>
                <w:lang w:val="en-US" w:eastAsia="zh-CN"/>
              </w:rPr>
              <w:t>一旦出现暴雨、洪水时，极易冲垮围堰等土方工程，对地表水产生较大影响。</w:t>
            </w:r>
          </w:p>
          <w:p>
            <w:pPr>
              <w:spacing w:line="360" w:lineRule="auto"/>
              <w:ind w:firstLine="482" w:firstLineChars="200"/>
              <w:rPr>
                <w:rFonts w:hint="eastAsia"/>
                <w:b/>
                <w:bCs/>
                <w:color w:val="auto"/>
                <w:sz w:val="24"/>
                <w:lang w:val="en-US" w:eastAsia="zh-CN"/>
              </w:rPr>
            </w:pPr>
            <w:r>
              <w:rPr>
                <w:rFonts w:hint="eastAsia"/>
                <w:b/>
                <w:bCs/>
                <w:color w:val="auto"/>
                <w:sz w:val="24"/>
                <w:lang w:val="en-US" w:eastAsia="zh-CN"/>
              </w:rPr>
              <w:t>（2）环境风险防范措施及应急要求</w:t>
            </w:r>
          </w:p>
          <w:p>
            <w:pPr>
              <w:spacing w:line="360" w:lineRule="auto"/>
              <w:ind w:firstLine="482" w:firstLineChars="200"/>
              <w:rPr>
                <w:rFonts w:hint="default"/>
                <w:b/>
                <w:bCs/>
                <w:color w:val="auto"/>
                <w:sz w:val="24"/>
                <w:lang w:val="en-US" w:eastAsia="zh-CN"/>
              </w:rPr>
            </w:pPr>
            <w:r>
              <w:rPr>
                <w:rFonts w:hint="eastAsia"/>
                <w:b/>
                <w:bCs/>
                <w:color w:val="auto"/>
                <w:sz w:val="24"/>
                <w:lang w:val="en-US" w:eastAsia="zh-CN"/>
              </w:rPr>
              <w:t>①隔油沉淀池破损泄漏风险防范措施</w:t>
            </w:r>
          </w:p>
          <w:p>
            <w:pPr>
              <w:spacing w:line="360" w:lineRule="auto"/>
              <w:ind w:firstLine="480" w:firstLineChars="200"/>
              <w:rPr>
                <w:rFonts w:hint="default" w:eastAsia="宋体"/>
                <w:color w:val="auto"/>
                <w:sz w:val="24"/>
                <w:lang w:val="en-US" w:eastAsia="zh-CN"/>
              </w:rPr>
            </w:pPr>
            <w:r>
              <w:rPr>
                <w:rFonts w:hint="eastAsia"/>
                <w:color w:val="auto"/>
                <w:sz w:val="24"/>
                <w:lang w:val="en-US" w:eastAsia="zh-CN"/>
              </w:rPr>
              <w:t>本项目可能因隔油沉淀池池体破损造成废水泄漏，施工单位应对隔油沉淀池进行防渗处理，发现破损及时停工检修，修补后再次施工；加强巡逻，确保能第一时间发现池体破损造成的泄漏，及时处置。</w:t>
            </w:r>
          </w:p>
          <w:p>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②暴雨、洪水导致围堰等土方工程破坏风险防范措施</w:t>
            </w:r>
          </w:p>
          <w:p>
            <w:pPr>
              <w:spacing w:line="360" w:lineRule="auto"/>
              <w:ind w:firstLine="480" w:firstLineChars="200"/>
              <w:rPr>
                <w:rFonts w:hint="default" w:eastAsia="宋体"/>
                <w:color w:val="auto"/>
                <w:sz w:val="24"/>
                <w:lang w:val="en-US" w:eastAsia="zh-CN"/>
              </w:rPr>
            </w:pPr>
            <w:r>
              <w:rPr>
                <w:rFonts w:hint="eastAsia"/>
                <w:color w:val="auto"/>
                <w:sz w:val="24"/>
                <w:lang w:val="en-US" w:eastAsia="zh-CN"/>
              </w:rPr>
              <w:t>出现暴雨天气时，施工单位应提前停止施工，平时对围堰等土方工程进行加固。</w:t>
            </w:r>
          </w:p>
          <w:p>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（3）环境风险评价结论</w:t>
            </w:r>
          </w:p>
          <w:p>
            <w:pPr>
              <w:spacing w:line="360" w:lineRule="auto"/>
              <w:ind w:firstLine="480" w:firstLineChars="200"/>
              <w:rPr>
                <w:rFonts w:hint="default" w:ascii="Times New Roman" w:hAnsi="Times New Roman" w:eastAsia="宋体" w:cs="Times New Roman"/>
                <w:b/>
                <w:color w:val="FF0000"/>
                <w:lang w:val="en-US" w:eastAsia="zh-CN"/>
              </w:rPr>
            </w:pPr>
            <w:r>
              <w:rPr>
                <w:rFonts w:hint="eastAsia"/>
                <w:color w:val="auto"/>
                <w:sz w:val="24"/>
                <w:lang w:val="en-US" w:eastAsia="zh-CN"/>
              </w:rPr>
              <w:t>建设单位应按照相关规定建设、完善风险防范设施和应急处理处置方法、编制规范的环境风险的突发性事故的应急预案，加强员工的思想教育工作和风险防范意识，加强管理，定期检查，消除安全隐患，以保证正常工作。采取以上措施后，一般可认为各事故发生的概率很小，环境风险可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70" w:hRule="atLeast"/>
          <w:jc w:val="center"/>
        </w:trPr>
        <w:tc>
          <w:tcPr>
            <w:tcW w:w="416" w:type="dxa"/>
            <w:tcMar>
              <w:left w:w="28" w:type="dxa"/>
              <w:right w:w="28" w:type="dxa"/>
            </w:tcMar>
            <w:vAlign w:val="center"/>
          </w:tcPr>
          <w:p>
            <w:pPr>
              <w:pStyle w:val="32"/>
              <w:adjustRightInd w:val="0"/>
              <w:snapToGrid w:val="0"/>
              <w:spacing w:before="0" w:beforeAutospacing="0" w:after="0" w:afterAutospacing="0"/>
              <w:jc w:val="center"/>
              <w:rPr>
                <w:rFonts w:hint="default" w:ascii="Times New Roman" w:hAnsi="Times New Roman" w:eastAsia="宋体" w:cs="Times New Roman"/>
                <w:bCs/>
                <w:color w:val="auto"/>
                <w:kern w:val="2"/>
              </w:rPr>
            </w:pPr>
            <w:r>
              <w:rPr>
                <w:rFonts w:hint="default" w:ascii="Times New Roman" w:hAnsi="Times New Roman" w:eastAsia="宋体" w:cs="Times New Roman"/>
                <w:bCs/>
                <w:color w:val="auto"/>
                <w:spacing w:val="10"/>
                <w:kern w:val="2"/>
              </w:rPr>
              <w:t>运营期生态环境影响分析</w:t>
            </w:r>
          </w:p>
        </w:tc>
        <w:tc>
          <w:tcPr>
            <w:tcW w:w="8826" w:type="dxa"/>
            <w:vAlign w:val="center"/>
          </w:tcPr>
          <w:p>
            <w:pPr>
              <w:spacing w:line="360" w:lineRule="auto"/>
              <w:ind w:firstLine="480" w:firstLineChars="200"/>
              <w:jc w:val="both"/>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本项目属防洪治涝设施工程建设项目，建成后不产生废气、废水、噪声、固体废物等污染物，不涉及环境污染。因此，本项目运营期不会对地表水、地下水、大气环境、声环境质量产生影响。</w:t>
            </w:r>
          </w:p>
          <w:p>
            <w:pPr>
              <w:spacing w:line="360" w:lineRule="auto"/>
              <w:ind w:firstLine="480" w:firstLineChars="200"/>
              <w:jc w:val="both"/>
              <w:rPr>
                <w:rFonts w:hint="default" w:ascii="Times New Roman" w:hAnsi="Times New Roman" w:eastAsia="宋体" w:cs="Times New Roman"/>
                <w:color w:val="FF0000"/>
              </w:rPr>
            </w:pPr>
            <w:r>
              <w:rPr>
                <w:rFonts w:hint="eastAsia" w:ascii="Times New Roman" w:hAnsi="Times New Roman" w:cs="Times New Roman"/>
                <w:color w:val="auto"/>
                <w:sz w:val="24"/>
                <w:lang w:val="en-US" w:eastAsia="zh-CN"/>
              </w:rPr>
              <w:t>因此本项目建成后，使河堤能够归顺岸线、减少淹没、改善流态，河床演变的边界条件因工程建设的保护措施而固化，保证了河道内水体环境质量，削弱了洪水对两岸的冲刷而造成的水土流失。同时能进一步完善工程河段的防洪体系，提高流域的整体防洪能力和改善水环境质量，环境效益显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1" w:hRule="atLeast"/>
          <w:jc w:val="center"/>
        </w:trPr>
        <w:tc>
          <w:tcPr>
            <w:tcW w:w="416" w:type="dxa"/>
            <w:vAlign w:val="center"/>
          </w:tcPr>
          <w:p>
            <w:pPr>
              <w:pStyle w:val="32"/>
              <w:adjustRightInd w:val="0"/>
              <w:snapToGrid w:val="0"/>
              <w:spacing w:before="0" w:beforeAutospacing="0" w:after="0" w:afterAutospacing="0"/>
              <w:jc w:val="center"/>
              <w:rPr>
                <w:rFonts w:hint="default" w:ascii="Times New Roman" w:hAnsi="Times New Roman" w:eastAsia="宋体" w:cs="Times New Roman"/>
                <w:bCs/>
                <w:color w:val="auto"/>
                <w:kern w:val="2"/>
              </w:rPr>
            </w:pPr>
            <w:r>
              <w:rPr>
                <w:rFonts w:hint="default" w:ascii="Times New Roman" w:hAnsi="Times New Roman" w:eastAsia="宋体" w:cs="Times New Roman"/>
                <w:bCs/>
                <w:color w:val="auto"/>
                <w:kern w:val="2"/>
              </w:rPr>
              <w:t>选址选线环境合理性分析</w:t>
            </w:r>
          </w:p>
        </w:tc>
        <w:tc>
          <w:tcPr>
            <w:tcW w:w="8826" w:type="dxa"/>
            <w:vAlign w:val="top"/>
          </w:tcPr>
          <w:p>
            <w:pPr>
              <w:adjustRightInd w:val="0"/>
              <w:snapToGrid w:val="0"/>
              <w:spacing w:line="360" w:lineRule="auto"/>
              <w:rPr>
                <w:rFonts w:hint="default" w:ascii="Times New Roman" w:hAnsi="Times New Roman" w:eastAsia="宋体" w:cs="Times New Roman"/>
                <w:b/>
                <w:color w:val="auto"/>
                <w:spacing w:val="-10"/>
                <w:sz w:val="24"/>
              </w:rPr>
            </w:pPr>
            <w:r>
              <w:rPr>
                <w:rFonts w:hint="default" w:ascii="Times New Roman" w:hAnsi="Times New Roman" w:eastAsia="宋体" w:cs="Times New Roman"/>
                <w:b/>
                <w:color w:val="auto"/>
                <w:spacing w:val="-10"/>
                <w:sz w:val="24"/>
              </w:rPr>
              <w:t>一、项目线路选址合理性分析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本工程共布置4段护岸堤，长度合计</w:t>
            </w:r>
            <w:bookmarkStart w:id="13" w:name="_Hlk150361388"/>
            <w:r>
              <w:rPr>
                <w:rFonts w:hint="eastAsia"/>
                <w:color w:val="000000" w:themeColor="text1"/>
                <w:sz w:val="24"/>
                <w:szCs w:val="24"/>
                <w14:textFill>
                  <w14:solidFill>
                    <w14:schemeClr w14:val="tx1"/>
                  </w14:solidFill>
                </w14:textFill>
              </w:rPr>
              <w:t>1135.06</w:t>
            </w:r>
            <w:bookmarkEnd w:id="13"/>
            <w:r>
              <w:rPr>
                <w:rFonts w:hint="eastAsia"/>
                <w:color w:val="000000" w:themeColor="text1"/>
                <w:sz w:val="24"/>
                <w:szCs w:val="24"/>
                <w14:textFill>
                  <w14:solidFill>
                    <w14:schemeClr w14:val="tx1"/>
                  </w14:solidFill>
                </w14:textFill>
              </w:rPr>
              <w:t>m。本护岸堤基本沿</w:t>
            </w:r>
            <w:r>
              <w:rPr>
                <w:rFonts w:hint="eastAsia" w:ascii="宋体" w:hAnsi="宋体"/>
                <w:color w:val="000000" w:themeColor="text1"/>
                <w:sz w:val="24"/>
                <w:szCs w:val="24"/>
                <w14:textFill>
                  <w14:solidFill>
                    <w14:schemeClr w14:val="tx1"/>
                  </w14:solidFill>
                </w14:textFill>
              </w:rPr>
              <w:t>现状岸线进行布置，</w:t>
            </w:r>
            <w:r>
              <w:rPr>
                <w:color w:val="000000" w:themeColor="text1"/>
                <w:sz w:val="24"/>
                <w:szCs w:val="24"/>
                <w14:textFill>
                  <w14:solidFill>
                    <w14:schemeClr w14:val="tx1"/>
                  </w14:solidFill>
                </w14:textFill>
              </w:rPr>
              <w:t>兴建堤防工程后河床与原河床稳定性基本一致，不会因为堤防工程的兴建发生整体的、大规模的河床再造情况，也不会发生河型转化等情况。从河道水流、泥沙输移等方面看，工程的兴建将使河段水沙运动、河床变形朝有利方向发展</w:t>
            </w:r>
            <w:r>
              <w:rPr>
                <w:rFonts w:hint="eastAsia"/>
                <w:color w:val="000000" w:themeColor="text1"/>
                <w:sz w:val="24"/>
                <w:szCs w:val="24"/>
                <w14:textFill>
                  <w14:solidFill>
                    <w14:schemeClr w14:val="tx1"/>
                  </w14:solidFill>
                </w14:textFill>
              </w:rPr>
              <w:t>。堤线</w:t>
            </w:r>
            <w:r>
              <w:rPr>
                <w:color w:val="000000" w:themeColor="text1"/>
                <w:sz w:val="24"/>
                <w:szCs w:val="24"/>
                <w14:textFill>
                  <w14:solidFill>
                    <w14:schemeClr w14:val="tx1"/>
                  </w14:solidFill>
                </w14:textFill>
              </w:rPr>
              <w:t>沿</w:t>
            </w:r>
            <w:r>
              <w:rPr>
                <w:rFonts w:hint="eastAsia"/>
                <w:color w:val="000000" w:themeColor="text1"/>
                <w:sz w:val="24"/>
                <w:szCs w:val="24"/>
                <w14:textFill>
                  <w14:solidFill>
                    <w14:schemeClr w14:val="tx1"/>
                  </w14:solidFill>
                </w14:textFill>
              </w:rPr>
              <w:t>现状</w:t>
            </w:r>
            <w:r>
              <w:rPr>
                <w:color w:val="000000" w:themeColor="text1"/>
                <w:sz w:val="24"/>
                <w:szCs w:val="24"/>
                <w14:textFill>
                  <w14:solidFill>
                    <w14:schemeClr w14:val="tx1"/>
                  </w14:solidFill>
                </w14:textFill>
              </w:rPr>
              <w:t>岸线布置，堤线未侵占行洪断面，维持了现状行洪河道的基本格局</w:t>
            </w:r>
            <w:r>
              <w:rPr>
                <w:rFonts w:hint="eastAsia"/>
                <w:color w:val="000000" w:themeColor="text1"/>
                <w:sz w:val="24"/>
                <w:szCs w:val="24"/>
                <w14:textFill>
                  <w14:solidFill>
                    <w14:schemeClr w14:val="tx1"/>
                  </w14:solidFill>
                </w14:textFill>
              </w:rPr>
              <w:t>，堤防建设前后的洪水面及水力要素变化很小，不会对对岸造成加大冲刷影响</w:t>
            </w:r>
            <w:r>
              <w:rPr>
                <w:color w:val="000000" w:themeColor="text1"/>
                <w:sz w:val="24"/>
                <w:szCs w:val="24"/>
                <w14:textFill>
                  <w14:solidFill>
                    <w14:schemeClr w14:val="tx1"/>
                  </w14:solidFill>
                </w14:textFill>
              </w:rPr>
              <w:t>。因此本阶段拟定的堤线布置方案是合理的。</w:t>
            </w:r>
          </w:p>
          <w:p>
            <w:pPr>
              <w:adjustRightInd w:val="0"/>
              <w:snapToGrid w:val="0"/>
              <w:spacing w:line="360" w:lineRule="auto"/>
              <w:rPr>
                <w:rFonts w:hint="default" w:ascii="Times New Roman" w:hAnsi="Times New Roman" w:eastAsia="宋体" w:cs="Times New Roman"/>
                <w:b/>
                <w:color w:val="auto"/>
                <w:spacing w:val="-10"/>
                <w:sz w:val="24"/>
              </w:rPr>
            </w:pPr>
            <w:r>
              <w:rPr>
                <w:rFonts w:hint="eastAsia" w:cs="Times New Roman"/>
                <w:b/>
                <w:color w:val="auto"/>
                <w:spacing w:val="-10"/>
                <w:sz w:val="24"/>
                <w:lang w:val="en-US" w:eastAsia="zh-CN"/>
              </w:rPr>
              <w:t>二</w:t>
            </w:r>
            <w:r>
              <w:rPr>
                <w:rFonts w:hint="default" w:ascii="Times New Roman" w:hAnsi="Times New Roman" w:eastAsia="宋体" w:cs="Times New Roman"/>
                <w:b/>
                <w:color w:val="auto"/>
                <w:spacing w:val="-10"/>
                <w:sz w:val="24"/>
              </w:rPr>
              <w:t>、项目临时工程选址合理性分析</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施工段现有水、电、路等基础设施配套齐全，交通便利，水、电供应均有保证，基本能够满足本项目施工需要。本项目涉及河段两岸分布有当地居民，在施工期通过采取相关环保措施后不会对岸边居民造成较大的影响。</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default" w:ascii="Times New Roman" w:hAnsi="Times New Roman" w:cs="Times New Roman"/>
                <w:color w:val="auto"/>
                <w:sz w:val="24"/>
                <w:szCs w:val="24"/>
              </w:rPr>
              <w:t>本堤防工程设置1个施工场地，位于芝左二0+080.00</w:t>
            </w:r>
            <w:r>
              <w:rPr>
                <w:rFonts w:hint="default" w:ascii="Times New Roman" w:hAnsi="Times New Roman" w:cs="Times New Roman"/>
                <w:color w:val="auto"/>
                <w:sz w:val="24"/>
                <w:szCs w:val="24"/>
                <w:lang w:val="en-US" w:eastAsia="zh-CN"/>
              </w:rPr>
              <w:t>处</w:t>
            </w:r>
            <w:r>
              <w:rPr>
                <w:rFonts w:hint="eastAsia" w:ascii="宋体" w:hAnsi="宋体" w:eastAsia="宋体" w:cs="宋体"/>
                <w:color w:val="000000"/>
                <w:kern w:val="0"/>
                <w:sz w:val="24"/>
                <w:szCs w:val="24"/>
                <w:lang w:val="en-US" w:eastAsia="zh-CN" w:bidi="ar"/>
              </w:rPr>
              <w:t>，施工场地用于建筑材料堆放、施工机械及车辆停放等，</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不设置</w:t>
            </w:r>
            <w:r>
              <w:rPr>
                <w:rFonts w:hint="default" w:ascii="Times New Roman" w:hAnsi="Times New Roman" w:cs="Times New Roman"/>
                <w:color w:val="auto"/>
                <w:sz w:val="24"/>
                <w:szCs w:val="24"/>
              </w:rPr>
              <w:t>临时堆料场</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施工</w:t>
            </w:r>
            <w:r>
              <w:rPr>
                <w:rFonts w:hint="eastAsia" w:ascii="Times New Roman" w:hAnsi="Times New Roman" w:cs="Times New Roman"/>
                <w:color w:val="auto"/>
                <w:sz w:val="24"/>
                <w:szCs w:val="24"/>
                <w:lang w:val="en-US" w:eastAsia="zh-CN"/>
              </w:rPr>
              <w:t>剥离</w:t>
            </w:r>
            <w:r>
              <w:rPr>
                <w:rFonts w:hint="default" w:ascii="Times New Roman" w:hAnsi="Times New Roman" w:cs="Times New Roman"/>
                <w:color w:val="auto"/>
                <w:sz w:val="24"/>
                <w:szCs w:val="24"/>
                <w:lang w:val="en-US" w:eastAsia="zh-CN"/>
              </w:rPr>
              <w:t>表土临时堆放至堤后弃渣回填区，</w:t>
            </w:r>
            <w:r>
              <w:rPr>
                <w:rFonts w:hint="eastAsia" w:ascii="宋体" w:hAnsi="宋体" w:eastAsia="宋体" w:cs="宋体"/>
                <w:color w:val="000000"/>
                <w:kern w:val="0"/>
                <w:sz w:val="24"/>
                <w:szCs w:val="24"/>
                <w:lang w:val="en-US" w:eastAsia="zh-CN" w:bidi="ar"/>
              </w:rPr>
              <w:t>临时占地类型主要为耕地、水域及水利设施用地，施工场地距离施工区较近，材料运输方便。根据现场调查，施工场地附近有少量居民，故本项目施工场地设置围挡设置，同时对高噪声设备布置在远离居民点处，选用低噪声设备，在固定噪声源加盖简易工棚，禁止在夜间施工，采取以上措施后可减缓对周边居民的影响。</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的建设不涉及居民搬迁。本项目施工河段不属于饮用水源保护地范围，下游河段无饮用水源取水口及饮用水源保护区。该项目河段主要水体功能为泄洪灌溉，本项目建成前后不会对芝溪河水文参数造成影响，不会改变河流功能。根据现场踏勘，项目周边无自然保护区、森林公园、重要湿地、风景名胜区等生态敏感区。本项目所在河道不属于重要湿地、不涉及国家级和省级水产种质资源保护区。</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综上所述，本项目选址符合规范，周边外环境无明显制约因素，公辅设施基本满足需求，交通便捷，项目建成后对区域环境质量影响在可接受范围内，从环境保护角度看本项目与外环境较为相容，选址可行。</w:t>
            </w: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FF0000"/>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FF0000"/>
              </w:rPr>
            </w:pPr>
          </w:p>
          <w:p>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FF0000"/>
              </w:rPr>
            </w:pPr>
          </w:p>
        </w:tc>
      </w:tr>
    </w:tbl>
    <w:p>
      <w:pPr>
        <w:rPr>
          <w:rFonts w:hint="default" w:ascii="Times New Roman" w:hAnsi="Times New Roman" w:eastAsia="黑体" w:cs="Times New Roman"/>
          <w:snapToGrid w:val="0"/>
          <w:color w:val="FF0000"/>
          <w:sz w:val="30"/>
          <w:szCs w:val="30"/>
        </w:rPr>
      </w:pPr>
      <w:r>
        <w:rPr>
          <w:rFonts w:hint="default" w:ascii="Times New Roman" w:hAnsi="Times New Roman" w:eastAsia="黑体" w:cs="Times New Roman"/>
          <w:snapToGrid w:val="0"/>
          <w:color w:val="FF0000"/>
          <w:sz w:val="30"/>
          <w:szCs w:val="30"/>
        </w:rPr>
        <w:br w:type="page"/>
      </w:r>
    </w:p>
    <w:p>
      <w:pPr>
        <w:pStyle w:val="32"/>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五、主要生态环境保护措施</w:t>
      </w:r>
    </w:p>
    <w:tbl>
      <w:tblPr>
        <w:tblStyle w:val="37"/>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 w:hRule="atLeast"/>
          <w:jc w:val="center"/>
        </w:trPr>
        <w:tc>
          <w:tcPr>
            <w:tcW w:w="753" w:type="dxa"/>
            <w:tcMar>
              <w:left w:w="28" w:type="dxa"/>
              <w:right w:w="28" w:type="dxa"/>
            </w:tcMar>
            <w:vAlign w:val="center"/>
          </w:tcPr>
          <w:p>
            <w:pPr>
              <w:adjustRightInd w:val="0"/>
              <w:snapToGrid w:val="0"/>
              <w:jc w:val="center"/>
              <w:rPr>
                <w:rFonts w:hint="default" w:ascii="Times New Roman" w:hAnsi="Times New Roman" w:cs="Times New Roman"/>
                <w:bCs/>
                <w:color w:val="FF0000"/>
                <w:sz w:val="24"/>
              </w:rPr>
            </w:pPr>
            <w:r>
              <w:rPr>
                <w:rFonts w:hint="default" w:ascii="Times New Roman" w:hAnsi="Times New Roman" w:cs="Times New Roman"/>
                <w:bCs/>
                <w:color w:val="auto"/>
                <w:spacing w:val="10"/>
                <w:sz w:val="24"/>
              </w:rPr>
              <w:t>施工期生态环境保护措施</w:t>
            </w:r>
          </w:p>
        </w:tc>
        <w:tc>
          <w:tcPr>
            <w:tcW w:w="8457" w:type="dxa"/>
            <w:vAlign w:val="top"/>
          </w:tcPr>
          <w:p>
            <w:pPr>
              <w:adjustRightInd w:val="0"/>
              <w:snapToGrid w:val="0"/>
              <w:spacing w:line="360" w:lineRule="auto"/>
              <w:rPr>
                <w:rFonts w:hint="default" w:ascii="Times New Roman" w:hAnsi="Times New Roman" w:cs="Times New Roman"/>
                <w:b/>
                <w:color w:val="auto"/>
                <w:spacing w:val="-10"/>
                <w:sz w:val="24"/>
              </w:rPr>
            </w:pPr>
            <w:r>
              <w:rPr>
                <w:rFonts w:hint="default" w:ascii="Times New Roman" w:hAnsi="Times New Roman" w:cs="Times New Roman"/>
                <w:b/>
                <w:color w:val="auto"/>
                <w:spacing w:val="-10"/>
                <w:sz w:val="24"/>
              </w:rPr>
              <w:t>一、施工期大气环境保护措施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CN" w:bidi="ar"/>
              </w:rPr>
              <w:t>施工扬尘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针对施工期大气污染物产生情况，应制定严格的污染防治措施控制扬尘，严格执行《四川省施工场地扬尘排放标准》（DB51/2682-2020）排放限值标准，结合本项目特点拟采取的施工扬尘控制措施，降低施工期扬尘对周围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四川省灰霾污染防治实施方案》（[2013]78号）、《中华人民共和国大气污染防治法》（2015年修订）、《四川省大气污染防治行动计划实施细则》、《四川省建筑工程扬尘污染防治技术导则（试行）》（川建发[2019]16号）中相关要求，为减轻扬尘对大气环境造成的危害，做到</w:t>
            </w:r>
            <w:r>
              <w:rPr>
                <w:rFonts w:hint="eastAsia" w:ascii="宋体" w:hAnsi="宋体" w:eastAsia="宋体" w:cs="宋体"/>
                <w:color w:val="000000"/>
                <w:kern w:val="0"/>
                <w:sz w:val="24"/>
                <w:szCs w:val="24"/>
                <w:lang w:val="en-US" w:eastAsia="zh-CN" w:bidi="ar"/>
              </w:rPr>
              <w:t>“六个百分百”</w:t>
            </w:r>
            <w:r>
              <w:rPr>
                <w:rFonts w:hint="default" w:ascii="Times New Roman" w:hAnsi="Times New Roman" w:eastAsia="宋体" w:cs="Times New Roman"/>
                <w:color w:val="000000"/>
                <w:kern w:val="0"/>
                <w:sz w:val="24"/>
                <w:szCs w:val="24"/>
                <w:lang w:val="en-US" w:eastAsia="zh-CN" w:bidi="ar"/>
              </w:rPr>
              <w:t>要求（工地周边围挡、物料堆放覆盖、出入车辆冲洗、施工现场道路及材料堆场硬化、工地湿法作业及渣土车辆密闭运输），以</w:t>
            </w:r>
            <w:r>
              <w:rPr>
                <w:rFonts w:hint="eastAsia" w:ascii="宋体" w:hAnsi="宋体" w:eastAsia="宋体" w:cs="宋体"/>
                <w:color w:val="000000"/>
                <w:kern w:val="0"/>
                <w:sz w:val="24"/>
                <w:szCs w:val="24"/>
                <w:lang w:val="en-US" w:eastAsia="zh-CN" w:bidi="ar"/>
              </w:rPr>
              <w:t>及“六必须”（</w:t>
            </w:r>
            <w:r>
              <w:rPr>
                <w:rFonts w:hint="default" w:ascii="Times New Roman" w:hAnsi="Times New Roman" w:eastAsia="宋体" w:cs="Times New Roman"/>
                <w:color w:val="000000"/>
                <w:kern w:val="0"/>
                <w:sz w:val="24"/>
                <w:szCs w:val="24"/>
                <w:lang w:val="en-US" w:eastAsia="zh-CN" w:bidi="ar"/>
              </w:rPr>
              <w:t>必须湿法作业、必须打围作业、必须硬化场地、必须设置冲洗设施（设备）、必须配齐保洁人员、必须清扫施工现场）</w:t>
            </w:r>
            <w:r>
              <w:rPr>
                <w:rFonts w:hint="eastAsia" w:ascii="宋体" w:hAnsi="宋体" w:eastAsia="宋体" w:cs="宋体"/>
                <w:color w:val="000000"/>
                <w:kern w:val="0"/>
                <w:sz w:val="24"/>
                <w:szCs w:val="24"/>
                <w:lang w:val="en-US" w:eastAsia="zh-CN" w:bidi="ar"/>
              </w:rPr>
              <w:t>与“六不准”（不</w:t>
            </w:r>
            <w:r>
              <w:rPr>
                <w:rFonts w:hint="default" w:ascii="Times New Roman" w:hAnsi="Times New Roman" w:eastAsia="宋体" w:cs="Times New Roman"/>
                <w:color w:val="000000"/>
                <w:kern w:val="0"/>
                <w:sz w:val="24"/>
                <w:szCs w:val="24"/>
                <w:lang w:val="en-US" w:eastAsia="zh-CN" w:bidi="ar"/>
              </w:rPr>
              <w:t>准车辆带泥出门、不准运渣车辆超载、不准高空抛撒建渣、不准现场搅拌混凝土、不准场地积水、不准现场焚烧废弃物）等要求来防治施工扬尘。环评要求建设单位必须采取如下措施：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1）加强施工管理，加强扬尘防治教育工作，施工人员入场施工前，建设单位应组织以国家法律法规、技术规范、管理制度和操作规程为主要内容的扬尘防治入场教育培训和考核，建立扬尘防治教育培训制度，完善扬尘防治教育培训档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2）加强扬尘防治检查工程，建设单位应建立扬尘防治检查制度，安排专职人员负责施工现场检查工作，组织开展日常巡查、定期检查和不定期抽查工作，针对检查中发现的扬尘污染问题及时整改；当发现季节性天气变化、扬尘污染主要因素变化时，建设单位应及时组织进行扬尘防治检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3）土石方开挖作业前采用移动式人工软管（安装雾化喷嘴）对开挖表面喷水，做到湿法作业，靠近居民段施工时设置2m高围挡，减少施工过程中粉尘、噪声对居民的影响。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4）在装车时降低料斗高度，减小卸料落差，可减少粉尘的产生。另外，采用</w:t>
            </w:r>
            <w:r>
              <w:rPr>
                <w:rFonts w:hint="eastAsia" w:ascii="Times New Roman" w:hAnsi="Times New Roman" w:eastAsia="宋体" w:cs="Times New Roman"/>
                <w:color w:val="000000"/>
                <w:kern w:val="0"/>
                <w:sz w:val="24"/>
                <w:szCs w:val="24"/>
                <w:lang w:val="en-US" w:eastAsia="zh-CN" w:bidi="ar"/>
              </w:rPr>
              <w:t>带有雾化喷嘴的人工软管对装卸作业面进行洒水。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w:t>
            </w:r>
            <w:r>
              <w:rPr>
                <w:rFonts w:hint="eastAsia" w:ascii="Times New Roman" w:hAnsi="Times New Roman" w:eastAsia="宋体" w:cs="Times New Roman"/>
                <w:color w:val="000000"/>
                <w:kern w:val="0"/>
                <w:sz w:val="24"/>
                <w:szCs w:val="24"/>
                <w:lang w:val="en-US" w:eastAsia="zh-CN" w:bidi="ar"/>
              </w:rPr>
              <w:t>）临时堆场、材料堆场等对堆场表面进行拍实，并用彩条布进行遮盖。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6</w:t>
            </w:r>
            <w:r>
              <w:rPr>
                <w:rFonts w:hint="eastAsia" w:ascii="Times New Roman" w:hAnsi="Times New Roman" w:eastAsia="宋体" w:cs="Times New Roman"/>
                <w:color w:val="000000"/>
                <w:kern w:val="0"/>
                <w:sz w:val="24"/>
                <w:szCs w:val="24"/>
                <w:lang w:val="en-US" w:eastAsia="zh-CN" w:bidi="ar"/>
              </w:rPr>
              <w:t xml:space="preserve">）对于施工现场零星的砂浆抹面作业，如果采用散装水泥，袋装水泥须就近堆存，并用彩条布遮盖，减少刮风扬尘；袋装水泥开袋、倾倒、收袋做到轻拿轻放，尽量减少扬尘；水泥开袋之后立即进行拌合；水泥用完后，水泥袋集中收集并妥善处理。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7</w:t>
            </w:r>
            <w:r>
              <w:rPr>
                <w:rFonts w:hint="eastAsia" w:ascii="Times New Roman" w:hAnsi="Times New Roman" w:eastAsia="宋体" w:cs="Times New Roman"/>
                <w:color w:val="000000"/>
                <w:kern w:val="0"/>
                <w:sz w:val="24"/>
                <w:szCs w:val="24"/>
                <w:lang w:val="en-US" w:eastAsia="zh-CN" w:bidi="ar"/>
              </w:rPr>
              <w:t xml:space="preserve">）施工现场要设置喷水降尘设施，遇到干燥季节和大风天气时，要安排专人定时喷水降尘，保持路面清洁湿润；在土方施工、干燥天气的天气条件下，应适当增加洒水次数；土方开挖、土方回填、清运建筑垃圾和渣土等作业时，应当边施工边适当洒水，防止产生扬尘污染。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8</w:t>
            </w:r>
            <w:r>
              <w:rPr>
                <w:rFonts w:hint="eastAsia" w:ascii="Times New Roman" w:hAnsi="Times New Roman" w:eastAsia="宋体" w:cs="Times New Roman"/>
                <w:color w:val="000000"/>
                <w:kern w:val="0"/>
                <w:sz w:val="24"/>
                <w:szCs w:val="24"/>
                <w:lang w:val="en-US" w:eastAsia="zh-CN" w:bidi="ar"/>
              </w:rPr>
              <w:t xml:space="preserve">）建筑材料运输、土石方转运、建筑垃圾外运时，运输车辆不得超载超速行驶，装车与车厢平齐，并用挖掘机拍紧，于表面洒水后用篷布遮盖，避免运输途中尘土飘溢、洒落的现象发生；空车返程时，篷布捆绑扎紧，收放于车厢中，避免篷布迎风飘扬造成尘土飘溢。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9</w:t>
            </w:r>
            <w:r>
              <w:rPr>
                <w:rFonts w:hint="eastAsia" w:ascii="Times New Roman" w:hAnsi="Times New Roman" w:eastAsia="宋体" w:cs="Times New Roman"/>
                <w:color w:val="000000"/>
                <w:kern w:val="0"/>
                <w:sz w:val="24"/>
                <w:szCs w:val="24"/>
                <w:lang w:val="en-US" w:eastAsia="zh-CN" w:bidi="ar"/>
              </w:rPr>
              <w:t>）施工进场道路利用现有道路，在进场处设置车辆冲洗区，出场车辆必须经过冲洗，避免出场车辆带尘出场。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综上所述，本项目在采取相关措施后，可确保项目施工期产生的扬尘满足《四川省施工场地扬尘排放标准》中标准限值。施工过程中产生的扬尘对周边环境影响较小。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2、燃油机械尾气和柴油发电机废气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本工程施工机车尾气和柴油发电机废气中污染物主要有</w:t>
            </w:r>
            <w:r>
              <w:rPr>
                <w:rFonts w:hint="default" w:ascii="Times New Roman" w:hAnsi="Times New Roman" w:eastAsia="宋体" w:cs="Times New Roman"/>
                <w:color w:val="000000"/>
                <w:kern w:val="0"/>
                <w:sz w:val="24"/>
                <w:szCs w:val="24"/>
                <w:lang w:val="en-US" w:eastAsia="zh-CN" w:bidi="ar"/>
              </w:rPr>
              <w:t>CO</w:t>
            </w:r>
            <w:r>
              <w:rPr>
                <w:rFonts w:hint="eastAsia" w:ascii="Times New Roman" w:hAnsi="Times New Roman" w:eastAsia="宋体" w:cs="Times New Roman"/>
                <w:color w:val="000000"/>
                <w:kern w:val="0"/>
                <w:sz w:val="24"/>
                <w:szCs w:val="24"/>
                <w:lang w:val="en-US" w:eastAsia="zh-CN" w:bidi="ar"/>
              </w:rPr>
              <w:t>和烃类。其特点是排放量小，且属间断性无组织排放，由于这一特点，对于施工过程中的汽车尾气，应通过控制车辆行驶速度降低影响，通过大气的自净作用可以得到净化，柴油发电机废气鉴于施工场地开阔，扩散条件良好，因此对大气环境的影响甚微。各种燃油施工机械和运输车辆在施工及运输过程中均排放一定数量的废气，主要污染物以</w:t>
            </w:r>
            <w:r>
              <w:rPr>
                <w:rFonts w:hint="default" w:ascii="Times New Roman" w:hAnsi="Times New Roman" w:eastAsia="宋体" w:cs="Times New Roman"/>
                <w:color w:val="000000"/>
                <w:kern w:val="0"/>
                <w:sz w:val="24"/>
                <w:szCs w:val="24"/>
                <w:lang w:val="en-US" w:eastAsia="zh-CN" w:bidi="ar"/>
              </w:rPr>
              <w:t>NO</w:t>
            </w:r>
            <w:r>
              <w:rPr>
                <w:rFonts w:hint="default" w:ascii="Times New Roman" w:hAnsi="Times New Roman" w:eastAsia="宋体" w:cs="Times New Roman"/>
                <w:color w:val="000000"/>
                <w:kern w:val="0"/>
                <w:sz w:val="24"/>
                <w:szCs w:val="24"/>
                <w:vertAlign w:val="subscript"/>
                <w:lang w:val="en-US" w:eastAsia="zh-CN" w:bidi="ar"/>
              </w:rPr>
              <w:t>X</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CO</w:t>
            </w:r>
            <w:r>
              <w:rPr>
                <w:rFonts w:hint="eastAsia" w:ascii="Times New Roman" w:hAnsi="Times New Roman" w:eastAsia="宋体" w:cs="Times New Roman"/>
                <w:color w:val="000000"/>
                <w:kern w:val="0"/>
                <w:sz w:val="24"/>
                <w:szCs w:val="24"/>
                <w:lang w:val="en-US" w:eastAsia="zh-CN" w:bidi="ar"/>
              </w:rPr>
              <w:t>为主。由于本工程施工大部分为运送建筑垃圾及原材料、转运土石方，施工机械排放的废气和运输车辆尾气的污染源较分散，且是流动性的，其影响也较分散和暂时的。另一方面，本项目施工场地开阔，扩散条件良好，在选用尾气排放达标的施工机械、运输车辆，安排专人加强施工机械维护，确保机械设备正常运行的前提下，施工机械、运输车辆废气不会对区域环境空气质量造成明显影响。</w:t>
            </w:r>
          </w:p>
          <w:p>
            <w:pPr>
              <w:adjustRightInd w:val="0"/>
              <w:snapToGrid w:val="0"/>
              <w:spacing w:line="360" w:lineRule="auto"/>
              <w:rPr>
                <w:rFonts w:hint="default" w:ascii="Times New Roman" w:hAnsi="Times New Roman" w:cs="Times New Roman"/>
                <w:b/>
                <w:color w:val="auto"/>
                <w:spacing w:val="-10"/>
                <w:sz w:val="24"/>
              </w:rPr>
            </w:pPr>
            <w:r>
              <w:rPr>
                <w:rFonts w:hint="eastAsia" w:ascii="Times New Roman" w:hAnsi="Times New Roman" w:cs="Times New Roman"/>
                <w:b/>
                <w:color w:val="auto"/>
                <w:spacing w:val="-10"/>
                <w:sz w:val="24"/>
                <w:lang w:val="en-US" w:eastAsia="zh-CN"/>
              </w:rPr>
              <w:t>二</w:t>
            </w:r>
            <w:r>
              <w:rPr>
                <w:rFonts w:hint="default" w:ascii="Times New Roman" w:hAnsi="Times New Roman" w:cs="Times New Roman"/>
                <w:b/>
                <w:color w:val="auto"/>
                <w:spacing w:val="-10"/>
                <w:sz w:val="24"/>
              </w:rPr>
              <w:t>、施</w:t>
            </w:r>
            <w:r>
              <w:rPr>
                <w:rFonts w:hint="default" w:ascii="Times New Roman" w:hAnsi="Times New Roman" w:eastAsia="宋体" w:cs="Times New Roman"/>
                <w:b/>
                <w:bCs/>
                <w:color w:val="000000"/>
                <w:kern w:val="0"/>
                <w:sz w:val="24"/>
                <w:szCs w:val="24"/>
                <w:lang w:val="en-US" w:eastAsia="zh-CN" w:bidi="ar"/>
              </w:rPr>
              <w:t>工期</w:t>
            </w:r>
            <w:r>
              <w:rPr>
                <w:rFonts w:hint="eastAsia" w:ascii="Times New Roman" w:hAnsi="Times New Roman" w:eastAsia="宋体" w:cs="Times New Roman"/>
                <w:b/>
                <w:bCs/>
                <w:color w:val="000000"/>
                <w:kern w:val="0"/>
                <w:sz w:val="24"/>
                <w:szCs w:val="24"/>
                <w:lang w:val="en-US" w:eastAsia="zh-CN" w:bidi="ar"/>
              </w:rPr>
              <w:t>水</w:t>
            </w:r>
            <w:r>
              <w:rPr>
                <w:rFonts w:hint="default" w:ascii="Times New Roman" w:hAnsi="Times New Roman" w:eastAsia="宋体" w:cs="Times New Roman"/>
                <w:b/>
                <w:bCs/>
                <w:color w:val="000000"/>
                <w:kern w:val="0"/>
                <w:sz w:val="24"/>
                <w:szCs w:val="24"/>
                <w:lang w:val="en-US" w:eastAsia="zh-CN" w:bidi="ar"/>
              </w:rPr>
              <w:t>环境保护措施</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2" w:firstLineChars="200"/>
              <w:jc w:val="left"/>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1、</w:t>
            </w:r>
            <w:r>
              <w:rPr>
                <w:rFonts w:hint="default" w:ascii="Times New Roman" w:hAnsi="Times New Roman" w:eastAsia="宋体" w:cs="Times New Roman"/>
                <w:b/>
                <w:bCs/>
                <w:color w:val="000000" w:themeColor="text1"/>
                <w:lang w:val="en-US" w:eastAsia="zh-CN"/>
                <w14:textFill>
                  <w14:solidFill>
                    <w14:schemeClr w14:val="tx1"/>
                  </w14:solidFill>
                </w14:textFill>
              </w:rPr>
              <w:t>基坑废水</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堤防基础开挖产生的基坑，采用明沟排水系统，排水系统布置兼顾基坑开挖及主体建筑物施工。基坑排水包括初期排水和经常性排水。根据实际工程情况导流围堰内设置排水沟，并在下游设置一个集水沉淀池有效容积约为10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lang w:val="en-US" w:eastAsia="zh-CN"/>
                <w14:textFill>
                  <w14:solidFill>
                    <w14:schemeClr w14:val="tx1"/>
                  </w14:solidFill>
                </w14:textFill>
              </w:rPr>
              <w:t>，将基坑排水沉淀处理后进行回用施工用水，</w:t>
            </w:r>
            <w:r>
              <w:rPr>
                <w:rFonts w:hint="eastAsia" w:ascii="Times New Roman" w:hAnsi="Times New Roman" w:eastAsia="宋体" w:cs="Times New Roman"/>
                <w:b w:val="0"/>
                <w:bCs w:val="0"/>
                <w:color w:val="000000" w:themeColor="text1"/>
                <w:lang w:val="en-US" w:eastAsia="zh-CN"/>
                <w14:textFill>
                  <w14:solidFill>
                    <w14:schemeClr w14:val="tx1"/>
                  </w14:solidFill>
                </w14:textFill>
              </w:rPr>
              <w:t>不外排</w:t>
            </w:r>
            <w:r>
              <w:rPr>
                <w:rFonts w:hint="default" w:ascii="Times New Roman" w:hAnsi="Times New Roman" w:eastAsia="宋体" w:cs="Times New Roman"/>
                <w:b w:val="0"/>
                <w:bCs w:val="0"/>
                <w:color w:val="000000" w:themeColor="text1"/>
                <w:lang w:val="en-US" w:eastAsia="zh-CN"/>
                <w14:textFill>
                  <w14:solidFill>
                    <w14:schemeClr w14:val="tx1"/>
                  </w14:solidFill>
                </w14:textFill>
              </w:rPr>
              <w:t>。</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2" w:firstLineChars="200"/>
              <w:jc w:val="left"/>
              <w:textAlignment w:val="auto"/>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lang w:val="en-US" w:eastAsia="zh-CN"/>
                <w14:textFill>
                  <w14:solidFill>
                    <w14:schemeClr w14:val="tx1"/>
                  </w14:solidFill>
                </w14:textFill>
              </w:rPr>
              <w:t>施工废水</w:t>
            </w:r>
          </w:p>
          <w:p>
            <w:pPr>
              <w:pStyle w:val="23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jc w:val="left"/>
              <w:textAlignment w:val="auto"/>
              <w:rPr>
                <w:rFonts w:hint="default" w:ascii="Times New Roman" w:hAnsi="Times New Roman" w:eastAsia="宋体" w:cs="Times New Roman"/>
                <w:b w:val="0"/>
                <w:bCs w:val="0"/>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000000" w:themeColor="text1"/>
                <w:lang w:val="en-US" w:eastAsia="zh-CN"/>
                <w14:textFill>
                  <w14:solidFill>
                    <w14:schemeClr w14:val="tx1"/>
                  </w14:solidFill>
                </w14:textFill>
              </w:rPr>
              <w:t>本项目施工废水分为车辆冲洗废水以及设备冲洗废水。本项目设有施工场地，主要用于车辆以及机械设备停放、建筑材料堆放等，本项目在施工场地设置车辆冲洗区，会产生冲洗废水，本项目冲洗区设置隔油沉淀池，有效容积为10m</w:t>
            </w:r>
            <w:r>
              <w:rPr>
                <w:rFonts w:hint="default" w:ascii="Times New Roman" w:hAnsi="Times New Roman" w:eastAsia="宋体" w:cs="Times New Roman"/>
                <w:b w:val="0"/>
                <w:bCs w:val="0"/>
                <w:color w:val="000000" w:themeColor="text1"/>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lang w:val="en-US" w:eastAsia="zh-CN"/>
                <w14:textFill>
                  <w14:solidFill>
                    <w14:schemeClr w14:val="tx1"/>
                  </w14:solidFill>
                </w14:textFill>
              </w:rPr>
              <w:t>，设备冲洗废水经沉淀隔油池收集处理后回用，不外排，隔油池会产生少量浮油，收集后交有资质单位进行处理。</w:t>
            </w:r>
          </w:p>
          <w:p>
            <w:pPr>
              <w:keepNext w:val="0"/>
              <w:keepLines w:val="0"/>
              <w:pageBreakBefore w:val="0"/>
              <w:widowControl/>
              <w:suppressLineNumbers w:val="0"/>
              <w:kinsoku/>
              <w:wordWrap/>
              <w:overflowPunct/>
              <w:topLinePunct w:val="0"/>
              <w:autoSpaceDE/>
              <w:autoSpaceDN/>
              <w:bidi w:val="0"/>
              <w:adjustRightInd/>
              <w:spacing w:line="360" w:lineRule="auto"/>
              <w:ind w:firstLine="482" w:firstLineChars="200"/>
              <w:jc w:val="left"/>
              <w:textAlignment w:val="auto"/>
              <w:rPr>
                <w:rFonts w:hint="default" w:ascii="Times New Roman" w:hAnsi="Times New Roman" w:eastAsia="宋体" w:cs="Times New Roman"/>
                <w:b/>
                <w:bCs/>
                <w:color w:val="000000" w:themeColor="text1"/>
                <w:kern w:val="0"/>
                <w:sz w:val="24"/>
                <w:szCs w:val="18"/>
                <w:lang w:val="en-US" w:eastAsia="zh-CN" w:bidi="ar-SA"/>
                <w14:textFill>
                  <w14:solidFill>
                    <w14:schemeClr w14:val="tx1"/>
                  </w14:solidFill>
                </w14:textFill>
              </w:rPr>
            </w:pPr>
            <w:r>
              <w:rPr>
                <w:rFonts w:hint="eastAsia" w:ascii="Times New Roman" w:hAnsi="Times New Roman" w:cs="Times New Roman"/>
                <w:b/>
                <w:bCs/>
                <w:color w:val="000000" w:themeColor="text1"/>
                <w:kern w:val="0"/>
                <w:sz w:val="24"/>
                <w:szCs w:val="18"/>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0"/>
                <w:sz w:val="24"/>
                <w:szCs w:val="18"/>
                <w:lang w:val="en-US" w:eastAsia="zh-CN" w:bidi="ar-SA"/>
                <w14:textFill>
                  <w14:solidFill>
                    <w14:schemeClr w14:val="tx1"/>
                  </w14:solidFill>
                </w14:textFill>
              </w:rPr>
              <w:t>生活污水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本项目施工高峰期施工人数按100人计。施工场地不涉及餐饮、住宿，项目办公用房租赁就近民房作为办公用房。本项目施工期生活污水产生量按50L/d·人计算，则施工期生活用水量约为5m</w:t>
            </w:r>
            <w:r>
              <w:rPr>
                <w:rFonts w:hint="default" w:ascii="Times New Roman" w:hAnsi="Times New Roman" w:eastAsia="宋体" w:cs="Times New Roman"/>
                <w:b w:val="0"/>
                <w:bCs w:val="0"/>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/d。污水排放系数按80%计算，生活污水排放量为4m</w:t>
            </w:r>
            <w:r>
              <w:rPr>
                <w:rFonts w:hint="default" w:ascii="Times New Roman" w:hAnsi="Times New Roman" w:eastAsia="宋体" w:cs="Times New Roman"/>
                <w:b w:val="0"/>
                <w:bCs w:val="0"/>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/d。本项目施</w:t>
            </w:r>
            <w:r>
              <w:rPr>
                <w:rFonts w:hint="default" w:ascii="Times New Roman" w:hAnsi="Times New Roman" w:eastAsia="宋体" w:cs="Times New Roman"/>
                <w:color w:val="000000"/>
                <w:kern w:val="0"/>
                <w:sz w:val="24"/>
                <w:szCs w:val="24"/>
                <w:lang w:val="en-US" w:eastAsia="zh-CN" w:bidi="ar"/>
              </w:rPr>
              <w:t>工期生活废水依托租赁的民房现有废水处理设施进行处理，施工期生活废水经处理后用于周边农作物灌溉施肥，不外排，施工期结束后施工人员生活废水影响随之消除。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为防止施工期对</w:t>
            </w:r>
            <w:r>
              <w:rPr>
                <w:rFonts w:hint="eastAsia" w:ascii="Times New Roman" w:hAnsi="Times New Roman" w:cs="Times New Roman"/>
                <w:b w:val="0"/>
                <w:bCs w:val="0"/>
                <w:color w:val="000000" w:themeColor="text1"/>
                <w:kern w:val="0"/>
                <w:sz w:val="24"/>
                <w:szCs w:val="24"/>
                <w:lang w:val="en-US" w:eastAsia="zh-CN" w:bidi="ar-SA"/>
                <w14:textFill>
                  <w14:solidFill>
                    <w14:schemeClr w14:val="tx1"/>
                  </w14:solidFill>
                </w14:textFill>
              </w:rPr>
              <w:t>芝溪河</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造成污染，环评提出以下相关要求：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①科学合理的安排施工进度与时序，将施工期控制在一个枯水期内完成，按照作业控制线，严格控制作业范围；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②不得在河道内及河道周边进行车辆、设备冲洗，车辆、设备冲洗作业必须在施工场地车辆冲洗区进行，避免冲洗废水直接排入</w:t>
            </w:r>
            <w:r>
              <w:rPr>
                <w:rFonts w:hint="eastAsia" w:ascii="Times New Roman" w:hAnsi="Times New Roman" w:cs="Times New Roman"/>
                <w:b w:val="0"/>
                <w:bCs w:val="0"/>
                <w:color w:val="000000" w:themeColor="text1"/>
                <w:kern w:val="0"/>
                <w:sz w:val="24"/>
                <w:szCs w:val="24"/>
                <w:lang w:val="en-US" w:eastAsia="zh-CN" w:bidi="ar-SA"/>
                <w14:textFill>
                  <w14:solidFill>
                    <w14:schemeClr w14:val="tx1"/>
                  </w14:solidFill>
                </w14:textFill>
              </w:rPr>
              <w:t>芝溪河</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中。</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③工期加强对建筑垃圾和生活垃圾的管理，严禁将建筑垃圾、生活垃圾倒入</w:t>
            </w:r>
            <w:r>
              <w:rPr>
                <w:rFonts w:hint="eastAsia" w:ascii="Times New Roman" w:hAnsi="Times New Roman" w:cs="Times New Roman"/>
                <w:b w:val="0"/>
                <w:bCs w:val="0"/>
                <w:color w:val="000000" w:themeColor="text1"/>
                <w:kern w:val="0"/>
                <w:sz w:val="24"/>
                <w:szCs w:val="24"/>
                <w:lang w:val="en-US" w:eastAsia="zh-CN" w:bidi="ar-SA"/>
                <w14:textFill>
                  <w14:solidFill>
                    <w14:schemeClr w14:val="tx1"/>
                  </w14:solidFill>
                </w14:textFill>
              </w:rPr>
              <w:t>芝溪河</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中，同时建筑垃圾、生活垃圾及时清理，避免因雨水冲刷进入</w:t>
            </w:r>
            <w:r>
              <w:rPr>
                <w:rFonts w:hint="eastAsia" w:ascii="Times New Roman" w:hAnsi="Times New Roman" w:cs="Times New Roman"/>
                <w:b w:val="0"/>
                <w:bCs w:val="0"/>
                <w:color w:val="000000" w:themeColor="text1"/>
                <w:kern w:val="0"/>
                <w:sz w:val="24"/>
                <w:szCs w:val="24"/>
                <w:lang w:val="en-US" w:eastAsia="zh-CN" w:bidi="ar-SA"/>
                <w14:textFill>
                  <w14:solidFill>
                    <w14:schemeClr w14:val="tx1"/>
                  </w14:solidFill>
                </w14:textFill>
              </w:rPr>
              <w:t>芝溪河</w:t>
            </w: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中</w:t>
            </w:r>
            <w:r>
              <w:rPr>
                <w:rFonts w:hint="eastAsia" w:ascii="Times New Roman" w:hAnsi="Times New Roman" w:cs="Times New Roman"/>
                <w:b w:val="0"/>
                <w:bCs w:val="0"/>
                <w:color w:val="000000" w:themeColor="text1"/>
                <w:kern w:val="0"/>
                <w:sz w:val="24"/>
                <w:szCs w:val="24"/>
                <w:lang w:val="en-US" w:eastAsia="zh-CN" w:bidi="ar-SA"/>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SA"/>
                <w14:textFill>
                  <w14:solidFill>
                    <w14:schemeClr w14:val="tx1"/>
                  </w14:solidFill>
                </w14:textFill>
              </w:rPr>
              <w:t>④不得在河道中堆放钢筋等相关建筑材料。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sz w:val="24"/>
                <w:szCs w:val="24"/>
              </w:rPr>
            </w:pPr>
            <w:r>
              <w:rPr>
                <w:rFonts w:hint="eastAsia" w:ascii="Times New Roman" w:hAnsi="Times New Roman" w:cs="Times New Roman"/>
                <w:b/>
                <w:bCs/>
                <w:color w:val="000000"/>
                <w:kern w:val="0"/>
                <w:sz w:val="24"/>
                <w:szCs w:val="24"/>
                <w:lang w:val="en-US" w:eastAsia="zh-CN" w:bidi="ar"/>
              </w:rPr>
              <w:t>4、</w:t>
            </w:r>
            <w:r>
              <w:rPr>
                <w:rFonts w:hint="default" w:ascii="Times New Roman" w:hAnsi="Times New Roman" w:eastAsia="宋体" w:cs="Times New Roman"/>
                <w:b/>
                <w:bCs/>
                <w:color w:val="000000"/>
                <w:kern w:val="0"/>
                <w:sz w:val="24"/>
                <w:szCs w:val="24"/>
                <w:lang w:val="en-US" w:eastAsia="zh-CN" w:bidi="ar"/>
              </w:rPr>
              <w:t>施工作业对</w:t>
            </w:r>
            <w:r>
              <w:rPr>
                <w:rFonts w:hint="eastAsia" w:ascii="Times New Roman" w:hAnsi="Times New Roman" w:eastAsia="宋体" w:cs="Times New Roman"/>
                <w:b/>
                <w:bCs/>
                <w:color w:val="000000"/>
                <w:kern w:val="0"/>
                <w:sz w:val="24"/>
                <w:szCs w:val="24"/>
                <w:lang w:val="en-US" w:eastAsia="zh-CN" w:bidi="ar"/>
              </w:rPr>
              <w:t>芝溪</w:t>
            </w:r>
            <w:r>
              <w:rPr>
                <w:rFonts w:hint="default" w:ascii="Times New Roman" w:hAnsi="Times New Roman" w:eastAsia="宋体" w:cs="Times New Roman"/>
                <w:b/>
                <w:bCs/>
                <w:color w:val="000000"/>
                <w:kern w:val="0"/>
                <w:sz w:val="24"/>
                <w:szCs w:val="24"/>
                <w:lang w:val="en-US" w:eastAsia="zh-CN" w:bidi="ar"/>
              </w:rPr>
              <w:t>河</w:t>
            </w:r>
            <w:r>
              <w:rPr>
                <w:rFonts w:hint="eastAsia" w:ascii="Times New Roman" w:hAnsi="Times New Roman" w:cs="Times New Roman"/>
                <w:b/>
                <w:bCs/>
                <w:color w:val="000000"/>
                <w:kern w:val="0"/>
                <w:sz w:val="24"/>
                <w:szCs w:val="24"/>
                <w:lang w:val="en-US" w:eastAsia="zh-CN" w:bidi="ar"/>
              </w:rPr>
              <w:t>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本项目主要对水质的影响为河堤施工过程中地表水扰动，造成</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河水质SS浓度增加。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根据本项目施工河段特点，</w:t>
            </w:r>
            <w:r>
              <w:rPr>
                <w:rFonts w:hint="eastAsia" w:ascii="Times New Roman" w:hAnsi="Times New Roman" w:eastAsia="宋体" w:cs="Times New Roman"/>
                <w:color w:val="000000"/>
                <w:kern w:val="0"/>
                <w:sz w:val="24"/>
                <w:szCs w:val="24"/>
                <w:lang w:val="en-US" w:eastAsia="zh-CN" w:bidi="ar"/>
              </w:rPr>
              <w:t>项目设置在枯水期施工</w:t>
            </w:r>
            <w:r>
              <w:rPr>
                <w:rFonts w:hint="default" w:ascii="Times New Roman" w:hAnsi="Times New Roman" w:eastAsia="宋体" w:cs="Times New Roman"/>
                <w:color w:val="000000"/>
                <w:kern w:val="0"/>
                <w:sz w:val="24"/>
                <w:szCs w:val="24"/>
                <w:lang w:val="en-US" w:eastAsia="zh-CN" w:bidi="ar"/>
              </w:rPr>
              <w:t>，同时通过分段新建导流围堰的方式进行导流。本项目导流围堰采用土石方围堰，编织袋装土石挡水，迎水面采用复合土工膜防渗，施工结束后围堰全部拆除。在围堰施工和拆除过程中由于机械扰动、土石方填筑，对</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河河水扰动，造成</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河水质SS浓度增加，甚至可能超标，在</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形成一定区域的污染带。本项目施工过程中主要为施工过程砂石浮动造成SS浓度增加，砂石随河水运动的同时可在水中沉降，最终沉积于河底，这一特性决定了其影响地表水的范围和影响时间是有限的，形成的污染带很短，同时该污染带只在围堰施工和拆除过程中形成，待围堰形成后，本项目施工作业均在围堰内进行，不会直接对</w:t>
            </w:r>
            <w:r>
              <w:rPr>
                <w:rFonts w:hint="eastAsia" w:ascii="Times New Roman" w:hAnsi="Times New Roman" w:eastAsia="宋体" w:cs="Times New Roman"/>
                <w:color w:val="000000"/>
                <w:kern w:val="0"/>
                <w:sz w:val="24"/>
                <w:szCs w:val="24"/>
                <w:lang w:val="en-US" w:eastAsia="zh-CN" w:bidi="ar"/>
              </w:rPr>
              <w:t>芝溪</w:t>
            </w:r>
            <w:r>
              <w:rPr>
                <w:rFonts w:hint="default" w:ascii="Times New Roman" w:hAnsi="Times New Roman" w:eastAsia="宋体" w:cs="Times New Roman"/>
                <w:color w:val="000000"/>
                <w:kern w:val="0"/>
                <w:sz w:val="24"/>
                <w:szCs w:val="24"/>
                <w:lang w:val="en-US" w:eastAsia="zh-CN" w:bidi="ar"/>
              </w:rPr>
              <w:t>河河水进行扰动，施工结束后该污染物消失，不会对下游水质造成明显影响。</w:t>
            </w:r>
          </w:p>
          <w:p>
            <w:pPr>
              <w:adjustRightInd w:val="0"/>
              <w:snapToGrid w:val="0"/>
              <w:spacing w:line="360" w:lineRule="auto"/>
              <w:rPr>
                <w:rFonts w:hint="default" w:ascii="Times New Roman" w:hAnsi="Times New Roman" w:eastAsia="宋体" w:cs="Times New Roman"/>
                <w:b/>
                <w:color w:val="auto"/>
                <w:spacing w:val="-10"/>
                <w:sz w:val="24"/>
              </w:rPr>
            </w:pPr>
            <w:r>
              <w:rPr>
                <w:rFonts w:hint="eastAsia" w:ascii="Times New Roman" w:hAnsi="Times New Roman" w:cs="Times New Roman"/>
                <w:b/>
                <w:color w:val="auto"/>
                <w:spacing w:val="-10"/>
                <w:sz w:val="24"/>
                <w:lang w:val="en-US" w:eastAsia="zh-CN"/>
              </w:rPr>
              <w:t>三</w:t>
            </w:r>
            <w:r>
              <w:rPr>
                <w:rFonts w:hint="default" w:ascii="Times New Roman" w:hAnsi="Times New Roman" w:eastAsia="宋体" w:cs="Times New Roman"/>
                <w:b/>
                <w:color w:val="auto"/>
                <w:spacing w:val="-10"/>
                <w:sz w:val="24"/>
              </w:rPr>
              <w:t>、</w:t>
            </w:r>
            <w:r>
              <w:rPr>
                <w:rFonts w:hint="default" w:ascii="Times New Roman" w:hAnsi="Times New Roman" w:eastAsia="宋体" w:cs="Times New Roman"/>
                <w:b/>
                <w:bCs/>
                <w:color w:val="000000"/>
                <w:kern w:val="0"/>
                <w:sz w:val="24"/>
                <w:szCs w:val="24"/>
                <w:lang w:val="en-US" w:eastAsia="zh-CN" w:bidi="ar"/>
              </w:rPr>
              <w:t>施工期噪声环境保护措施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项目施工期噪声源主要来自施工机械噪声和运输车辆噪声，各设备的噪声源强约为 </w:t>
            </w:r>
            <w:r>
              <w:rPr>
                <w:rFonts w:hint="default" w:ascii="Times New Roman" w:hAnsi="Times New Roman" w:eastAsia="宋体" w:cs="Times New Roman"/>
                <w:color w:val="000000"/>
                <w:kern w:val="0"/>
                <w:sz w:val="24"/>
                <w:szCs w:val="24"/>
                <w:lang w:val="en-US" w:eastAsia="zh-CN" w:bidi="ar"/>
              </w:rPr>
              <w:t>75~100dB</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）。针对不同噪声来源，本项目采取以下治理措施。</w:t>
            </w:r>
          </w:p>
          <w:p>
            <w:pPr>
              <w:keepNext w:val="0"/>
              <w:keepLines w:val="0"/>
              <w:pageBreakBefore w:val="0"/>
              <w:widowControl/>
              <w:numPr>
                <w:ilvl w:val="0"/>
                <w:numId w:val="16"/>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cs="Times New Roman"/>
                <w:b/>
                <w:bCs/>
                <w:color w:val="000000"/>
                <w:kern w:val="0"/>
                <w:sz w:val="24"/>
                <w:szCs w:val="24"/>
                <w:lang w:val="en-US" w:eastAsia="zh-CN" w:bidi="ar"/>
              </w:rPr>
            </w:pPr>
            <w:r>
              <w:rPr>
                <w:rFonts w:hint="eastAsia" w:ascii="Times New Roman" w:hAnsi="Times New Roman" w:cs="Times New Roman"/>
                <w:b/>
                <w:bCs/>
                <w:color w:val="000000"/>
                <w:kern w:val="0"/>
                <w:sz w:val="24"/>
                <w:szCs w:val="24"/>
                <w:lang w:val="en-US" w:eastAsia="zh-CN" w:bidi="ar"/>
              </w:rPr>
              <w:t>施工设备噪声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①施工单位选用符合国家标准的低噪设备，并加强设备的维修保养，避免由于设备非正常工作而产生高噪声污染。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合理安排施工计划和施工机械设备组合以及施工时间，禁止在中午（12:00~14:00）和夜间（22:00~6:00）施工，避免在同一时间集中使用大量的动力机械设备。在施工过程中，尽量减少运行动力机械设备的数量，尽可能动力机械比较均匀的使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③加强管理，合理布局。在施工过程中应把高噪声工作安排在项目中央，要加强一线操作人员的环境意识，对一些零星的手工作业，如拆装模板、装卸建材，尽可能做到轻拿轻放，并辅以一定的减缓措施。同时应避免在同一地点安排大量动力机械设备，以避免局部声级过高。对产生高噪声的固定设备建议在其外加盖简易棚；</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④根据施工外环境关系，在靠近居民敏感点一侧设置围栏，进行打围施工，以降低施工噪声对周边的影响；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⑤加强运输车辆的管理，合理安排运输路线和时间，物料运输通道尽量避开居民集中区；在途经有居民和学校路段，减速慢行、禁止鸣笛；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 xml:space="preserve">⑥科学安排施工现场运输车辆作业时间，设法压缩汽车数量及行车频率，运输时在施工场地严禁鸣笛；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⑦禁止夜间施工，避免噪声扰民现象发生；若特殊情况需夜间作业是，应通过现场公告等方式告知施工区域附近的居民，同时做好施工组织，确保施工边界夜间声级不超过《建筑施工场界环境噪声排放标准》（GB12523-2011）的限值。除采取有效措施外，施工单位必须事前报经主管政府部门，同时执行建筑施工噪声申报登记制度，在工程开工15日前填写《建筑施工工场噪声管理审批表》，向当地环境保护主管部门申报，并领取《夜间作业许可证》，方可进行施工。</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sz w:val="24"/>
                <w:szCs w:val="24"/>
              </w:rPr>
            </w:pPr>
            <w:r>
              <w:rPr>
                <w:rFonts w:hint="eastAsia" w:ascii="Times New Roman" w:hAnsi="Times New Roman"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运输车辆噪声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本项目运输车辆包括场内运输和场外运输，场内运输主要为开挖土石方转运，场外运输包括施工材料运输以及建筑垃圾外运等。针对运输车辆噪声，本项目采取以下治理措施。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①减少或禁止鸣笛，严禁超速、超载行驶。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②定期对运输车辆进行维修，避免故障车辆运输。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③施工期应加强对入场道路以及场内临时道路的检修维护，及时对损坏路面及时进行修补，减少运输车辆颠簸产生噪声。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④合理规划对场外路线，尽量避让城镇、学校等人群较多区域，对于无法避让噪声敏感点时应减速慢行，禁止鸣笛，严禁超速行驶。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⑤合理安排运输任务，夜间不得进行运输任务。</w:t>
            </w:r>
          </w:p>
          <w:p>
            <w:pPr>
              <w:adjustRightInd w:val="0"/>
              <w:snapToGrid w:val="0"/>
              <w:spacing w:line="360" w:lineRule="auto"/>
              <w:rPr>
                <w:rFonts w:hint="default" w:ascii="Times New Roman" w:hAnsi="Times New Roman" w:cs="Times New Roman"/>
                <w:b/>
                <w:color w:val="auto"/>
                <w:spacing w:val="-10"/>
                <w:sz w:val="24"/>
              </w:rPr>
            </w:pPr>
            <w:r>
              <w:rPr>
                <w:rFonts w:hint="eastAsia" w:ascii="Times New Roman" w:hAnsi="Times New Roman" w:cs="Times New Roman"/>
                <w:b/>
                <w:color w:val="auto"/>
                <w:spacing w:val="-10"/>
                <w:sz w:val="24"/>
                <w:lang w:val="en-US" w:eastAsia="zh-CN"/>
              </w:rPr>
              <w:t>四</w:t>
            </w:r>
            <w:r>
              <w:rPr>
                <w:rFonts w:hint="default" w:ascii="Times New Roman" w:hAnsi="Times New Roman" w:cs="Times New Roman"/>
                <w:b/>
                <w:color w:val="auto"/>
                <w:spacing w:val="-10"/>
                <w:sz w:val="24"/>
              </w:rPr>
              <w:t>、施</w:t>
            </w:r>
            <w:r>
              <w:rPr>
                <w:rFonts w:hint="default" w:ascii="Times New Roman" w:hAnsi="Times New Roman" w:eastAsia="宋体" w:cs="Times New Roman"/>
                <w:b/>
                <w:bCs/>
                <w:color w:val="000000"/>
                <w:kern w:val="0"/>
                <w:sz w:val="24"/>
                <w:szCs w:val="24"/>
                <w:lang w:val="en-US" w:eastAsia="zh-CN" w:bidi="ar"/>
              </w:rPr>
              <w:t>工期固体废物环境保护措施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本项目施工期固体废物主要来源于建筑垃圾、开挖土石方和施工人员生活垃圾等。如不妥善处理，及时清运，对周围环境也会造成一定的影响。为了控制施工期产生的固废对环境的污染，减少堆放和运输过程中对环境的影响，本项目采取如下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①对施工中产生的建筑垃圾，应集中堆放，及时清运，可回收利用的尽量回收利用，不能回收利用的运送指定的建筑垃圾堆场处置。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②生活垃圾不得随意丢弃，施工场地设置定点垃圾桶，生活垃圾定点收集，并实行袋装化，当天施工结束后及时清运，清运至就近垃圾暂存点，由环卫部门统一处理。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③开挖土石方临时堆放于施工区域，用于堤基土石方回填，剩余土石方及时清运至堤后低洼地带回填。</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④为减少本项目施工期间对土壤、地下水的污染，本项目汽修、机修依托工程</w:t>
            </w:r>
            <w:r>
              <w:rPr>
                <w:rFonts w:hint="eastAsia" w:ascii="Times New Roman" w:hAnsi="Times New Roman" w:eastAsia="宋体" w:cs="Times New Roman"/>
                <w:color w:val="000000"/>
                <w:kern w:val="0"/>
                <w:sz w:val="24"/>
                <w:szCs w:val="24"/>
                <w:lang w:val="en-US" w:eastAsia="zh-CN" w:bidi="ar"/>
              </w:rPr>
              <w:t>附近</w:t>
            </w:r>
            <w:r>
              <w:rPr>
                <w:rFonts w:hint="default" w:ascii="Times New Roman" w:hAnsi="Times New Roman" w:eastAsia="宋体" w:cs="Times New Roman"/>
                <w:color w:val="000000"/>
                <w:kern w:val="0"/>
                <w:sz w:val="24"/>
                <w:szCs w:val="24"/>
                <w:lang w:val="en-US" w:eastAsia="zh-CN" w:bidi="ar"/>
              </w:rPr>
              <w:t>修理厂，施工区内不设置机修、汽修厂，不产生危险废物。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综上，针对本项目产生的各类固体废物采取安全有效的措施，明确去向，不会对周围环境造成二次污染，措施可行。</w:t>
            </w:r>
          </w:p>
          <w:p>
            <w:pPr>
              <w:adjustRightInd w:val="0"/>
              <w:snapToGrid w:val="0"/>
              <w:spacing w:line="360" w:lineRule="auto"/>
              <w:rPr>
                <w:rFonts w:hint="default" w:ascii="Times New Roman" w:hAnsi="Times New Roman" w:cs="Times New Roman"/>
                <w:b/>
                <w:bCs/>
                <w:color w:val="auto"/>
                <w:spacing w:val="-10"/>
                <w:sz w:val="24"/>
              </w:rPr>
            </w:pPr>
            <w:r>
              <w:rPr>
                <w:rFonts w:hint="eastAsia" w:ascii="Times New Roman" w:hAnsi="Times New Roman" w:cs="Times New Roman"/>
                <w:b/>
                <w:bCs/>
                <w:color w:val="auto"/>
                <w:kern w:val="0"/>
                <w:sz w:val="24"/>
                <w:szCs w:val="24"/>
                <w:lang w:val="en-US" w:eastAsia="zh-CN" w:bidi="ar"/>
              </w:rPr>
              <w:t>五、</w:t>
            </w:r>
            <w:r>
              <w:rPr>
                <w:rFonts w:hint="default" w:ascii="Times New Roman" w:hAnsi="Times New Roman" w:eastAsia="宋体" w:cs="Times New Roman"/>
                <w:b/>
                <w:bCs/>
                <w:color w:val="000000"/>
                <w:kern w:val="0"/>
                <w:sz w:val="24"/>
                <w:szCs w:val="24"/>
                <w:lang w:val="en-US" w:eastAsia="zh-CN" w:bidi="ar"/>
              </w:rPr>
              <w:t>施工期生态环境保护措施分析</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根据本项目具体情况，本项目建设生态影响不涉及不可代替、极具价值、极敏感的生态保护目标。根据项目生态环境影响，提出项目以下生态环境防护与恢复措施。</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color w:val="000000"/>
                <w:kern w:val="0"/>
                <w:sz w:val="24"/>
                <w:szCs w:val="24"/>
                <w:lang w:val="en-US" w:eastAsia="zh-CN" w:bidi="ar"/>
              </w:rPr>
              <w:t>1、</w:t>
            </w:r>
            <w:r>
              <w:rPr>
                <w:rFonts w:hint="default" w:ascii="Times New Roman" w:hAnsi="Times New Roman" w:eastAsia="宋体" w:cs="Times New Roman"/>
                <w:b/>
                <w:bCs/>
                <w:color w:val="000000"/>
                <w:kern w:val="0"/>
                <w:sz w:val="24"/>
                <w:szCs w:val="24"/>
                <w:lang w:val="en-US" w:eastAsia="zh-CN" w:bidi="ar"/>
              </w:rPr>
              <w:t>加强生态保护制度建设</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建设单位应成立生态环境保护管理小组，具体分工，责任到人。全面掌握在施工建设的生态环境变化情况，严格执行设计文件要求和国家及地方有关环境保护、水土保持的规定。依据国家和地方政府有关法律、法规，制定本项目环境保护的管理制度与措施并严格遵照执行。其次是制订环境保护管理应急预案，针对突发情况和环境应急事件能够采取有效措施，防患于未然。建立定期检查制度，每月或每季度对陆生环境进行不同的陆生生态保护措施及相关规范要求检查，发现问题及时处理，及时整改。</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施工前组织对员职工人员的宣传教育，特别是相关法律法规宣传，明确责任与义务。通过宣传教育，让施工作业人员树立强烈的环境意识，通过设置一定数量的宣传牌和标语，张贴公告图片、发放宣传册等，调动他们参与生态环境保护的积极性和主动性。禁止施工人员非法猎捕蛙类、鸟类（包括鸟蛋）、兽类、鱼类等野生动物，减轻施工对施工区动物、植物的影响。设置生态保护、巡护和环境监理人员，对周边环境进行及时巡护监测，发现问题及时沟通、协调、制止。并落实责任追究制和惩罚制度，针对有破坏生态环境行为及个人的进行处罚并追究其相关责任，对于举报破坏环境行为及为生态环境保护做出一定贡献的人进行适当奖励。</w:t>
            </w:r>
          </w:p>
          <w:p>
            <w:pPr>
              <w:keepNext w:val="0"/>
              <w:keepLines w:val="0"/>
              <w:pageBreakBefore w:val="0"/>
              <w:widowControl/>
              <w:suppressLineNumbers w:val="0"/>
              <w:kinsoku/>
              <w:wordWrap/>
              <w:overflowPunct/>
              <w:topLinePunct w:val="0"/>
              <w:autoSpaceDE/>
              <w:autoSpaceDN/>
              <w:bidi w:val="0"/>
              <w:spacing w:line="360" w:lineRule="auto"/>
              <w:ind w:firstLine="482" w:firstLineChars="200"/>
              <w:jc w:val="left"/>
              <w:textAlignment w:val="auto"/>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加强生态保护措施</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①优化施工布置</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在施工过程中，尽量减小和有效控制对项目区域生态环境的影响范围和程度。尽量减少临时占地面积，不得随意扩大施工临时占地的范围，减少对植被的破坏。同时施工期间加强对污染源的监管与控制，针对废水、固体废弃物排放进行重点管控，严禁生活废水、冲洗废水直接排放到环境中，严禁建筑垃圾、生活垃圾、土石方等随意堆置、倾倒。</w:t>
            </w:r>
          </w:p>
          <w:p>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②对陆生植被的保护</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本项目施工过程中尽量缩减施工临时占地，且临时占地选址植被覆盖或植被覆盖率较小的区域，本项目临时占地类型为耕地、</w:t>
            </w:r>
            <w:r>
              <w:rPr>
                <w:rFonts w:hint="eastAsia" w:ascii="Times New Roman" w:hAnsi="Times New Roman" w:eastAsia="宋体" w:cs="Times New Roman"/>
                <w:b w:val="0"/>
                <w:bCs w:val="0"/>
                <w:color w:val="auto"/>
                <w:sz w:val="24"/>
                <w:szCs w:val="24"/>
                <w:lang w:val="en-US" w:eastAsia="zh-CN"/>
              </w:rPr>
              <w:t>水域及水域设施用地</w:t>
            </w:r>
            <w:r>
              <w:rPr>
                <w:rFonts w:hint="default" w:ascii="Times New Roman" w:hAnsi="Times New Roman" w:eastAsia="宋体" w:cs="Times New Roman"/>
                <w:b w:val="0"/>
                <w:bCs w:val="0"/>
                <w:color w:val="auto"/>
                <w:sz w:val="24"/>
                <w:szCs w:val="24"/>
              </w:rPr>
              <w:t>，植被覆盖率较小，植被破坏量较小，施工结束后及时对施工过程中临时占地进行迹地恢复，因地制宜地采取撒播草籽或灌草结合的方式对植被进行恢复；施工场地临时占地时间短，施工结束后因地制宜地选用当地植被进行恢复，减小影响程度。禁止在占地区植被恢复时引入外来物种，确保原有生态系统稳定。同时，施工期加强对员职工教育，禁止乱砍乱伐，施工严禁携带火源，避免引起火灾。本项目占地面积小，施工结束后植被能够得到有效恢复。因此本项目的实施对植被破坏较小，不会改变区域生态系统的完整性。</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③对野生动物的保护</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根据现场踏勘，本项目评价范围内未发现珍稀濒危及国家重点保护的野生动物。工程评价范围内野生动物主要以爬行动物、鸟类昆虫和软体动物为主，爬行动物有壁虎、蛇，分布在项目区周边灌木丛附近，鸟类包括麻雀、喜鹊、家燕等，兽类主要为小型啮齿目老鼠，昆虫类包括常见的蚂蚁、瓢虫、蜻蜓、蝴蝶等，软体动物主要为蚯蚓，两栖动物为青蛙。本项目施工活动对其栖息地环境造成干扰或者局部破坏，导致其迁徙。因此，施工单位应对施工人员开展增强野生动物保护意识的宣传工作，杜绝施工人员猎捕施工作业区附近的动物，同时做好施工防火工作，禁止携带火种进入工程区，建议在主要施工场地设置警示牌，提醒施工人员保护野生动物和防火。本项目施工持续时间较短，随着施工活动的结束，施工干扰因素消除，动物的栖息地将恢复，可见本项目施工对区域内种群结构和栖息地影响不大。</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④对水生生物的保护</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本项目建设区域范围内，不涉及国家级和省级水产种质</w:t>
            </w:r>
            <w:r>
              <w:rPr>
                <w:rFonts w:hint="default" w:ascii="Times New Roman" w:hAnsi="Times New Roman" w:eastAsia="宋体" w:cs="Times New Roman"/>
                <w:color w:val="auto"/>
                <w:kern w:val="0"/>
                <w:sz w:val="24"/>
                <w:szCs w:val="24"/>
                <w:lang w:val="en-US" w:eastAsia="zh-CN" w:bidi="ar"/>
              </w:rPr>
              <w:t>资源保护区</w:t>
            </w:r>
            <w:r>
              <w:rPr>
                <w:rFonts w:hint="default" w:ascii="Times New Roman" w:hAnsi="Times New Roman" w:eastAsia="宋体" w:cs="Times New Roman"/>
                <w:b w:val="0"/>
                <w:bCs w:val="0"/>
                <w:color w:val="auto"/>
                <w:kern w:val="0"/>
                <w:sz w:val="24"/>
                <w:szCs w:val="24"/>
                <w:lang w:val="en-US" w:eastAsia="zh-CN" w:bidi="ar"/>
              </w:rPr>
              <w:t>。</w:t>
            </w:r>
          </w:p>
          <w:p>
            <w:pPr>
              <w:adjustRightInd w:val="0"/>
              <w:snapToGrid w:val="0"/>
              <w:spacing w:line="360" w:lineRule="auto"/>
              <w:ind w:firstLine="480" w:firstLineChars="200"/>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本项目在施工过程中通过设置围堰导流，减少施工过程基础开挖等对水生生物造成的影响。同时在施工过程中应加强环保监督，严禁施工废水、生活废水等排入</w:t>
            </w:r>
            <w:r>
              <w:rPr>
                <w:rFonts w:hint="eastAsia" w:cs="Times New Roman"/>
                <w:b w:val="0"/>
                <w:bCs w:val="0"/>
                <w:color w:val="auto"/>
                <w:sz w:val="24"/>
                <w:lang w:val="en-US" w:eastAsia="zh-CN"/>
              </w:rPr>
              <w:t>芝溪河</w:t>
            </w:r>
            <w:r>
              <w:rPr>
                <w:rFonts w:hint="default" w:ascii="Times New Roman" w:hAnsi="Times New Roman" w:cs="Times New Roman"/>
                <w:b w:val="0"/>
                <w:bCs w:val="0"/>
                <w:color w:val="auto"/>
                <w:sz w:val="24"/>
              </w:rPr>
              <w:t>中，严禁建筑垃圾、生活垃圾等倾倒入</w:t>
            </w:r>
            <w:r>
              <w:rPr>
                <w:rFonts w:hint="eastAsia" w:cs="Times New Roman"/>
                <w:b w:val="0"/>
                <w:bCs w:val="0"/>
                <w:color w:val="auto"/>
                <w:sz w:val="24"/>
                <w:lang w:eastAsia="zh-CN"/>
              </w:rPr>
              <w:t>芝溪河</w:t>
            </w:r>
            <w:r>
              <w:rPr>
                <w:rFonts w:hint="default" w:ascii="Times New Roman" w:hAnsi="Times New Roman" w:cs="Times New Roman"/>
                <w:b w:val="0"/>
                <w:bCs w:val="0"/>
                <w:color w:val="auto"/>
                <w:sz w:val="24"/>
              </w:rPr>
              <w:t>中。加强施工人员的培训，禁止抓鱼等活动。本项目生产废水、生活废水经废水处理设施处理后回用，不会对</w:t>
            </w:r>
            <w:r>
              <w:rPr>
                <w:rFonts w:hint="eastAsia" w:cs="Times New Roman"/>
                <w:b w:val="0"/>
                <w:bCs w:val="0"/>
                <w:color w:val="auto"/>
                <w:sz w:val="24"/>
                <w:lang w:eastAsia="zh-CN"/>
              </w:rPr>
              <w:t>芝溪河</w:t>
            </w:r>
            <w:r>
              <w:rPr>
                <w:rFonts w:hint="default" w:ascii="Times New Roman" w:hAnsi="Times New Roman" w:cs="Times New Roman"/>
                <w:b w:val="0"/>
                <w:bCs w:val="0"/>
                <w:color w:val="auto"/>
                <w:sz w:val="24"/>
              </w:rPr>
              <w:t>水质造成影响，在基础开挖、回填等过程中产生的噪声、震动等会对</w:t>
            </w:r>
            <w:r>
              <w:rPr>
                <w:rFonts w:hint="eastAsia" w:cs="Times New Roman"/>
                <w:b w:val="0"/>
                <w:bCs w:val="0"/>
                <w:color w:val="auto"/>
                <w:sz w:val="24"/>
                <w:lang w:eastAsia="zh-CN"/>
              </w:rPr>
              <w:t>芝溪河</w:t>
            </w:r>
            <w:r>
              <w:rPr>
                <w:rFonts w:hint="default" w:ascii="Times New Roman" w:hAnsi="Times New Roman" w:cs="Times New Roman"/>
                <w:b w:val="0"/>
                <w:bCs w:val="0"/>
                <w:color w:val="auto"/>
                <w:sz w:val="24"/>
              </w:rPr>
              <w:t>中鱼类造成影响，鱼类会远离本项目所在河段，但不会产生大规模的迁移，同时项目施工结束后会重新回到本项目所在河段，因此，本项目的施工对水生生物影响较小。</w:t>
            </w:r>
          </w:p>
          <w:p>
            <w:pPr>
              <w:adjustRightInd w:val="0"/>
              <w:snapToGrid w:val="0"/>
              <w:spacing w:line="360" w:lineRule="auto"/>
              <w:rPr>
                <w:rFonts w:hint="default" w:ascii="Times New Roman" w:hAnsi="Times New Roman" w:cs="Times New Roman"/>
                <w:b/>
                <w:bCs/>
                <w:color w:val="auto"/>
                <w:sz w:val="24"/>
              </w:rPr>
            </w:pPr>
            <w:r>
              <w:rPr>
                <w:rFonts w:hint="eastAsia" w:cs="Times New Roman"/>
                <w:b/>
                <w:bCs/>
                <w:color w:val="auto"/>
                <w:sz w:val="24"/>
                <w:lang w:val="en-US" w:eastAsia="zh-CN"/>
              </w:rPr>
              <w:t>六、</w:t>
            </w:r>
            <w:r>
              <w:rPr>
                <w:rFonts w:hint="default" w:ascii="Times New Roman" w:hAnsi="Times New Roman" w:eastAsia="宋体" w:cs="Times New Roman"/>
                <w:b/>
                <w:bCs/>
                <w:color w:val="000000"/>
                <w:kern w:val="0"/>
                <w:sz w:val="24"/>
                <w:szCs w:val="24"/>
                <w:lang w:val="en-US" w:eastAsia="zh-CN" w:bidi="ar"/>
              </w:rPr>
              <w:t>施工</w:t>
            </w:r>
            <w:r>
              <w:rPr>
                <w:rFonts w:hint="eastAsia" w:ascii="Times New Roman" w:hAnsi="Times New Roman" w:eastAsia="宋体" w:cs="Times New Roman"/>
                <w:b/>
                <w:bCs/>
                <w:color w:val="000000"/>
                <w:kern w:val="0"/>
                <w:sz w:val="24"/>
                <w:szCs w:val="24"/>
                <w:lang w:val="en-US" w:eastAsia="zh-CN" w:bidi="ar"/>
              </w:rPr>
              <w:t>期</w:t>
            </w:r>
            <w:r>
              <w:rPr>
                <w:rFonts w:hint="default" w:ascii="Times New Roman" w:hAnsi="Times New Roman" w:eastAsia="宋体" w:cs="Times New Roman"/>
                <w:b/>
                <w:bCs/>
                <w:color w:val="000000"/>
                <w:kern w:val="0"/>
                <w:sz w:val="24"/>
                <w:szCs w:val="24"/>
                <w:lang w:val="en-US" w:eastAsia="zh-CN" w:bidi="ar"/>
              </w:rPr>
              <w:t>水土流失</w:t>
            </w:r>
            <w:r>
              <w:rPr>
                <w:rFonts w:hint="eastAsia" w:ascii="Times New Roman" w:hAnsi="Times New Roman" w:eastAsia="宋体" w:cs="Times New Roman"/>
                <w:b/>
                <w:bCs/>
                <w:color w:val="000000"/>
                <w:kern w:val="0"/>
                <w:sz w:val="24"/>
                <w:szCs w:val="24"/>
                <w:lang w:val="en-US" w:eastAsia="zh-CN" w:bidi="ar"/>
              </w:rPr>
              <w:t>防治</w:t>
            </w:r>
            <w:r>
              <w:rPr>
                <w:rFonts w:hint="default" w:ascii="Times New Roman" w:hAnsi="Times New Roman" w:eastAsia="宋体" w:cs="Times New Roman"/>
                <w:b/>
                <w:bCs/>
                <w:color w:val="000000"/>
                <w:kern w:val="0"/>
                <w:sz w:val="24"/>
                <w:szCs w:val="24"/>
                <w:lang w:val="en-US" w:eastAsia="zh-CN" w:bidi="ar"/>
              </w:rPr>
              <w:t>措施</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由项目</w:t>
            </w:r>
            <w:r>
              <w:rPr>
                <w:rFonts w:hint="eastAsia" w:cs="Times New Roman"/>
                <w:color w:val="auto"/>
                <w:sz w:val="24"/>
                <w:lang w:val="en-US" w:eastAsia="zh-CN"/>
              </w:rPr>
              <w:t>设计资料</w:t>
            </w:r>
            <w:r>
              <w:rPr>
                <w:rFonts w:hint="default" w:ascii="Times New Roman" w:hAnsi="Times New Roman" w:cs="Times New Roman"/>
                <w:color w:val="auto"/>
                <w:sz w:val="24"/>
              </w:rPr>
              <w:t>可知，拟采取的水土保持措施如下：</w:t>
            </w:r>
          </w:p>
          <w:p>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临时措施：</w:t>
            </w:r>
            <w:r>
              <w:rPr>
                <w:rFonts w:hint="default" w:ascii="Times New Roman" w:hAnsi="Times New Roman" w:cs="Times New Roman"/>
                <w:color w:val="auto"/>
                <w:sz w:val="24"/>
              </w:rPr>
              <w:t>对施工场地及沿线道路定期清扫，并洒水保持湿润，但需要控制水量防止产生径流。</w:t>
            </w:r>
          </w:p>
          <w:p>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施工管理措施：</w:t>
            </w:r>
            <w:r>
              <w:rPr>
                <w:rFonts w:hint="default" w:ascii="Times New Roman" w:hAnsi="Times New Roman" w:cs="Times New Roman"/>
                <w:color w:val="auto"/>
                <w:sz w:val="24"/>
              </w:rPr>
              <w:t>项目施工应在雨季到来之前做好防护并保持排水设施通畅；控制项目施工周期在枯水期1</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月~次年</w:t>
            </w:r>
            <w:r>
              <w:rPr>
                <w:rFonts w:hint="default" w:ascii="Times New Roman" w:hAnsi="Times New Roman" w:cs="Times New Roman"/>
                <w:color w:val="auto"/>
                <w:sz w:val="24"/>
                <w:lang w:val="en-US" w:eastAsia="zh-CN"/>
              </w:rPr>
              <w:t>3</w:t>
            </w:r>
            <w:r>
              <w:rPr>
                <w:rFonts w:hint="default" w:ascii="Times New Roman" w:hAnsi="Times New Roman" w:cs="Times New Roman"/>
                <w:color w:val="auto"/>
                <w:sz w:val="24"/>
              </w:rPr>
              <w:t>月份，</w:t>
            </w:r>
            <w:r>
              <w:rPr>
                <w:color w:val="auto"/>
                <w:sz w:val="24"/>
              </w:rPr>
              <w:t>开挖料堆存于堤后用于</w:t>
            </w:r>
            <w:r>
              <w:rPr>
                <w:rFonts w:hint="eastAsia"/>
                <w:color w:val="auto"/>
                <w:sz w:val="24"/>
                <w:lang w:val="en-US" w:eastAsia="zh-CN"/>
              </w:rPr>
              <w:t>堤防建设或堤后低洼</w:t>
            </w:r>
            <w:r>
              <w:rPr>
                <w:color w:val="auto"/>
                <w:sz w:val="24"/>
              </w:rPr>
              <w:t>回填，</w:t>
            </w:r>
            <w:r>
              <w:rPr>
                <w:rFonts w:hint="default" w:ascii="Times New Roman" w:hAnsi="Times New Roman" w:cs="Times New Roman"/>
                <w:color w:val="auto"/>
                <w:sz w:val="24"/>
              </w:rPr>
              <w:t>尽可能减少石方临时堆放的裸露时间并及时回填，避免堆体垮塌或被降雨冲入临近的河道。</w:t>
            </w:r>
          </w:p>
          <w:p>
            <w:pPr>
              <w:adjustRightInd w:val="0"/>
              <w:snapToGrid w:val="0"/>
              <w:spacing w:line="360" w:lineRule="auto"/>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七</w:t>
            </w:r>
            <w:r>
              <w:rPr>
                <w:rFonts w:hint="default" w:ascii="Times New Roman" w:hAnsi="Times New Roman" w:cs="Times New Roman"/>
                <w:b/>
                <w:bCs/>
                <w:color w:val="auto"/>
                <w:sz w:val="24"/>
                <w:lang w:val="en-US" w:eastAsia="zh-CN"/>
              </w:rPr>
              <w:t>、环境风险防范措施</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针对项目环境风险，本环评提出以下环境风险防范措施及应急要求：</w:t>
            </w:r>
          </w:p>
          <w:p>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管理措施：</w:t>
            </w:r>
            <w:r>
              <w:rPr>
                <w:rFonts w:hint="default" w:ascii="Times New Roman" w:hAnsi="Times New Roman" w:cs="Times New Roman"/>
                <w:color w:val="auto"/>
                <w:sz w:val="24"/>
              </w:rPr>
              <w:t>成立环境风险事故领导小组，派专人对施工现场和沿线道路进行清扫，从源头上控制施工车辆油料泄漏可能带来的不良影响；定期检查和维护施工设备和运输车辆，使其维持良好的工作状态；敦促施工人员严格按照交通规则行驶并注意文明行车，减小事故几率；加强施工质量和进度管理，严格按照既定的施工要求、施工进度及施工范围内进行施工，确保在枯水期进行施工。</w:t>
            </w:r>
          </w:p>
          <w:p>
            <w:pPr>
              <w:adjustRightInd w:val="0"/>
              <w:snapToGrid w:val="0"/>
              <w:spacing w:line="360" w:lineRule="auto"/>
              <w:ind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工程措施：</w:t>
            </w:r>
            <w:r>
              <w:rPr>
                <w:rFonts w:hint="default" w:ascii="Times New Roman" w:hAnsi="Times New Roman" w:cs="Times New Roman"/>
                <w:color w:val="auto"/>
                <w:sz w:val="24"/>
              </w:rPr>
              <w:t>做好施工场地检查工作，保持排水通畅。施工场地和石方运输线路沿线等设置明显标志，提醒司机注意行车安全。</w:t>
            </w:r>
          </w:p>
          <w:p>
            <w:pPr>
              <w:adjustRightInd w:val="0"/>
              <w:snapToGrid w:val="0"/>
              <w:spacing w:line="360" w:lineRule="auto"/>
              <w:ind w:firstLine="482" w:firstLineChars="200"/>
              <w:rPr>
                <w:rFonts w:hint="default" w:ascii="Times New Roman" w:hAnsi="Times New Roman" w:cs="Times New Roman"/>
                <w:color w:val="auto"/>
                <w:sz w:val="24"/>
                <w:lang w:eastAsia="zh-CN"/>
              </w:rPr>
            </w:pPr>
            <w:r>
              <w:rPr>
                <w:rFonts w:hint="default" w:ascii="Times New Roman" w:hAnsi="Times New Roman" w:cs="Times New Roman"/>
                <w:b/>
                <w:bCs/>
                <w:color w:val="auto"/>
                <w:sz w:val="24"/>
              </w:rPr>
              <w:t>应急措施：</w:t>
            </w:r>
            <w:r>
              <w:rPr>
                <w:rFonts w:hint="default" w:ascii="Times New Roman" w:hAnsi="Times New Roman" w:cs="Times New Roman"/>
                <w:color w:val="auto"/>
                <w:sz w:val="24"/>
              </w:rPr>
              <w:t>施工车辆油料泄漏后应及时组织人员将该部分沙土铲除并收集至专用容器中交有资质单位处置，如油料泄露点位于周边道路，则用沙土覆盖其表面，待其充分被吸收后在用专用容器收集交资质单位处置，从而避免泄露的油料随雨水等带入周边水体</w:t>
            </w:r>
            <w:r>
              <w:rPr>
                <w:rFonts w:hint="eastAsia"/>
                <w:color w:val="auto"/>
                <w:sz w:val="24"/>
                <w:lang w:eastAsia="zh-CN"/>
              </w:rPr>
              <w:t>，</w:t>
            </w:r>
            <w:r>
              <w:rPr>
                <w:rFonts w:hint="eastAsia"/>
                <w:color w:val="auto"/>
                <w:sz w:val="24"/>
                <w:lang w:val="en-US" w:eastAsia="zh-CN"/>
              </w:rPr>
              <w:t>从而影响周边生态环境</w:t>
            </w:r>
            <w:r>
              <w:rPr>
                <w:color w:val="auto"/>
                <w:sz w:val="24"/>
              </w:rPr>
              <w:t>；</w:t>
            </w:r>
            <w:r>
              <w:rPr>
                <w:rFonts w:hint="default" w:ascii="Times New Roman" w:hAnsi="Times New Roman" w:cs="Times New Roman"/>
                <w:color w:val="auto"/>
                <w:sz w:val="24"/>
              </w:rPr>
              <w:t>同时制订污染物泄漏风险事故应急预案，预案应包括应急事故组织机构、应急救援队伍、应急设施及物质的配备、应急报警系统、应急处理措施、应急培训计划等内容；施工场所应张贴应急报警电话。本项目安排在枯水期施工，在洪水主汛期来临之前完成，但考虑到工程区经常发生泥石流，现场施工单位及业主部门应密切关注上游来水，做好预警工作</w:t>
            </w:r>
            <w:r>
              <w:rPr>
                <w:rFonts w:hint="default" w:ascii="Times New Roman" w:hAnsi="Times New Roman" w:cs="Times New Roman"/>
                <w:color w:val="auto"/>
                <w:sz w:val="24"/>
                <w:lang w:eastAsia="zh-CN"/>
              </w:rPr>
              <w:t>。</w:t>
            </w:r>
          </w:p>
          <w:p>
            <w:pPr>
              <w:adjustRightInd w:val="0"/>
              <w:snapToGrid w:val="0"/>
              <w:spacing w:line="360" w:lineRule="auto"/>
              <w:rPr>
                <w:rFonts w:hint="default"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八</w:t>
            </w:r>
            <w:r>
              <w:rPr>
                <w:rFonts w:hint="default" w:ascii="Times New Roman" w:hAnsi="Times New Roman" w:cs="Times New Roman"/>
                <w:b/>
                <w:bCs/>
                <w:color w:val="auto"/>
                <w:sz w:val="24"/>
                <w:lang w:val="en-US" w:eastAsia="zh-CN"/>
              </w:rPr>
              <w:t>、施工期环境管理</w:t>
            </w:r>
            <w:r>
              <w:rPr>
                <w:rFonts w:hint="eastAsia" w:cs="Times New Roman"/>
                <w:b/>
                <w:bCs/>
                <w:color w:val="auto"/>
                <w:sz w:val="24"/>
                <w:lang w:val="en-US" w:eastAsia="zh-CN"/>
              </w:rPr>
              <w:t>与监测计划</w:t>
            </w:r>
          </w:p>
          <w:p>
            <w:pPr>
              <w:adjustRightInd w:val="0"/>
              <w:snapToGrid w:val="0"/>
              <w:spacing w:line="360" w:lineRule="auto"/>
              <w:ind w:firstLine="482" w:firstLineChars="200"/>
              <w:rPr>
                <w:rFonts w:hint="eastAsia" w:cs="Times New Roman"/>
                <w:b/>
                <w:bCs/>
                <w:color w:val="auto"/>
                <w:sz w:val="24"/>
                <w:lang w:val="en-US" w:eastAsia="zh-CN"/>
              </w:rPr>
            </w:pPr>
            <w:r>
              <w:rPr>
                <w:rFonts w:hint="eastAsia" w:cs="Times New Roman"/>
                <w:b/>
                <w:bCs/>
                <w:color w:val="auto"/>
                <w:sz w:val="24"/>
                <w:lang w:val="en-US" w:eastAsia="zh-CN"/>
              </w:rPr>
              <w:t>1、环境管理</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环境管理是指运用经济、法律、技术、行政、教育等手段使经济发展和环境保护得到协调发展。为此应明确本建设项目环境管理监督机构的指导和监督，使本项目的环境管理得到有效实施。</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（1）管理机构</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的主要环境影响来自施工期，因此建设单位应尽快设立专职的环境管理机构，对施工期实行监督管理。该机构由建设单位负责组建并直接领导，由建设单位该项目的负责人负责项目的环境管理，并接受有关生态环境行政主管单位的指导和监督。</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（2）施工期环境管理措施</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施工中的环境管理应着重于施工场所的现场检查和监督。应采取日常的、全面的检查和终点监督检查相结合，编制好重点监督检查工作的计划。</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监督检查重点：一是防止植被破坏和水土流失，二是防治施工中的水、气、声、固废污染。</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监督检查时间：施工高峰期。</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监督检查内容：施工单位是否按要求实施了有关的生态保护以及水、气、声、固等污染控制措施。</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监督检查要求：所有的检查计划、检查情况和处理情况都应有现场文字记录，并应及时通报给各有关部门。记录应定期汇总、归档，以便验收时备查。</w:t>
            </w:r>
          </w:p>
          <w:p>
            <w:pPr>
              <w:widowControl/>
              <w:numPr>
                <w:ilvl w:val="0"/>
                <w:numId w:val="17"/>
              </w:numPr>
              <w:adjustRightInd w:val="0"/>
              <w:snapToGrid w:val="0"/>
              <w:ind w:left="425" w:leftChars="0" w:hanging="425"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施工期环境</w:t>
            </w:r>
            <w:r>
              <w:rPr>
                <w:rFonts w:hint="eastAsia" w:cs="Times New Roman"/>
                <w:b/>
                <w:bCs/>
                <w:color w:val="auto"/>
                <w:szCs w:val="21"/>
                <w:lang w:val="en-US" w:eastAsia="zh-CN"/>
              </w:rPr>
              <w:t>管理</w:t>
            </w:r>
            <w:r>
              <w:rPr>
                <w:rFonts w:hint="default" w:ascii="Times New Roman" w:hAnsi="Times New Roman" w:cs="Times New Roman"/>
                <w:b/>
                <w:bCs/>
                <w:color w:val="auto"/>
                <w:szCs w:val="21"/>
              </w:rPr>
              <w:t>计划一览表</w:t>
            </w:r>
          </w:p>
          <w:tbl>
            <w:tblPr>
              <w:tblStyle w:val="37"/>
              <w:tblW w:w="82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7"/>
              <w:gridCol w:w="750"/>
              <w:gridCol w:w="6276"/>
              <w:gridCol w:w="7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7" w:type="dxa"/>
                  <w:vAlign w:val="center"/>
                </w:tcPr>
                <w:p>
                  <w:pPr>
                    <w:jc w:val="center"/>
                    <w:rPr>
                      <w:rFonts w:hint="eastAsia" w:ascii="Times New Roman" w:hAnsi="Times New Roman" w:eastAsia="宋体" w:cs="Times New Roman"/>
                      <w:b/>
                      <w:bCs/>
                      <w:color w:val="auto"/>
                      <w:szCs w:val="21"/>
                      <w:lang w:val="zh-CN" w:eastAsia="zh-CN"/>
                    </w:rPr>
                  </w:pPr>
                  <w:r>
                    <w:rPr>
                      <w:rFonts w:hint="eastAsia" w:cs="Times New Roman"/>
                      <w:b/>
                      <w:bCs/>
                      <w:color w:val="auto"/>
                      <w:szCs w:val="21"/>
                      <w:lang w:val="en-US" w:eastAsia="zh-CN"/>
                    </w:rPr>
                    <w:t>序号</w:t>
                  </w:r>
                </w:p>
              </w:tc>
              <w:tc>
                <w:tcPr>
                  <w:tcW w:w="750" w:type="dxa"/>
                  <w:vAlign w:val="center"/>
                </w:tcPr>
                <w:p>
                  <w:pPr>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环境管理</w:t>
                  </w:r>
                </w:p>
              </w:tc>
              <w:tc>
                <w:tcPr>
                  <w:tcW w:w="6276" w:type="dxa"/>
                  <w:vAlign w:val="center"/>
                </w:tcPr>
                <w:p>
                  <w:pPr>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管理内容</w:t>
                  </w:r>
                </w:p>
              </w:tc>
              <w:tc>
                <w:tcPr>
                  <w:tcW w:w="725" w:type="dxa"/>
                  <w:vAlign w:val="center"/>
                </w:tcPr>
                <w:p>
                  <w:pPr>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管理机构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7" w:type="dxa"/>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750"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大气环境</w:t>
                  </w:r>
                </w:p>
              </w:tc>
              <w:tc>
                <w:tcPr>
                  <w:tcW w:w="6276" w:type="dxa"/>
                  <w:vAlign w:val="center"/>
                </w:tcPr>
                <w:p>
                  <w:pPr>
                    <w:keepNext w:val="0"/>
                    <w:keepLines w:val="0"/>
                    <w:widowControl/>
                    <w:suppressLineNumbers w:val="0"/>
                    <w:jc w:val="left"/>
                    <w:rPr>
                      <w:rFonts w:hint="default" w:ascii="Times New Roman" w:hAnsi="Times New Roman" w:eastAsia="宋体" w:cs="Times New Roman"/>
                      <w:color w:val="auto"/>
                      <w:sz w:val="21"/>
                      <w:szCs w:val="21"/>
                      <w:lang w:val="zh-CN"/>
                    </w:rPr>
                  </w:pPr>
                  <w:r>
                    <w:rPr>
                      <w:rFonts w:hint="default" w:cs="Times New Roman"/>
                      <w:color w:val="auto"/>
                      <w:szCs w:val="21"/>
                      <w:lang w:val="en-US" w:eastAsia="zh-CN"/>
                    </w:rPr>
                    <w:t>在靠近敏感点的施工区域，加强洒水次数；物料运输车辆、物料堆放加盖篷布；运输拆迁建筑垃圾和工程弃渣的车辆在施工现场应限定车速；物料堆场采取围挡、覆盖等措施。</w:t>
                  </w:r>
                </w:p>
              </w:tc>
              <w:tc>
                <w:tcPr>
                  <w:tcW w:w="725" w:type="dxa"/>
                  <w:vMerge w:val="restart"/>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建设单位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7" w:type="dxa"/>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750"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水环境</w:t>
                  </w:r>
                </w:p>
              </w:tc>
              <w:tc>
                <w:tcPr>
                  <w:tcW w:w="6276" w:type="dxa"/>
                  <w:vAlign w:val="center"/>
                </w:tcPr>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开展水环境保护教育，加强施工管理，施工工区修建1座隔油沉淀池（10m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施工机械、车辆冲洗废水经隔油沉淀池处理后回用，不外排；施工沿线修建沉砂池、设置排水沟，将基坑排水沉淀处理后全部回用于喷淋降尘；生活污水依托就近居民已建污水处理设施进行处理，处理后用作农肥，不外排。</w:t>
                  </w:r>
                </w:p>
              </w:tc>
              <w:tc>
                <w:tcPr>
                  <w:tcW w:w="725" w:type="dxa"/>
                  <w:vMerge w:val="continue"/>
                  <w:vAlign w:val="center"/>
                </w:tcPr>
                <w:p>
                  <w:pPr>
                    <w:jc w:val="center"/>
                    <w:rPr>
                      <w:rFonts w:hint="default" w:ascii="Times New Roman" w:hAnsi="Times New Roman" w:cs="Times New Roman"/>
                      <w:color w:val="auto"/>
                      <w:szCs w:val="21"/>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7" w:type="dxa"/>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750" w:type="dxa"/>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声环境</w:t>
                  </w:r>
                </w:p>
              </w:tc>
              <w:tc>
                <w:tcPr>
                  <w:tcW w:w="6276" w:type="dxa"/>
                  <w:vAlign w:val="center"/>
                </w:tcPr>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使用低噪声设备，使机械维持最低声级水平；合理安排施工时序，禁止高噪声机械在夜间（22：00～翌日6：00）施工作业；合理安排施工物料运输时间，在途经村镇、学校等敏感路段时，应减速行驶，禁止鸣笛；施工场地外缘设置临时挡板，高噪声设备采用封闭作业的方式减少对敏感点的影响；对施工人员采取防护措施，保护工人人身安全。</w:t>
                  </w:r>
                </w:p>
              </w:tc>
              <w:tc>
                <w:tcPr>
                  <w:tcW w:w="725" w:type="dxa"/>
                  <w:vMerge w:val="continue"/>
                  <w:vAlign w:val="center"/>
                </w:tcPr>
                <w:p>
                  <w:pPr>
                    <w:jc w:val="center"/>
                    <w:rPr>
                      <w:rFonts w:hint="default" w:ascii="Times New Roman" w:hAnsi="Times New Roman" w:eastAsia="宋体" w:cs="Times New Roman"/>
                      <w:color w:val="auto"/>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7" w:type="dxa"/>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750" w:type="dxa"/>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固体废物</w:t>
                  </w:r>
                </w:p>
              </w:tc>
              <w:tc>
                <w:tcPr>
                  <w:tcW w:w="6276" w:type="dxa"/>
                  <w:vAlign w:val="center"/>
                </w:tcPr>
                <w:p>
                  <w:pPr>
                    <w:keepNext w:val="0"/>
                    <w:keepLines w:val="0"/>
                    <w:widowControl/>
                    <w:suppressLineNumbers w:val="0"/>
                    <w:jc w:val="left"/>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kern w:val="0"/>
                      <w:sz w:val="21"/>
                      <w:szCs w:val="21"/>
                      <w:lang w:val="en-US" w:eastAsia="zh-CN" w:bidi="ar"/>
                    </w:rPr>
                    <w:t>施工工区设置生活垃圾堆场来统一收集和堆放生活垃圾，由环卫部门统一清运。建材废料和建筑垃圾能循环利用，不能循环利用的运送至指定建筑垃圾堆放场。开挖土石方部分回填堤基，剩余土石方用于堤后低洼部分回填，土石方临时堆场过程做好水土保持措施。</w:t>
                  </w:r>
                </w:p>
              </w:tc>
              <w:tc>
                <w:tcPr>
                  <w:tcW w:w="725" w:type="dxa"/>
                  <w:vMerge w:val="continue"/>
                  <w:vAlign w:val="center"/>
                </w:tcPr>
                <w:p>
                  <w:pPr>
                    <w:jc w:val="center"/>
                    <w:rPr>
                      <w:rFonts w:hint="default" w:ascii="Times New Roman" w:hAnsi="Times New Roman" w:cs="Times New Roman"/>
                      <w:color w:val="auto"/>
                      <w:szCs w:val="21"/>
                    </w:rPr>
                  </w:pP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42" w:firstLineChars="200"/>
              <w:textAlignment w:val="auto"/>
              <w:rPr>
                <w:rFonts w:hint="default" w:ascii="Times New Roman" w:hAnsi="Times New Roman" w:cs="Times New Roman"/>
                <w:b/>
                <w:color w:val="auto"/>
                <w:spacing w:val="-10"/>
                <w:sz w:val="24"/>
              </w:rPr>
            </w:pPr>
            <w:r>
              <w:rPr>
                <w:rFonts w:hint="eastAsia" w:cs="Times New Roman"/>
                <w:b/>
                <w:color w:val="auto"/>
                <w:spacing w:val="-10"/>
                <w:sz w:val="24"/>
                <w:lang w:val="en-US" w:eastAsia="zh-CN"/>
              </w:rPr>
              <w:t>2、</w:t>
            </w:r>
            <w:r>
              <w:rPr>
                <w:rFonts w:hint="default" w:ascii="Times New Roman" w:hAnsi="Times New Roman" w:cs="Times New Roman"/>
                <w:b/>
                <w:color w:val="auto"/>
                <w:spacing w:val="-10"/>
                <w:sz w:val="24"/>
              </w:rPr>
              <w:t>环境监测计划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）环境监测目的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环境监测是企业搞好环境管理，促进污染治理设施正常运行的主要保障。通过定期的环境监测，了解邻近地区的环境质量状况，可以及时发现问题、解决问题，从而有利于监督各项环保措施的落实，并根据监测结果适时调整环境保护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）环境监测机构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建议本项目施工期的环境监测工作委托有资质的环境监测机构承担。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）监测项目及监测计划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000000"/>
                <w:kern w:val="0"/>
                <w:sz w:val="24"/>
                <w:szCs w:val="24"/>
                <w:lang w:val="en-US" w:eastAsia="zh-CN" w:bidi="ar"/>
              </w:rPr>
              <w:t>环评提出</w:t>
            </w:r>
            <w:r>
              <w:rPr>
                <w:rFonts w:hint="eastAsia" w:ascii="宋体" w:hAnsi="宋体" w:eastAsia="宋体" w:cs="宋体"/>
                <w:color w:val="auto"/>
                <w:kern w:val="0"/>
                <w:sz w:val="24"/>
                <w:szCs w:val="24"/>
                <w:lang w:val="en-US" w:eastAsia="zh-CN" w:bidi="ar"/>
              </w:rPr>
              <w:t>施工期应对项目污染进行监测，本项目监测计划见下表。</w:t>
            </w:r>
          </w:p>
          <w:p>
            <w:pPr>
              <w:widowControl/>
              <w:numPr>
                <w:ilvl w:val="0"/>
                <w:numId w:val="17"/>
              </w:numPr>
              <w:adjustRightInd w:val="0"/>
              <w:snapToGrid w:val="0"/>
              <w:ind w:left="425" w:leftChars="0" w:hanging="425"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施工期环境监测计划一览表</w:t>
            </w:r>
          </w:p>
          <w:tbl>
            <w:tblPr>
              <w:tblStyle w:val="37"/>
              <w:tblW w:w="82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585"/>
              <w:gridCol w:w="2010"/>
              <w:gridCol w:w="1290"/>
              <w:gridCol w:w="16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Cs w:val="21"/>
                      <w:lang w:val="zh-CN" w:eastAsia="zh-CN"/>
                    </w:rPr>
                  </w:pPr>
                  <w:r>
                    <w:rPr>
                      <w:rFonts w:hint="eastAsia" w:cs="Times New Roman"/>
                      <w:b/>
                      <w:bCs/>
                      <w:color w:val="auto"/>
                      <w:szCs w:val="21"/>
                      <w:lang w:val="en-US" w:eastAsia="zh-CN"/>
                    </w:rPr>
                    <w:t>类型</w:t>
                  </w:r>
                </w:p>
              </w:tc>
              <w:tc>
                <w:tcPr>
                  <w:tcW w:w="258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监测点位</w:t>
                  </w:r>
                </w:p>
              </w:tc>
              <w:tc>
                <w:tcPr>
                  <w:tcW w:w="201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监测指标</w:t>
                  </w:r>
                </w:p>
              </w:tc>
              <w:tc>
                <w:tcPr>
                  <w:tcW w:w="129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b/>
                      <w:bCs/>
                      <w:color w:val="auto"/>
                      <w:szCs w:val="21"/>
                      <w:lang w:val="en-US" w:eastAsia="zh-CN"/>
                    </w:rPr>
                  </w:pPr>
                  <w:r>
                    <w:rPr>
                      <w:rFonts w:hint="eastAsia" w:cs="Times New Roman"/>
                      <w:b/>
                      <w:bCs/>
                      <w:color w:val="auto"/>
                      <w:szCs w:val="21"/>
                      <w:lang w:val="en-US" w:eastAsia="zh-CN"/>
                    </w:rPr>
                    <w:t>监测频次</w:t>
                  </w:r>
                </w:p>
              </w:tc>
              <w:tc>
                <w:tcPr>
                  <w:tcW w:w="161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auto"/>
                      <w:szCs w:val="21"/>
                      <w:lang w:val="en-US" w:eastAsia="zh-CN"/>
                    </w:rPr>
                  </w:pPr>
                  <w:r>
                    <w:rPr>
                      <w:rFonts w:hint="eastAsia" w:cs="Times New Roman"/>
                      <w:b/>
                      <w:bCs/>
                      <w:color w:val="auto"/>
                      <w:szCs w:val="21"/>
                      <w:lang w:val="en-US" w:eastAsia="zh-CN"/>
                    </w:rPr>
                    <w:t>实施机构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废水</w:t>
                  </w:r>
                </w:p>
              </w:tc>
              <w:tc>
                <w:tcPr>
                  <w:tcW w:w="258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zh-CN"/>
                    </w:rPr>
                  </w:pPr>
                  <w:r>
                    <w:rPr>
                      <w:rFonts w:hint="eastAsia" w:cs="Times New Roman"/>
                      <w:color w:val="auto"/>
                      <w:szCs w:val="21"/>
                      <w:lang w:val="en-US" w:eastAsia="zh-CN"/>
                    </w:rPr>
                    <w:t>施工区下游500m</w:t>
                  </w:r>
                </w:p>
              </w:tc>
              <w:tc>
                <w:tcPr>
                  <w:tcW w:w="201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COD、石油类、SS、BOD</w:t>
                  </w:r>
                  <w:r>
                    <w:rPr>
                      <w:rFonts w:hint="eastAsia" w:cs="Times New Roman"/>
                      <w:color w:val="auto"/>
                      <w:szCs w:val="21"/>
                      <w:vertAlign w:val="subscript"/>
                      <w:lang w:val="en-US" w:eastAsia="zh-CN"/>
                    </w:rPr>
                    <w:t>5</w:t>
                  </w:r>
                </w:p>
              </w:tc>
              <w:tc>
                <w:tcPr>
                  <w:tcW w:w="129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Cs w:val="21"/>
                      <w:lang w:val="en-US" w:eastAsia="zh-CN"/>
                    </w:rPr>
                  </w:pPr>
                  <w:r>
                    <w:rPr>
                      <w:rFonts w:hint="eastAsia" w:cs="Times New Roman"/>
                      <w:color w:val="auto"/>
                      <w:szCs w:val="21"/>
                      <w:lang w:val="en-US" w:eastAsia="zh-CN"/>
                    </w:rPr>
                    <w:t>每月1次</w:t>
                  </w:r>
                </w:p>
              </w:tc>
              <w:tc>
                <w:tcPr>
                  <w:tcW w:w="1616"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Cs w:val="21"/>
                      <w:lang w:val="en-US" w:eastAsia="zh-CN"/>
                    </w:rPr>
                  </w:pPr>
                  <w:r>
                    <w:rPr>
                      <w:rFonts w:hint="eastAsia" w:cs="Times New Roman"/>
                      <w:color w:val="auto"/>
                      <w:szCs w:val="21"/>
                      <w:lang w:val="en-US" w:eastAsia="zh-CN"/>
                    </w:rPr>
                    <w:t>建设单位委托有资质单位进行监测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废气</w:t>
                  </w:r>
                </w:p>
              </w:tc>
              <w:tc>
                <w:tcPr>
                  <w:tcW w:w="258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施工作业区附近居民点</w:t>
                  </w:r>
                </w:p>
              </w:tc>
              <w:tc>
                <w:tcPr>
                  <w:tcW w:w="201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颗粒物</w:t>
                  </w:r>
                </w:p>
              </w:tc>
              <w:tc>
                <w:tcPr>
                  <w:tcW w:w="129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每月1次</w:t>
                  </w:r>
                </w:p>
              </w:tc>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zh-CN"/>
                    </w:rPr>
                  </w:pPr>
                  <w:r>
                    <w:rPr>
                      <w:rFonts w:hint="eastAsia" w:cs="Times New Roman"/>
                      <w:color w:val="auto"/>
                      <w:szCs w:val="21"/>
                      <w:lang w:val="en-US" w:eastAsia="zh-CN"/>
                    </w:rPr>
                    <w:t>噪声</w:t>
                  </w:r>
                </w:p>
              </w:tc>
              <w:tc>
                <w:tcPr>
                  <w:tcW w:w="2585"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lang w:val="zh-CN"/>
                    </w:rPr>
                  </w:pPr>
                  <w:r>
                    <w:rPr>
                      <w:rFonts w:hint="eastAsia" w:cs="Times New Roman"/>
                      <w:color w:val="auto"/>
                      <w:szCs w:val="21"/>
                      <w:lang w:val="en-US" w:eastAsia="zh-CN"/>
                    </w:rPr>
                    <w:t>施工作业区附近居民点</w:t>
                  </w:r>
                </w:p>
              </w:tc>
              <w:tc>
                <w:tcPr>
                  <w:tcW w:w="201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噪声</w:t>
                  </w:r>
                </w:p>
              </w:tc>
              <w:tc>
                <w:tcPr>
                  <w:tcW w:w="1290"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eastAsia" w:cs="Times New Roman"/>
                      <w:color w:val="auto"/>
                      <w:szCs w:val="21"/>
                      <w:lang w:val="en-US" w:eastAsia="zh-CN"/>
                    </w:rPr>
                    <w:t>每月1次</w:t>
                  </w:r>
                </w:p>
              </w:tc>
              <w:tc>
                <w:tcPr>
                  <w:tcW w:w="1616"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lang w:val="en-US" w:eastAsia="zh-CN"/>
                    </w:rPr>
                  </w:pPr>
                </w:p>
              </w:tc>
            </w:tr>
          </w:tbl>
          <w:p>
            <w:pPr>
              <w:numPr>
                <w:ilvl w:val="0"/>
                <w:numId w:val="0"/>
              </w:numPr>
              <w:adjustRightInd w:val="0"/>
              <w:snapToGrid w:val="0"/>
              <w:spacing w:line="360" w:lineRule="auto"/>
              <w:ind w:leftChars="0" w:firstLine="420" w:firstLineChars="200"/>
              <w:rPr>
                <w:rFonts w:hint="default" w:ascii="Times New Roman" w:hAnsi="Times New Roman" w:cs="Times New Roman"/>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8" w:hRule="atLeast"/>
          <w:jc w:val="center"/>
        </w:trPr>
        <w:tc>
          <w:tcPr>
            <w:tcW w:w="753" w:type="dxa"/>
            <w:tcMar>
              <w:left w:w="28" w:type="dxa"/>
              <w:right w:w="28" w:type="dxa"/>
            </w:tcMar>
            <w:vAlign w:val="center"/>
          </w:tcPr>
          <w:p>
            <w:pPr>
              <w:adjustRightInd w:val="0"/>
              <w:snapToGrid w:val="0"/>
              <w:jc w:val="center"/>
              <w:rPr>
                <w:rFonts w:hint="default" w:ascii="Times New Roman" w:hAnsi="Times New Roman" w:cs="Times New Roman"/>
                <w:bCs/>
                <w:color w:val="auto"/>
                <w:spacing w:val="10"/>
                <w:sz w:val="24"/>
              </w:rPr>
            </w:pPr>
            <w:r>
              <w:rPr>
                <w:rFonts w:hint="default" w:ascii="Times New Roman" w:hAnsi="Times New Roman" w:cs="Times New Roman"/>
                <w:bCs/>
                <w:color w:val="auto"/>
                <w:spacing w:val="10"/>
                <w:sz w:val="24"/>
              </w:rPr>
              <w:t>运营期生态环境保护措施</w:t>
            </w:r>
          </w:p>
        </w:tc>
        <w:tc>
          <w:tcPr>
            <w:tcW w:w="8457" w:type="dxa"/>
            <w:vAlign w:val="center"/>
          </w:tcPr>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本项目为堤防建设工程，属生态影响型项目，运营期不产生污染物。环评建议在项目营运期加强环境管理工作：</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（1）加强环保宣教工作，并在项目段河段设置警示牌；</w:t>
            </w:r>
          </w:p>
          <w:p>
            <w:pPr>
              <w:adjustRightInd w:val="0"/>
              <w:snapToGrid w:val="0"/>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（2）加强项目沿线植被建设和养护，以补偿由于项目建成造成生态系统功能的损失，同时保持与周边景观的协调性，达到较好的景观效果</w:t>
            </w:r>
            <w:r>
              <w:rPr>
                <w:rFonts w:hint="default" w:ascii="Times New Roman" w:hAnsi="Times New Roman" w:eastAsia="宋体" w:cs="Times New Roman"/>
                <w:color w:val="auto"/>
                <w:sz w:val="24"/>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加强制度建设。建立野生动植物保护、环境保护、野外用火等管理责任制度，明确职责，用制度管理工作人员，以确保风景区内的自然环境不被污染，野生动物不被偷猎，野生植物不遭破坏，森林火灾不发生。</w:t>
            </w:r>
          </w:p>
          <w:p>
            <w:pPr>
              <w:adjustRightInd w:val="0"/>
              <w:snapToGrid w:val="0"/>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（4）加强检疫防疫工作。根据</w:t>
            </w:r>
            <w:r>
              <w:rPr>
                <w:rFonts w:hint="default" w:ascii="Times New Roman" w:hAnsi="Times New Roman" w:eastAsia="宋体" w:cs="Times New Roman"/>
                <w:color w:val="auto"/>
                <w:sz w:val="24"/>
                <w:lang w:val="en-US" w:eastAsia="zh-CN"/>
              </w:rPr>
              <w:t>保护</w:t>
            </w:r>
            <w:r>
              <w:rPr>
                <w:rFonts w:hint="default" w:ascii="Times New Roman" w:hAnsi="Times New Roman" w:eastAsia="宋体" w:cs="Times New Roman"/>
                <w:color w:val="auto"/>
                <w:sz w:val="24"/>
              </w:rPr>
              <w:t>区有害生物的种类和发生、传播规律及危害程度，加强项目区林业有害生物的预防和控制，加强对建筑包装材料的检疫工作，强化</w:t>
            </w:r>
            <w:r>
              <w:rPr>
                <w:rFonts w:hint="default" w:ascii="Times New Roman" w:hAnsi="Times New Roman" w:eastAsia="宋体" w:cs="Times New Roman"/>
                <w:color w:val="auto"/>
                <w:sz w:val="24"/>
                <w:lang w:val="en-US" w:eastAsia="zh-CN"/>
              </w:rPr>
              <w:t>保护</w:t>
            </w:r>
            <w:r>
              <w:rPr>
                <w:rFonts w:hint="default" w:ascii="Times New Roman" w:hAnsi="Times New Roman" w:eastAsia="宋体" w:cs="Times New Roman"/>
                <w:color w:val="auto"/>
                <w:sz w:val="24"/>
              </w:rPr>
              <w:t>区森林资源及其附近森林资源保护，确保生态和国土资源安全。</w:t>
            </w:r>
          </w:p>
          <w:p>
            <w:pPr>
              <w:adjustRightInd w:val="0"/>
              <w:snapToGrid w:val="0"/>
              <w:spacing w:line="360" w:lineRule="auto"/>
              <w:ind w:firstLine="480" w:firstLineChars="200"/>
              <w:rPr>
                <w:rFonts w:hint="default" w:ascii="Times New Roman" w:hAnsi="Times New Roman" w:cs="Times New Roman"/>
                <w:color w:val="auto"/>
                <w:kern w:val="0"/>
              </w:rPr>
            </w:pPr>
            <w:r>
              <w:rPr>
                <w:rFonts w:hint="eastAsia"/>
                <w:color w:val="auto"/>
                <w:sz w:val="24"/>
                <w:lang w:eastAsia="zh-CN"/>
              </w:rPr>
              <w:t>（</w:t>
            </w:r>
            <w:r>
              <w:rPr>
                <w:rFonts w:hint="eastAsia"/>
                <w:color w:val="auto"/>
                <w:sz w:val="24"/>
                <w:lang w:val="en-US" w:eastAsia="zh-CN"/>
              </w:rPr>
              <w:t>5</w:t>
            </w:r>
            <w:r>
              <w:rPr>
                <w:rFonts w:hint="eastAsia"/>
                <w:color w:val="auto"/>
                <w:sz w:val="24"/>
                <w:lang w:eastAsia="zh-CN"/>
              </w:rPr>
              <w:t>）</w:t>
            </w:r>
            <w:r>
              <w:rPr>
                <w:rFonts w:hint="eastAsia"/>
                <w:color w:val="auto"/>
                <w:sz w:val="24"/>
                <w:lang w:val="en-US" w:eastAsia="zh-CN"/>
              </w:rPr>
              <w:t>加强堤防构筑物完整性巡查，避免堤防损坏造成管涌、流土、溃堤等环境风险</w:t>
            </w:r>
            <w:r>
              <w:rPr>
                <w:color w:val="auto"/>
                <w:sz w:val="24"/>
              </w:rPr>
              <w:t>。</w:t>
            </w:r>
            <w:r>
              <w:rPr>
                <w:rFonts w:hint="eastAsia"/>
                <w:color w:val="auto"/>
                <w:sz w:val="24"/>
                <w:lang w:val="en-US" w:eastAsia="zh-CN"/>
              </w:rPr>
              <w:t>发生山洪、泥石流、山体滑坡或超标准洪水等自然灾害后，及时检查工程损坏性，尽快完成堤防修复，以避免造成更大环境风险。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3" w:hRule="atLeast"/>
          <w:jc w:val="center"/>
        </w:trPr>
        <w:tc>
          <w:tcPr>
            <w:tcW w:w="753" w:type="dxa"/>
            <w:vAlign w:val="center"/>
          </w:tcPr>
          <w:p>
            <w:pPr>
              <w:adjustRightInd w:val="0"/>
              <w:snapToGrid w:val="0"/>
              <w:jc w:val="center"/>
              <w:rPr>
                <w:rFonts w:hint="default" w:ascii="Times New Roman" w:hAnsi="Times New Roman" w:cs="Times New Roman"/>
                <w:bCs/>
                <w:color w:val="auto"/>
                <w:spacing w:val="10"/>
                <w:sz w:val="24"/>
              </w:rPr>
            </w:pPr>
            <w:r>
              <w:rPr>
                <w:rFonts w:hint="default" w:ascii="Times New Roman" w:hAnsi="Times New Roman" w:cs="Times New Roman"/>
                <w:bCs/>
                <w:color w:val="auto"/>
                <w:sz w:val="24"/>
              </w:rPr>
              <w:t>其他</w:t>
            </w:r>
          </w:p>
        </w:tc>
        <w:tc>
          <w:tcPr>
            <w:tcW w:w="8457" w:type="dxa"/>
            <w:vAlign w:val="center"/>
          </w:tcPr>
          <w:p>
            <w:pPr>
              <w:adjustRightInd w:val="0"/>
              <w:snapToGrid w:val="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pPr>
              <w:adjustRightInd w:val="0"/>
              <w:snapToGrid w:val="0"/>
              <w:jc w:val="center"/>
              <w:rPr>
                <w:rFonts w:hint="default" w:ascii="Times New Roman" w:hAnsi="Times New Roman" w:cs="Times New Roman"/>
                <w:bCs/>
                <w:color w:val="FF0000"/>
                <w:spacing w:val="10"/>
                <w:sz w:val="24"/>
              </w:rPr>
            </w:pPr>
            <w:r>
              <w:rPr>
                <w:rFonts w:hint="default" w:ascii="Times New Roman" w:hAnsi="Times New Roman" w:cs="Times New Roman"/>
                <w:bCs/>
                <w:color w:val="auto"/>
                <w:sz w:val="24"/>
              </w:rPr>
              <w:t>环保投资</w:t>
            </w:r>
          </w:p>
        </w:tc>
        <w:tc>
          <w:tcPr>
            <w:tcW w:w="8457" w:type="dxa"/>
            <w:vAlign w:val="top"/>
          </w:tcPr>
          <w:p>
            <w:pPr>
              <w:adjustRightInd w:val="0"/>
              <w:snapToGrid w:val="0"/>
              <w:spacing w:line="360" w:lineRule="auto"/>
              <w:ind w:firstLine="480" w:firstLineChars="200"/>
              <w:jc w:val="left"/>
              <w:rPr>
                <w:rFonts w:hint="default" w:ascii="Times New Roman" w:hAnsi="Times New Roman" w:cs="Times New Roman"/>
                <w:color w:val="FF0000"/>
                <w:sz w:val="24"/>
              </w:rPr>
            </w:pPr>
            <w:r>
              <w:rPr>
                <w:rFonts w:hint="default" w:ascii="Times New Roman" w:hAnsi="Times New Roman" w:cs="Times New Roman"/>
                <w:color w:val="auto"/>
                <w:sz w:val="24"/>
              </w:rPr>
              <w:t>本项目总投资</w:t>
            </w:r>
            <w:r>
              <w:rPr>
                <w:rFonts w:hint="eastAsia" w:cs="Times New Roman"/>
                <w:color w:val="auto"/>
                <w:sz w:val="24"/>
                <w:lang w:val="en-US" w:eastAsia="zh-CN"/>
              </w:rPr>
              <w:t>1637.22</w:t>
            </w:r>
            <w:r>
              <w:rPr>
                <w:rFonts w:hint="default" w:ascii="Times New Roman" w:hAnsi="Times New Roman" w:cs="Times New Roman"/>
                <w:color w:val="auto"/>
                <w:sz w:val="24"/>
              </w:rPr>
              <w:t>万元，其中环保投资</w:t>
            </w:r>
            <w:r>
              <w:rPr>
                <w:rFonts w:hint="eastAsia" w:cs="Times New Roman"/>
                <w:color w:val="auto"/>
                <w:sz w:val="24"/>
                <w:lang w:val="en-US" w:eastAsia="zh-CN"/>
              </w:rPr>
              <w:t>54</w:t>
            </w:r>
            <w:r>
              <w:rPr>
                <w:rFonts w:hint="default" w:ascii="Times New Roman" w:hAnsi="Times New Roman" w:cs="Times New Roman"/>
                <w:color w:val="auto"/>
                <w:sz w:val="24"/>
              </w:rPr>
              <w:t>万元，占总投资的</w:t>
            </w:r>
            <w:r>
              <w:rPr>
                <w:rFonts w:hint="eastAsia" w:cs="Times New Roman"/>
                <w:color w:val="auto"/>
                <w:sz w:val="24"/>
                <w:lang w:val="en-US" w:eastAsia="zh-CN"/>
              </w:rPr>
              <w:t>3.30</w:t>
            </w:r>
            <w:r>
              <w:rPr>
                <w:rFonts w:hint="default" w:ascii="Times New Roman" w:hAnsi="Times New Roman" w:cs="Times New Roman"/>
                <w:color w:val="auto"/>
                <w:sz w:val="24"/>
              </w:rPr>
              <w:t>%。</w:t>
            </w:r>
          </w:p>
          <w:p>
            <w:pPr>
              <w:widowControl/>
              <w:numPr>
                <w:ilvl w:val="0"/>
                <w:numId w:val="17"/>
              </w:numPr>
              <w:adjustRightInd w:val="0"/>
              <w:snapToGrid w:val="0"/>
              <w:ind w:left="425" w:leftChars="0" w:hanging="425"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本项目环保投资一览表</w:t>
            </w:r>
          </w:p>
          <w:tbl>
            <w:tblPr>
              <w:tblStyle w:val="37"/>
              <w:tblW w:w="827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7"/>
              <w:gridCol w:w="666"/>
              <w:gridCol w:w="5789"/>
              <w:gridCol w:w="1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Align w:val="center"/>
                </w:tcPr>
                <w:p>
                  <w:pPr>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时段</w:t>
                  </w:r>
                </w:p>
              </w:tc>
              <w:tc>
                <w:tcPr>
                  <w:tcW w:w="6455" w:type="dxa"/>
                  <w:gridSpan w:val="2"/>
                  <w:vAlign w:val="center"/>
                </w:tcPr>
                <w:p>
                  <w:pPr>
                    <w:jc w:val="center"/>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en-US" w:eastAsia="zh-CN"/>
                    </w:rPr>
                    <w:t>环保措施</w:t>
                  </w:r>
                </w:p>
              </w:tc>
              <w:tc>
                <w:tcPr>
                  <w:tcW w:w="1046" w:type="dxa"/>
                  <w:vAlign w:val="center"/>
                </w:tcPr>
                <w:p>
                  <w:pPr>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投资</w:t>
                  </w:r>
                </w:p>
                <w:p>
                  <w:pPr>
                    <w:jc w:val="center"/>
                    <w:rPr>
                      <w:rFonts w:hint="default" w:ascii="Times New Roman" w:hAnsi="Times New Roman" w:eastAsia="宋体" w:cs="Times New Roman"/>
                      <w:b/>
                      <w:bCs/>
                      <w:color w:val="auto"/>
                      <w:sz w:val="21"/>
                      <w:szCs w:val="21"/>
                      <w:lang w:val="zh-CN"/>
                    </w:rPr>
                  </w:pPr>
                  <w:r>
                    <w:rPr>
                      <w:rFonts w:hint="default" w:ascii="Times New Roman" w:hAnsi="Times New Roman" w:eastAsia="宋体" w:cs="Times New Roman"/>
                      <w:b/>
                      <w:bCs/>
                      <w:color w:val="auto"/>
                      <w:sz w:val="21"/>
                      <w:szCs w:val="21"/>
                      <w:lang w:val="zh-CN"/>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restart"/>
                  <w:vAlign w:val="center"/>
                </w:tcPr>
                <w:p>
                  <w:pPr>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施工期</w:t>
                  </w:r>
                </w:p>
              </w:tc>
              <w:tc>
                <w:tcPr>
                  <w:tcW w:w="666"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废气治理</w:t>
                  </w:r>
                </w:p>
              </w:tc>
              <w:tc>
                <w:tcPr>
                  <w:tcW w:w="5789" w:type="dxa"/>
                  <w:vAlign w:val="center"/>
                </w:tcPr>
                <w:p>
                  <w:pPr>
                    <w:keepNext w:val="0"/>
                    <w:keepLines w:val="0"/>
                    <w:widowControl/>
                    <w:suppressLineNumbers w:val="0"/>
                    <w:jc w:val="left"/>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kern w:val="0"/>
                      <w:sz w:val="21"/>
                      <w:szCs w:val="21"/>
                      <w:lang w:val="en-US" w:eastAsia="zh-CN" w:bidi="ar"/>
                    </w:rPr>
                    <w:t>采用移动软管洒水降尘，施工场地设置射雾器进行洒水降尘，采用密目网对暂不扰动临时堆场进行覆盖等</w:t>
                  </w:r>
                  <w:r>
                    <w:rPr>
                      <w:rFonts w:hint="default" w:ascii="Times New Roman" w:hAnsi="Times New Roman" w:eastAsia="宋体" w:cs="Times New Roman"/>
                      <w:color w:val="auto"/>
                      <w:sz w:val="21"/>
                      <w:szCs w:val="21"/>
                      <w:lang w:val="zh-CN"/>
                    </w:rPr>
                    <w:t>。</w:t>
                  </w:r>
                </w:p>
              </w:tc>
              <w:tc>
                <w:tcPr>
                  <w:tcW w:w="1046" w:type="dxa"/>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continue"/>
                  <w:vAlign w:val="center"/>
                </w:tcPr>
                <w:p>
                  <w:pPr>
                    <w:jc w:val="center"/>
                    <w:rPr>
                      <w:rFonts w:hint="default" w:ascii="Times New Roman" w:hAnsi="Times New Roman" w:eastAsia="宋体" w:cs="Times New Roman"/>
                      <w:color w:val="auto"/>
                      <w:sz w:val="21"/>
                      <w:szCs w:val="21"/>
                      <w:lang w:val="zh-CN"/>
                    </w:rPr>
                  </w:pPr>
                </w:p>
              </w:tc>
              <w:tc>
                <w:tcPr>
                  <w:tcW w:w="666" w:type="dxa"/>
                  <w:vMerge w:val="continue"/>
                  <w:vAlign w:val="center"/>
                </w:tcPr>
                <w:p>
                  <w:pPr>
                    <w:jc w:val="center"/>
                    <w:rPr>
                      <w:rFonts w:hint="default" w:ascii="Times New Roman" w:hAnsi="Times New Roman" w:eastAsia="宋体" w:cs="Times New Roman"/>
                      <w:color w:val="auto"/>
                      <w:sz w:val="21"/>
                      <w:szCs w:val="21"/>
                      <w:lang w:val="zh-CN"/>
                    </w:rPr>
                  </w:pPr>
                </w:p>
              </w:tc>
              <w:tc>
                <w:tcPr>
                  <w:tcW w:w="5789" w:type="dxa"/>
                  <w:vAlign w:val="center"/>
                </w:tcPr>
                <w:p>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设置车辆冲洗区，避免车辆携带灰尘驶出施工区。</w:t>
                  </w:r>
                </w:p>
              </w:tc>
              <w:tc>
                <w:tcPr>
                  <w:tcW w:w="1046" w:type="dxa"/>
                  <w:vAlign w:val="center"/>
                </w:tcPr>
                <w:p>
                  <w:pPr>
                    <w:jc w:val="center"/>
                    <w:rPr>
                      <w:rFonts w:hint="default" w:ascii="Times New Roman" w:hAnsi="Times New Roman" w:eastAsia="宋体" w:cs="Times New Roman"/>
                      <w:color w:val="auto"/>
                      <w:sz w:val="21"/>
                      <w:szCs w:val="21"/>
                      <w:lang w:val="zh-CN" w:eastAsia="zh-CN"/>
                    </w:rPr>
                  </w:pPr>
                  <w:r>
                    <w:rPr>
                      <w:rFonts w:hint="default" w:ascii="Times New Roman" w:hAnsi="Times New Roman" w:eastAsia="宋体"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continue"/>
                  <w:vAlign w:val="center"/>
                </w:tcPr>
                <w:p>
                  <w:pPr>
                    <w:jc w:val="center"/>
                    <w:rPr>
                      <w:rFonts w:hint="default" w:ascii="Times New Roman" w:hAnsi="Times New Roman" w:eastAsia="宋体" w:cs="Times New Roman"/>
                      <w:color w:val="auto"/>
                      <w:sz w:val="21"/>
                      <w:szCs w:val="21"/>
                      <w:lang w:val="zh-CN"/>
                    </w:rPr>
                  </w:pPr>
                </w:p>
              </w:tc>
              <w:tc>
                <w:tcPr>
                  <w:tcW w:w="666" w:type="dxa"/>
                  <w:vMerge w:val="restart"/>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废水治理</w:t>
                  </w:r>
                </w:p>
              </w:tc>
              <w:tc>
                <w:tcPr>
                  <w:tcW w:w="5789" w:type="dxa"/>
                  <w:vAlign w:val="center"/>
                </w:tcPr>
                <w:p>
                  <w:pPr>
                    <w:keepNext w:val="0"/>
                    <w:keepLines w:val="0"/>
                    <w:widowControl/>
                    <w:suppressLineNumbers w:val="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生活污水依托租赁的民房现有化粪池，生活废水经化粪池处理后用于周边农作物灌溉施肥</w:t>
                  </w:r>
                  <w:r>
                    <w:rPr>
                      <w:rFonts w:hint="eastAsia" w:ascii="Times New Roman" w:hAnsi="Times New Roman" w:eastAsia="宋体" w:cs="Times New Roman"/>
                      <w:color w:val="auto"/>
                      <w:sz w:val="21"/>
                      <w:szCs w:val="21"/>
                      <w:lang w:eastAsia="zh-CN"/>
                    </w:rPr>
                    <w:t>。</w:t>
                  </w:r>
                </w:p>
              </w:tc>
              <w:tc>
                <w:tcPr>
                  <w:tcW w:w="104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continue"/>
                  <w:vAlign w:val="center"/>
                </w:tcPr>
                <w:p>
                  <w:pPr>
                    <w:jc w:val="center"/>
                    <w:rPr>
                      <w:rFonts w:hint="default" w:ascii="Times New Roman" w:hAnsi="Times New Roman" w:eastAsia="宋体" w:cs="Times New Roman"/>
                      <w:color w:val="auto"/>
                      <w:sz w:val="21"/>
                      <w:szCs w:val="21"/>
                      <w:lang w:val="zh-CN"/>
                    </w:rPr>
                  </w:pPr>
                </w:p>
              </w:tc>
              <w:tc>
                <w:tcPr>
                  <w:tcW w:w="666" w:type="dxa"/>
                  <w:vMerge w:val="continue"/>
                  <w:vAlign w:val="center"/>
                </w:tcPr>
                <w:p>
                  <w:pPr>
                    <w:jc w:val="center"/>
                    <w:rPr>
                      <w:rFonts w:hint="default" w:ascii="Times New Roman" w:hAnsi="Times New Roman" w:eastAsia="宋体" w:cs="Times New Roman"/>
                      <w:color w:val="auto"/>
                      <w:sz w:val="21"/>
                      <w:szCs w:val="21"/>
                      <w:lang w:val="zh-CN"/>
                    </w:rPr>
                  </w:pPr>
                </w:p>
              </w:tc>
              <w:tc>
                <w:tcPr>
                  <w:tcW w:w="5789" w:type="dxa"/>
                  <w:vAlign w:val="center"/>
                </w:tcPr>
                <w:p>
                  <w:pPr>
                    <w:keepNext w:val="0"/>
                    <w:keepLines w:val="0"/>
                    <w:widowControl/>
                    <w:suppressLineNumbers w:val="0"/>
                    <w:jc w:val="left"/>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kern w:val="0"/>
                      <w:sz w:val="21"/>
                      <w:szCs w:val="21"/>
                      <w:lang w:val="en-US" w:eastAsia="zh-CN" w:bidi="ar"/>
                    </w:rPr>
                    <w:t>施工场地设置隔油沉淀池，有效容积为10m</w:t>
                  </w:r>
                  <w:r>
                    <w:rPr>
                      <w:rFonts w:hint="default" w:ascii="Times New Roman" w:hAnsi="Times New Roman" w:eastAsia="宋体" w:cs="Times New Roman"/>
                      <w:color w:val="auto"/>
                      <w:kern w:val="0"/>
                      <w:sz w:val="21"/>
                      <w:szCs w:val="21"/>
                      <w:vertAlign w:val="superscript"/>
                      <w:lang w:val="en-US" w:eastAsia="zh-CN" w:bidi="ar"/>
                    </w:rPr>
                    <w:t>3</w:t>
                  </w:r>
                  <w:r>
                    <w:rPr>
                      <w:rFonts w:hint="default" w:ascii="Times New Roman" w:hAnsi="Times New Roman" w:eastAsia="宋体" w:cs="Times New Roman"/>
                      <w:color w:val="auto"/>
                      <w:kern w:val="0"/>
                      <w:sz w:val="21"/>
                      <w:szCs w:val="21"/>
                      <w:lang w:val="en-US" w:eastAsia="zh-CN" w:bidi="ar"/>
                    </w:rPr>
                    <w:t>，车辆冲洗废水、设备冲洗废水经处理后回用，不外排</w:t>
                  </w:r>
                  <w:r>
                    <w:rPr>
                      <w:rFonts w:hint="eastAsia" w:ascii="Times New Roman" w:hAnsi="Times New Roman" w:eastAsia="宋体" w:cs="Times New Roman"/>
                      <w:color w:val="auto"/>
                      <w:kern w:val="0"/>
                      <w:sz w:val="21"/>
                      <w:szCs w:val="21"/>
                      <w:lang w:val="en-US" w:eastAsia="zh-CN" w:bidi="ar"/>
                    </w:rPr>
                    <w:t>。</w:t>
                  </w:r>
                </w:p>
              </w:tc>
              <w:tc>
                <w:tcPr>
                  <w:tcW w:w="104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continue"/>
                  <w:vAlign w:val="center"/>
                </w:tcPr>
                <w:p>
                  <w:pPr>
                    <w:jc w:val="center"/>
                    <w:rPr>
                      <w:rFonts w:hint="default" w:ascii="Times New Roman" w:hAnsi="Times New Roman" w:eastAsia="宋体" w:cs="Times New Roman"/>
                      <w:color w:val="auto"/>
                      <w:sz w:val="21"/>
                      <w:szCs w:val="21"/>
                      <w:lang w:val="zh-CN"/>
                    </w:rPr>
                  </w:pPr>
                </w:p>
              </w:tc>
              <w:tc>
                <w:tcPr>
                  <w:tcW w:w="666" w:type="dxa"/>
                  <w:vMerge w:val="continue"/>
                  <w:vAlign w:val="center"/>
                </w:tcPr>
                <w:p>
                  <w:pPr>
                    <w:jc w:val="center"/>
                    <w:rPr>
                      <w:rFonts w:hint="default" w:ascii="Times New Roman" w:hAnsi="Times New Roman" w:eastAsia="宋体" w:cs="Times New Roman"/>
                      <w:color w:val="auto"/>
                      <w:sz w:val="21"/>
                      <w:szCs w:val="21"/>
                      <w:lang w:val="zh-CN"/>
                    </w:rPr>
                  </w:pPr>
                </w:p>
              </w:tc>
              <w:tc>
                <w:tcPr>
                  <w:tcW w:w="5789" w:type="dxa"/>
                  <w:vAlign w:val="center"/>
                </w:tcPr>
                <w:p>
                  <w:pPr>
                    <w:keepNext w:val="0"/>
                    <w:keepLines w:val="0"/>
                    <w:widowControl/>
                    <w:suppressLineNumbers w:val="0"/>
                    <w:jc w:val="left"/>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kern w:val="0"/>
                      <w:sz w:val="21"/>
                      <w:szCs w:val="21"/>
                      <w:lang w:val="en-US" w:eastAsia="zh-CN" w:bidi="ar"/>
                    </w:rPr>
                    <w:t>围堰内基槽下游设置沉淀池，基坑积水经集水沉淀池处理后回用或外排</w:t>
                  </w:r>
                </w:p>
              </w:tc>
              <w:tc>
                <w:tcPr>
                  <w:tcW w:w="104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continue"/>
                  <w:vAlign w:val="center"/>
                </w:tcPr>
                <w:p>
                  <w:pPr>
                    <w:jc w:val="center"/>
                    <w:rPr>
                      <w:rFonts w:hint="default" w:ascii="Times New Roman" w:hAnsi="Times New Roman" w:eastAsia="宋体" w:cs="Times New Roman"/>
                      <w:color w:val="auto"/>
                      <w:sz w:val="21"/>
                      <w:szCs w:val="21"/>
                      <w:lang w:val="zh-CN"/>
                    </w:rPr>
                  </w:pPr>
                </w:p>
              </w:tc>
              <w:tc>
                <w:tcPr>
                  <w:tcW w:w="666"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噪声治理</w:t>
                  </w:r>
                </w:p>
              </w:tc>
              <w:tc>
                <w:tcPr>
                  <w:tcW w:w="5789" w:type="dxa"/>
                  <w:vAlign w:val="center"/>
                </w:tcPr>
                <w:p>
                  <w:pP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选用低噪声设备、加强管理，加强车辆保养；合理布局施工场地；合理安排施工时间，</w:t>
                  </w:r>
                  <w:r>
                    <w:rPr>
                      <w:rFonts w:hint="default" w:ascii="Times New Roman" w:hAnsi="Times New Roman" w:eastAsia="宋体" w:cs="Times New Roman"/>
                      <w:color w:val="auto"/>
                      <w:sz w:val="21"/>
                      <w:szCs w:val="21"/>
                    </w:rPr>
                    <w:t>禁止夜间施工</w:t>
                  </w:r>
                  <w:r>
                    <w:rPr>
                      <w:rFonts w:hint="default" w:ascii="Times New Roman" w:hAnsi="Times New Roman" w:eastAsia="宋体" w:cs="Times New Roman"/>
                      <w:color w:val="auto"/>
                      <w:sz w:val="21"/>
                      <w:szCs w:val="21"/>
                      <w:lang w:val="zh-CN"/>
                    </w:rPr>
                    <w:t>；优化施工车辆运行路线等。</w:t>
                  </w:r>
                </w:p>
              </w:tc>
              <w:tc>
                <w:tcPr>
                  <w:tcW w:w="1046"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continue"/>
                  <w:vAlign w:val="center"/>
                </w:tcPr>
                <w:p>
                  <w:pPr>
                    <w:jc w:val="center"/>
                    <w:rPr>
                      <w:rFonts w:hint="default" w:ascii="Times New Roman" w:hAnsi="Times New Roman" w:eastAsia="宋体" w:cs="Times New Roman"/>
                      <w:color w:val="auto"/>
                      <w:sz w:val="21"/>
                      <w:szCs w:val="21"/>
                      <w:lang w:val="zh-CN"/>
                    </w:rPr>
                  </w:pPr>
                </w:p>
              </w:tc>
              <w:tc>
                <w:tcPr>
                  <w:tcW w:w="666" w:type="dxa"/>
                  <w:vMerge w:val="restart"/>
                  <w:vAlign w:val="center"/>
                </w:tcPr>
                <w:p>
                  <w:pPr>
                    <w:jc w:val="center"/>
                    <w:rPr>
                      <w:rFonts w:hint="default" w:ascii="Times New Roman" w:hAnsi="Times New Roman" w:eastAsia="宋体" w:cs="Times New Roman"/>
                      <w:color w:val="auto"/>
                      <w:sz w:val="21"/>
                      <w:szCs w:val="21"/>
                      <w:lang w:val="zh-CN"/>
                    </w:rPr>
                  </w:pPr>
                  <w:r>
                    <w:rPr>
                      <w:rFonts w:hint="eastAsia" w:ascii="Times New Roman" w:hAnsi="Times New Roman" w:eastAsia="宋体" w:cs="Times New Roman"/>
                      <w:color w:val="auto"/>
                      <w:sz w:val="21"/>
                      <w:szCs w:val="21"/>
                      <w:lang w:val="en-US" w:eastAsia="zh-CN"/>
                    </w:rPr>
                    <w:t>固废治理</w:t>
                  </w:r>
                </w:p>
              </w:tc>
              <w:tc>
                <w:tcPr>
                  <w:tcW w:w="5789" w:type="dxa"/>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zh-CN"/>
                    </w:rPr>
                    <w:t>废土石方：本项目不设置弃渣场，施工产生的</w:t>
                  </w:r>
                  <w:r>
                    <w:rPr>
                      <w:rFonts w:hint="default" w:ascii="Times New Roman" w:hAnsi="Times New Roman" w:eastAsia="宋体" w:cs="Times New Roman"/>
                      <w:color w:val="auto"/>
                      <w:sz w:val="21"/>
                      <w:szCs w:val="21"/>
                      <w:lang w:val="zh-CN" w:eastAsia="zh-CN"/>
                    </w:rPr>
                    <w:t>余方</w:t>
                  </w:r>
                  <w:r>
                    <w:rPr>
                      <w:rFonts w:hint="default" w:ascii="Times New Roman" w:hAnsi="Times New Roman" w:eastAsia="宋体" w:cs="Times New Roman"/>
                      <w:color w:val="auto"/>
                      <w:sz w:val="21"/>
                      <w:szCs w:val="21"/>
                      <w:lang w:val="zh-CN"/>
                    </w:rPr>
                    <w:t>用于</w:t>
                  </w:r>
                  <w:r>
                    <w:rPr>
                      <w:rFonts w:hint="default" w:ascii="Times New Roman" w:hAnsi="Times New Roman" w:eastAsia="宋体" w:cs="Times New Roman"/>
                      <w:color w:val="auto"/>
                      <w:sz w:val="21"/>
                      <w:szCs w:val="21"/>
                      <w:lang w:val="zh-CN" w:eastAsia="zh-CN"/>
                    </w:rPr>
                    <w:t>部分堤防</w:t>
                  </w:r>
                  <w:r>
                    <w:rPr>
                      <w:rFonts w:hint="default" w:ascii="Times New Roman" w:hAnsi="Times New Roman" w:eastAsia="宋体" w:cs="Times New Roman"/>
                      <w:color w:val="auto"/>
                      <w:sz w:val="21"/>
                      <w:szCs w:val="21"/>
                      <w:lang w:val="zh-CN"/>
                    </w:rPr>
                    <w:t>堤后</w:t>
                  </w:r>
                  <w:r>
                    <w:rPr>
                      <w:rFonts w:hint="default" w:ascii="Times New Roman" w:hAnsi="Times New Roman" w:eastAsia="宋体" w:cs="Times New Roman"/>
                      <w:color w:val="auto"/>
                      <w:sz w:val="21"/>
                      <w:szCs w:val="21"/>
                      <w:lang w:val="zh-CN" w:eastAsia="zh-CN"/>
                    </w:rPr>
                    <w:t>低洼处</w:t>
                  </w:r>
                  <w:r>
                    <w:rPr>
                      <w:rFonts w:hint="default" w:ascii="Times New Roman" w:hAnsi="Times New Roman" w:eastAsia="宋体" w:cs="Times New Roman"/>
                      <w:color w:val="auto"/>
                      <w:sz w:val="21"/>
                      <w:szCs w:val="21"/>
                      <w:lang w:val="zh-CN"/>
                    </w:rPr>
                    <w:t>回填。</w:t>
                  </w:r>
                </w:p>
              </w:tc>
              <w:tc>
                <w:tcPr>
                  <w:tcW w:w="104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continue"/>
                  <w:vAlign w:val="center"/>
                </w:tcPr>
                <w:p>
                  <w:pPr>
                    <w:jc w:val="center"/>
                    <w:rPr>
                      <w:rFonts w:hint="default" w:ascii="Times New Roman" w:hAnsi="Times New Roman" w:eastAsia="宋体" w:cs="Times New Roman"/>
                      <w:color w:val="auto"/>
                      <w:sz w:val="21"/>
                      <w:szCs w:val="21"/>
                      <w:lang w:val="zh-CN"/>
                    </w:rPr>
                  </w:pPr>
                </w:p>
              </w:tc>
              <w:tc>
                <w:tcPr>
                  <w:tcW w:w="666" w:type="dxa"/>
                  <w:vMerge w:val="continue"/>
                  <w:vAlign w:val="center"/>
                </w:tcPr>
                <w:p>
                  <w:pPr>
                    <w:jc w:val="center"/>
                    <w:rPr>
                      <w:rFonts w:hint="default" w:ascii="Times New Roman" w:hAnsi="Times New Roman" w:eastAsia="宋体" w:cs="Times New Roman"/>
                      <w:color w:val="auto"/>
                      <w:sz w:val="21"/>
                      <w:szCs w:val="21"/>
                      <w:lang w:val="zh-CN"/>
                    </w:rPr>
                  </w:pPr>
                </w:p>
              </w:tc>
              <w:tc>
                <w:tcPr>
                  <w:tcW w:w="5789" w:type="dxa"/>
                  <w:vAlign w:val="center"/>
                </w:tcPr>
                <w:p>
                  <w:pP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建筑垃圾：建筑垃圾分类收集，能回用的回用，不能回用的集中清运至指定的地点处理</w:t>
                  </w:r>
                </w:p>
              </w:tc>
              <w:tc>
                <w:tcPr>
                  <w:tcW w:w="1046" w:type="dxa"/>
                  <w:vAlign w:val="center"/>
                </w:tcPr>
                <w:p>
                  <w:pPr>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continue"/>
                  <w:vAlign w:val="center"/>
                </w:tcPr>
                <w:p>
                  <w:pPr>
                    <w:jc w:val="center"/>
                    <w:rPr>
                      <w:rFonts w:hint="default" w:ascii="Times New Roman" w:hAnsi="Times New Roman" w:eastAsia="宋体" w:cs="Times New Roman"/>
                      <w:color w:val="auto"/>
                      <w:sz w:val="21"/>
                      <w:szCs w:val="21"/>
                      <w:lang w:val="zh-CN"/>
                    </w:rPr>
                  </w:pPr>
                </w:p>
              </w:tc>
              <w:tc>
                <w:tcPr>
                  <w:tcW w:w="666" w:type="dxa"/>
                  <w:vMerge w:val="continue"/>
                  <w:vAlign w:val="center"/>
                </w:tcPr>
                <w:p>
                  <w:pPr>
                    <w:jc w:val="center"/>
                    <w:rPr>
                      <w:rFonts w:hint="default" w:ascii="Times New Roman" w:hAnsi="Times New Roman" w:eastAsia="宋体" w:cs="Times New Roman"/>
                      <w:color w:val="auto"/>
                      <w:sz w:val="21"/>
                      <w:szCs w:val="21"/>
                      <w:lang w:val="zh-CN"/>
                    </w:rPr>
                  </w:pPr>
                </w:p>
              </w:tc>
              <w:tc>
                <w:tcPr>
                  <w:tcW w:w="5789" w:type="dxa"/>
                  <w:vAlign w:val="center"/>
                </w:tcPr>
                <w:p>
                  <w:pP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kern w:val="0"/>
                      <w:sz w:val="21"/>
                      <w:szCs w:val="21"/>
                      <w:lang w:val="zh-CN" w:bidi="ar"/>
                    </w:rPr>
                    <w:t>生活垃圾：经过袋装收集后，统一收集至河堤沿线各个村垃圾收集点，由环卫部门统一清运处理</w:t>
                  </w:r>
                </w:p>
              </w:tc>
              <w:tc>
                <w:tcPr>
                  <w:tcW w:w="1046" w:type="dxa"/>
                  <w:vAlign w:val="center"/>
                </w:tcPr>
                <w:p>
                  <w:pPr>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restart"/>
                  <w:vAlign w:val="center"/>
                </w:tcPr>
                <w:p>
                  <w:pPr>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生态治理</w:t>
                  </w:r>
                </w:p>
              </w:tc>
              <w:tc>
                <w:tcPr>
                  <w:tcW w:w="6455" w:type="dxa"/>
                  <w:gridSpan w:val="2"/>
                  <w:vAlign w:val="center"/>
                </w:tcPr>
                <w:p>
                  <w:pPr>
                    <w:autoSpaceDE w:val="0"/>
                    <w:autoSpaceDN w:val="0"/>
                    <w:adjustRightInd w:val="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陆生生态：</w:t>
                  </w:r>
                  <w:r>
                    <w:rPr>
                      <w:rFonts w:hint="default" w:ascii="Times New Roman" w:hAnsi="Times New Roman" w:eastAsia="宋体" w:cs="Times New Roman"/>
                      <w:color w:val="auto"/>
                      <w:kern w:val="0"/>
                      <w:sz w:val="21"/>
                      <w:szCs w:val="21"/>
                    </w:rPr>
                    <w:t>加强施工管理，划定最小作业区域，加强施工过程植物、动物保护，采取分段施工，加强粉尘治理，定时洒水抑尘，减少起尘量，同时及时对施工场地、道路进行土地复垦和迹地恢复，枯水期施工，减少土石方临时堆放裸露时间并及时回填，落实水土保持措施等</w:t>
                  </w:r>
                </w:p>
              </w:tc>
              <w:tc>
                <w:tcPr>
                  <w:tcW w:w="104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zh-CN"/>
                    </w:rPr>
                    <w:t>1</w:t>
                  </w:r>
                  <w:r>
                    <w:rPr>
                      <w:rFonts w:hint="default" w:ascii="Times New Roman" w:hAnsi="Times New Roman" w:eastAsia="宋体"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Merge w:val="continue"/>
                  <w:vAlign w:val="center"/>
                </w:tcPr>
                <w:p>
                  <w:pPr>
                    <w:jc w:val="center"/>
                    <w:rPr>
                      <w:rFonts w:hint="default" w:ascii="Times New Roman" w:hAnsi="Times New Roman" w:eastAsia="宋体" w:cs="Times New Roman"/>
                      <w:color w:val="auto"/>
                      <w:sz w:val="21"/>
                      <w:szCs w:val="21"/>
                      <w:lang w:val="zh-CN"/>
                    </w:rPr>
                  </w:pPr>
                </w:p>
              </w:tc>
              <w:tc>
                <w:tcPr>
                  <w:tcW w:w="6455" w:type="dxa"/>
                  <w:gridSpan w:val="2"/>
                  <w:vAlign w:val="center"/>
                </w:tcPr>
                <w:p>
                  <w:pPr>
                    <w:autoSpaceDE w:val="0"/>
                    <w:autoSpaceDN w:val="0"/>
                    <w:adjustRightIn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水生生态：（1）施工期在枯水期11月~次年</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月份的枯水期进行，分段施工，以尽量减少</w:t>
                  </w:r>
                  <w:r>
                    <w:rPr>
                      <w:rFonts w:hint="default" w:ascii="Times New Roman" w:hAnsi="Times New Roman" w:eastAsia="宋体" w:cs="Times New Roman"/>
                      <w:color w:val="auto"/>
                      <w:sz w:val="21"/>
                      <w:szCs w:val="21"/>
                      <w:lang w:val="en-US" w:eastAsia="zh-CN"/>
                    </w:rPr>
                    <w:t>堤基</w:t>
                  </w:r>
                  <w:r>
                    <w:rPr>
                      <w:rFonts w:hint="default" w:ascii="Times New Roman" w:hAnsi="Times New Roman" w:eastAsia="宋体" w:cs="Times New Roman"/>
                      <w:color w:val="auto"/>
                      <w:sz w:val="21"/>
                      <w:szCs w:val="21"/>
                    </w:rPr>
                    <w:t>开挖以及</w:t>
                  </w:r>
                  <w:r>
                    <w:rPr>
                      <w:rFonts w:hint="default" w:ascii="Times New Roman" w:hAnsi="Times New Roman" w:eastAsia="宋体" w:cs="Times New Roman"/>
                      <w:color w:val="auto"/>
                      <w:sz w:val="21"/>
                      <w:szCs w:val="21"/>
                      <w:lang w:val="en-US" w:eastAsia="zh-CN"/>
                    </w:rPr>
                    <w:t>疏浚</w:t>
                  </w:r>
                  <w:r>
                    <w:rPr>
                      <w:rFonts w:hint="default" w:ascii="Times New Roman" w:hAnsi="Times New Roman" w:eastAsia="宋体" w:cs="Times New Roman"/>
                      <w:color w:val="auto"/>
                      <w:sz w:val="21"/>
                      <w:szCs w:val="21"/>
                    </w:rPr>
                    <w:t>开挖对地表水体的扰动。</w:t>
                  </w:r>
                </w:p>
                <w:p>
                  <w:pPr>
                    <w:numPr>
                      <w:ilvl w:val="0"/>
                      <w:numId w:val="18"/>
                    </w:numPr>
                    <w:autoSpaceDE w:val="0"/>
                    <w:autoSpaceDN w:val="0"/>
                    <w:adjustRightInd w:val="0"/>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基坑采用明沟抽排水系统，排水系统布置兼顾基坑开挖及主体建筑物施工，防洪堤工程主要采用水泵分段抽排水。</w:t>
                  </w:r>
                </w:p>
                <w:p>
                  <w:pPr>
                    <w:autoSpaceDE w:val="0"/>
                    <w:autoSpaceDN w:val="0"/>
                    <w:adjustRightIn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（3）建设单位施工人员在施工期内不得随意捕杀周边水域鱼类，不得随意排放污水至周边水体中，尽可能减少对鱼类的影响。</w:t>
                  </w:r>
                </w:p>
                <w:p>
                  <w:pPr>
                    <w:autoSpaceDE w:val="0"/>
                    <w:autoSpaceDN w:val="0"/>
                    <w:adjustRightIn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rPr>
                    <w:t>缩短施工工期，减少生态影响。</w:t>
                  </w:r>
                </w:p>
              </w:tc>
              <w:tc>
                <w:tcPr>
                  <w:tcW w:w="1046"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Align w:val="center"/>
                </w:tcPr>
                <w:p>
                  <w:pPr>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环境风险</w:t>
                  </w:r>
                </w:p>
              </w:tc>
              <w:tc>
                <w:tcPr>
                  <w:tcW w:w="6455" w:type="dxa"/>
                  <w:gridSpan w:val="2"/>
                  <w:vAlign w:val="center"/>
                </w:tcPr>
                <w:p>
                  <w:pPr>
                    <w:autoSpaceDE w:val="0"/>
                    <w:autoSpaceDN w:val="0"/>
                    <w:adjustRightIn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制定风险应急预案，加强管理</w:t>
                  </w:r>
                </w:p>
              </w:tc>
              <w:tc>
                <w:tcPr>
                  <w:tcW w:w="1046" w:type="dxa"/>
                  <w:vAlign w:val="center"/>
                </w:tcPr>
                <w:p>
                  <w:pPr>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Align w:val="center"/>
                </w:tcPr>
                <w:p>
                  <w:pPr>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环境管理</w:t>
                  </w:r>
                </w:p>
              </w:tc>
              <w:tc>
                <w:tcPr>
                  <w:tcW w:w="6455" w:type="dxa"/>
                  <w:gridSpan w:val="2"/>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建立完善的环境监理、环境管理等。加强施工环境管理和员工环保培训，制定应急预案，确保环保措施落实</w:t>
                  </w:r>
                  <w:r>
                    <w:rPr>
                      <w:rFonts w:hint="default" w:ascii="Times New Roman" w:hAnsi="Times New Roman" w:eastAsia="宋体" w:cs="Times New Roman"/>
                      <w:color w:val="auto"/>
                      <w:sz w:val="21"/>
                      <w:szCs w:val="21"/>
                    </w:rPr>
                    <w:t>。</w:t>
                  </w:r>
                </w:p>
              </w:tc>
              <w:tc>
                <w:tcPr>
                  <w:tcW w:w="1046" w:type="dxa"/>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77" w:type="dxa"/>
                  <w:vAlign w:val="center"/>
                </w:tcPr>
                <w:p>
                  <w:pPr>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合计</w:t>
                  </w:r>
                </w:p>
              </w:tc>
              <w:tc>
                <w:tcPr>
                  <w:tcW w:w="6455" w:type="dxa"/>
                  <w:gridSpan w:val="2"/>
                </w:tcPr>
                <w:p>
                  <w:pPr>
                    <w:jc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w:t>
                  </w:r>
                </w:p>
              </w:tc>
              <w:tc>
                <w:tcPr>
                  <w:tcW w:w="1046" w:type="dxa"/>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r>
          </w:tbl>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p>
            <w:pPr>
              <w:adjustRightInd w:val="0"/>
              <w:snapToGrid w:val="0"/>
              <w:rPr>
                <w:rFonts w:hint="default" w:ascii="Times New Roman" w:hAnsi="Times New Roman" w:cs="Times New Roman"/>
                <w:bCs/>
                <w:color w:val="FF0000"/>
                <w:spacing w:val="10"/>
                <w:szCs w:val="21"/>
              </w:rPr>
            </w:pPr>
          </w:p>
        </w:tc>
      </w:tr>
    </w:tbl>
    <w:p>
      <w:pPr>
        <w:rPr>
          <w:rFonts w:hint="default" w:ascii="Times New Roman" w:hAnsi="Times New Roman" w:cs="Times New Roman"/>
          <w:color w:val="FF0000"/>
        </w:rPr>
        <w:sectPr>
          <w:footerReference r:id="rId9" w:type="default"/>
          <w:pgSz w:w="11907" w:h="16840"/>
          <w:pgMar w:top="1440" w:right="1797" w:bottom="1440" w:left="1797" w:header="851" w:footer="1077" w:gutter="0"/>
          <w:cols w:space="425" w:num="1"/>
          <w:docGrid w:linePitch="312" w:charSpace="0"/>
        </w:sectPr>
      </w:pPr>
    </w:p>
    <w:p>
      <w:pPr>
        <w:pStyle w:val="32"/>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六、生态环境保护措施监督检查清单</w:t>
      </w:r>
    </w:p>
    <w:tbl>
      <w:tblPr>
        <w:tblStyle w:val="37"/>
        <w:tblW w:w="528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3511"/>
        <w:gridCol w:w="1819"/>
        <w:gridCol w:w="1150"/>
        <w:gridCol w:w="9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2" w:type="dxa"/>
            <w:vMerge w:val="restart"/>
            <w:tcBorders>
              <w:tl2br w:val="single" w:color="auto" w:sz="4" w:space="0"/>
            </w:tcBorders>
          </w:tcPr>
          <w:p>
            <w:pPr>
              <w:adjustRightInd w:val="0"/>
              <w:snapToGrid w:val="0"/>
              <w:spacing w:line="240" w:lineRule="auto"/>
              <w:ind w:firstLine="840" w:firstLineChars="400"/>
              <w:rPr>
                <w:color w:val="auto"/>
                <w:szCs w:val="21"/>
              </w:rPr>
            </w:pPr>
            <w:r>
              <w:rPr>
                <w:color w:val="auto"/>
                <w:szCs w:val="21"/>
              </w:rPr>
              <w:t>内容</w:t>
            </w:r>
          </w:p>
          <w:p>
            <w:pPr>
              <w:adjustRightInd w:val="0"/>
              <w:snapToGrid w:val="0"/>
              <w:spacing w:line="240" w:lineRule="auto"/>
              <w:ind w:firstLine="420"/>
              <w:rPr>
                <w:color w:val="auto"/>
                <w:szCs w:val="21"/>
              </w:rPr>
            </w:pPr>
          </w:p>
          <w:p>
            <w:pPr>
              <w:adjustRightInd w:val="0"/>
              <w:snapToGrid w:val="0"/>
              <w:spacing w:line="240" w:lineRule="auto"/>
              <w:ind w:firstLine="420"/>
              <w:rPr>
                <w:color w:val="auto"/>
                <w:szCs w:val="21"/>
              </w:rPr>
            </w:pPr>
            <w:r>
              <w:rPr>
                <w:color w:val="auto"/>
                <w:szCs w:val="21"/>
              </w:rPr>
              <w:t>要素</w:t>
            </w:r>
          </w:p>
        </w:tc>
        <w:tc>
          <w:tcPr>
            <w:tcW w:w="5330" w:type="dxa"/>
            <w:gridSpan w:val="2"/>
            <w:vAlign w:val="center"/>
          </w:tcPr>
          <w:p>
            <w:pPr>
              <w:adjustRightInd w:val="0"/>
              <w:snapToGrid w:val="0"/>
              <w:spacing w:line="240" w:lineRule="auto"/>
              <w:ind w:firstLine="0" w:firstLineChars="0"/>
              <w:jc w:val="center"/>
              <w:rPr>
                <w:color w:val="auto"/>
                <w:szCs w:val="21"/>
              </w:rPr>
            </w:pPr>
            <w:r>
              <w:rPr>
                <w:rFonts w:hint="eastAsia"/>
                <w:color w:val="auto"/>
                <w:szCs w:val="21"/>
              </w:rPr>
              <w:t>施工期</w:t>
            </w:r>
          </w:p>
        </w:tc>
        <w:tc>
          <w:tcPr>
            <w:tcW w:w="2093" w:type="dxa"/>
            <w:gridSpan w:val="2"/>
            <w:vAlign w:val="center"/>
          </w:tcPr>
          <w:p>
            <w:pPr>
              <w:adjustRightInd w:val="0"/>
              <w:snapToGrid w:val="0"/>
              <w:spacing w:line="240" w:lineRule="auto"/>
              <w:ind w:firstLine="0" w:firstLineChars="0"/>
              <w:jc w:val="center"/>
              <w:rPr>
                <w:color w:val="auto"/>
                <w:szCs w:val="21"/>
              </w:rPr>
            </w:pPr>
            <w:r>
              <w:rPr>
                <w:rFonts w:hint="eastAsia"/>
                <w:color w:val="auto"/>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92" w:type="dxa"/>
            <w:vMerge w:val="continue"/>
            <w:tcBorders>
              <w:tl2br w:val="single" w:color="auto" w:sz="4" w:space="0"/>
            </w:tcBorders>
          </w:tcPr>
          <w:p>
            <w:pPr>
              <w:adjustRightInd w:val="0"/>
              <w:snapToGrid w:val="0"/>
              <w:spacing w:line="240" w:lineRule="auto"/>
              <w:ind w:firstLine="0" w:firstLineChars="0"/>
              <w:jc w:val="center"/>
              <w:rPr>
                <w:color w:val="auto"/>
              </w:rPr>
            </w:pPr>
          </w:p>
        </w:tc>
        <w:tc>
          <w:tcPr>
            <w:tcW w:w="3511" w:type="dxa"/>
            <w:vAlign w:val="center"/>
          </w:tcPr>
          <w:p>
            <w:pPr>
              <w:adjustRightInd w:val="0"/>
              <w:snapToGrid w:val="0"/>
              <w:spacing w:line="240" w:lineRule="auto"/>
              <w:ind w:firstLine="0" w:firstLineChars="0"/>
              <w:jc w:val="center"/>
              <w:rPr>
                <w:color w:val="auto"/>
                <w:szCs w:val="21"/>
              </w:rPr>
            </w:pPr>
            <w:r>
              <w:rPr>
                <w:rFonts w:hint="eastAsia"/>
                <w:color w:val="auto"/>
                <w:szCs w:val="21"/>
              </w:rPr>
              <w:t>环境保护措施</w:t>
            </w:r>
          </w:p>
        </w:tc>
        <w:tc>
          <w:tcPr>
            <w:tcW w:w="1819" w:type="dxa"/>
            <w:vAlign w:val="center"/>
          </w:tcPr>
          <w:p>
            <w:pPr>
              <w:adjustRightInd w:val="0"/>
              <w:snapToGrid w:val="0"/>
              <w:spacing w:line="240" w:lineRule="auto"/>
              <w:ind w:firstLine="0" w:firstLineChars="0"/>
              <w:jc w:val="center"/>
              <w:rPr>
                <w:color w:val="auto"/>
                <w:szCs w:val="21"/>
              </w:rPr>
            </w:pPr>
            <w:r>
              <w:rPr>
                <w:rFonts w:hint="eastAsia"/>
                <w:color w:val="auto"/>
                <w:szCs w:val="21"/>
              </w:rPr>
              <w:t>验收要求</w:t>
            </w:r>
          </w:p>
        </w:tc>
        <w:tc>
          <w:tcPr>
            <w:tcW w:w="1150" w:type="dxa"/>
            <w:vAlign w:val="center"/>
          </w:tcPr>
          <w:p>
            <w:pPr>
              <w:adjustRightInd w:val="0"/>
              <w:snapToGrid w:val="0"/>
              <w:spacing w:line="240" w:lineRule="auto"/>
              <w:ind w:firstLine="0" w:firstLineChars="0"/>
              <w:jc w:val="center"/>
              <w:rPr>
                <w:rFonts w:hint="eastAsia"/>
                <w:color w:val="auto"/>
                <w:szCs w:val="21"/>
              </w:rPr>
            </w:pPr>
            <w:r>
              <w:rPr>
                <w:rFonts w:hint="eastAsia"/>
                <w:color w:val="auto"/>
                <w:szCs w:val="21"/>
              </w:rPr>
              <w:t>环境保护</w:t>
            </w:r>
          </w:p>
          <w:p>
            <w:pPr>
              <w:adjustRightInd w:val="0"/>
              <w:snapToGrid w:val="0"/>
              <w:spacing w:line="240" w:lineRule="auto"/>
              <w:ind w:firstLine="0" w:firstLineChars="0"/>
              <w:jc w:val="center"/>
              <w:rPr>
                <w:color w:val="auto"/>
                <w:szCs w:val="21"/>
              </w:rPr>
            </w:pPr>
            <w:r>
              <w:rPr>
                <w:rFonts w:hint="eastAsia"/>
                <w:color w:val="auto"/>
                <w:szCs w:val="21"/>
              </w:rPr>
              <w:t>措施</w:t>
            </w:r>
          </w:p>
        </w:tc>
        <w:tc>
          <w:tcPr>
            <w:tcW w:w="943" w:type="dxa"/>
            <w:vAlign w:val="center"/>
          </w:tcPr>
          <w:p>
            <w:pPr>
              <w:adjustRightInd w:val="0"/>
              <w:snapToGrid w:val="0"/>
              <w:spacing w:line="240" w:lineRule="auto"/>
              <w:ind w:firstLine="0" w:firstLineChars="0"/>
              <w:jc w:val="center"/>
              <w:rPr>
                <w:rFonts w:hint="eastAsia"/>
                <w:color w:val="auto"/>
                <w:szCs w:val="21"/>
              </w:rPr>
            </w:pPr>
            <w:r>
              <w:rPr>
                <w:rFonts w:hint="eastAsia"/>
                <w:color w:val="auto"/>
                <w:szCs w:val="21"/>
              </w:rPr>
              <w:t>验收</w:t>
            </w:r>
          </w:p>
          <w:p>
            <w:pPr>
              <w:adjustRightInd w:val="0"/>
              <w:snapToGrid w:val="0"/>
              <w:spacing w:line="240" w:lineRule="auto"/>
              <w:ind w:firstLine="0" w:firstLineChars="0"/>
              <w:jc w:val="center"/>
              <w:rPr>
                <w:color w:val="auto"/>
                <w:szCs w:val="21"/>
              </w:rPr>
            </w:pPr>
            <w:r>
              <w:rPr>
                <w:rFonts w:hint="eastAsia"/>
                <w:color w:val="auto"/>
                <w:szCs w:val="21"/>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陆生生态</w:t>
            </w:r>
          </w:p>
        </w:tc>
        <w:tc>
          <w:tcPr>
            <w:tcW w:w="3511" w:type="dxa"/>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auto"/>
                <w:szCs w:val="21"/>
                <w:lang w:eastAsia="zh-CN"/>
              </w:rPr>
            </w:pPr>
            <w:r>
              <w:rPr>
                <w:rFonts w:hint="eastAsia"/>
                <w:color w:val="auto"/>
                <w:spacing w:val="-3"/>
                <w:sz w:val="21"/>
                <w:szCs w:val="21"/>
                <w:lang w:eastAsia="zh-CN"/>
              </w:rPr>
              <w:t>缩小施工作业带宽度，严禁砍伐、破坏施工区以外的植物和植被，妥善处理施工期产生的各类污染物，施工结束之后及时进行迹地恢复等。</w:t>
            </w:r>
          </w:p>
        </w:tc>
        <w:tc>
          <w:tcPr>
            <w:tcW w:w="1819" w:type="dxa"/>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Cs w:val="21"/>
              </w:rPr>
            </w:pPr>
            <w:r>
              <w:rPr>
                <w:color w:val="auto"/>
                <w:spacing w:val="-2"/>
                <w:sz w:val="21"/>
                <w:szCs w:val="21"/>
              </w:rPr>
              <w:t>不会对陆生生态</w:t>
            </w:r>
            <w:r>
              <w:rPr>
                <w:color w:val="auto"/>
                <w:spacing w:val="-1"/>
                <w:sz w:val="21"/>
                <w:szCs w:val="21"/>
              </w:rPr>
              <w:t>环境产生明显影</w:t>
            </w:r>
            <w:r>
              <w:rPr>
                <w:color w:val="auto"/>
                <w:sz w:val="21"/>
                <w:szCs w:val="21"/>
              </w:rPr>
              <w:t>响</w:t>
            </w:r>
          </w:p>
        </w:tc>
        <w:tc>
          <w:tcPr>
            <w:tcW w:w="1150" w:type="dxa"/>
            <w:vAlign w:val="center"/>
          </w:tcPr>
          <w:p>
            <w:pPr>
              <w:widowControl/>
              <w:spacing w:line="240" w:lineRule="auto"/>
              <w:ind w:firstLine="0" w:firstLineChars="0"/>
              <w:jc w:val="center"/>
              <w:rPr>
                <w:rFonts w:hint="default" w:eastAsia="宋体"/>
                <w:color w:val="auto"/>
                <w:szCs w:val="21"/>
                <w:lang w:val="en-US" w:eastAsia="zh-CN"/>
              </w:rPr>
            </w:pPr>
            <w:r>
              <w:rPr>
                <w:rFonts w:hint="eastAsia"/>
                <w:color w:val="auto"/>
                <w:szCs w:val="21"/>
                <w:lang w:val="en-US" w:eastAsia="zh-CN"/>
              </w:rPr>
              <w:t>对河堤进行绿化，引入适宜当地生长的物种</w:t>
            </w:r>
          </w:p>
        </w:tc>
        <w:tc>
          <w:tcPr>
            <w:tcW w:w="943" w:type="dxa"/>
            <w:vAlign w:val="center"/>
          </w:tcPr>
          <w:p>
            <w:pPr>
              <w:adjustRightInd w:val="0"/>
              <w:snapToGrid w:val="0"/>
              <w:spacing w:line="240" w:lineRule="auto"/>
              <w:ind w:firstLine="0" w:firstLineChars="0"/>
              <w:jc w:val="center"/>
              <w:rPr>
                <w:color w:val="auto"/>
                <w:szCs w:val="21"/>
              </w:rPr>
            </w:pPr>
            <w:r>
              <w:rPr>
                <w:color w:val="auto"/>
                <w:spacing w:val="-2"/>
                <w:sz w:val="21"/>
                <w:szCs w:val="21"/>
              </w:rPr>
              <w:t>不会对陆生生态</w:t>
            </w:r>
            <w:r>
              <w:rPr>
                <w:color w:val="auto"/>
                <w:spacing w:val="-1"/>
                <w:sz w:val="21"/>
                <w:szCs w:val="21"/>
              </w:rPr>
              <w:t>环境产生明显影</w:t>
            </w:r>
            <w:r>
              <w:rPr>
                <w:color w:val="auto"/>
                <w:sz w:val="21"/>
                <w:szCs w:val="21"/>
              </w:rPr>
              <w:t>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水生生态</w:t>
            </w:r>
          </w:p>
        </w:tc>
        <w:tc>
          <w:tcPr>
            <w:tcW w:w="3511" w:type="dxa"/>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auto"/>
                <w:szCs w:val="21"/>
                <w:lang w:eastAsia="zh-CN"/>
              </w:rPr>
            </w:pPr>
            <w:r>
              <w:rPr>
                <w:rFonts w:hint="eastAsia"/>
                <w:color w:val="auto"/>
                <w:spacing w:val="-2"/>
                <w:sz w:val="21"/>
                <w:szCs w:val="21"/>
              </w:rPr>
              <w:t>选择枯水期施工，施工材料、土石方不能堆放在河流/渠道沿岸附近，各种污染物不得随意排入附近水体</w:t>
            </w:r>
            <w:r>
              <w:rPr>
                <w:rFonts w:hint="eastAsia"/>
                <w:color w:val="auto"/>
                <w:spacing w:val="-1"/>
                <w:sz w:val="21"/>
                <w:szCs w:val="21"/>
                <w:lang w:eastAsia="zh-CN"/>
              </w:rPr>
              <w:t>。</w:t>
            </w:r>
          </w:p>
        </w:tc>
        <w:tc>
          <w:tcPr>
            <w:tcW w:w="1819" w:type="dxa"/>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Cs w:val="21"/>
              </w:rPr>
            </w:pPr>
            <w:r>
              <w:rPr>
                <w:color w:val="auto"/>
                <w:spacing w:val="-2"/>
                <w:sz w:val="21"/>
                <w:szCs w:val="21"/>
              </w:rPr>
              <w:t>不会对水生生态</w:t>
            </w:r>
            <w:r>
              <w:rPr>
                <w:color w:val="auto"/>
                <w:spacing w:val="-1"/>
                <w:sz w:val="21"/>
                <w:szCs w:val="21"/>
              </w:rPr>
              <w:t>环境产生明显影</w:t>
            </w:r>
            <w:r>
              <w:rPr>
                <w:color w:val="auto"/>
                <w:sz w:val="21"/>
                <w:szCs w:val="21"/>
              </w:rPr>
              <w:t>响</w:t>
            </w:r>
          </w:p>
        </w:tc>
        <w:tc>
          <w:tcPr>
            <w:tcW w:w="1150" w:type="dxa"/>
            <w:vAlign w:val="center"/>
          </w:tcPr>
          <w:p>
            <w:pPr>
              <w:widowControl/>
              <w:spacing w:line="240" w:lineRule="auto"/>
              <w:ind w:firstLine="0" w:firstLineChars="0"/>
              <w:jc w:val="center"/>
              <w:rPr>
                <w:color w:val="auto"/>
                <w:szCs w:val="21"/>
              </w:rPr>
            </w:pPr>
            <w:r>
              <w:rPr>
                <w:rFonts w:hint="eastAsia"/>
                <w:color w:val="auto"/>
                <w:szCs w:val="21"/>
              </w:rPr>
              <w:t>/</w:t>
            </w:r>
          </w:p>
        </w:tc>
        <w:tc>
          <w:tcPr>
            <w:tcW w:w="943"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地表水环境</w:t>
            </w:r>
          </w:p>
        </w:tc>
        <w:tc>
          <w:tcPr>
            <w:tcW w:w="3511" w:type="dxa"/>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auto"/>
                <w:spacing w:val="-2"/>
                <w:sz w:val="21"/>
                <w:szCs w:val="21"/>
                <w:lang w:eastAsia="zh-CN"/>
              </w:rPr>
            </w:pPr>
            <w:r>
              <w:rPr>
                <w:color w:val="auto"/>
                <w:spacing w:val="-2"/>
                <w:sz w:val="21"/>
                <w:szCs w:val="21"/>
              </w:rPr>
              <w:t>施工废水经沉淀池收集处理后回用，不外排；生活废水经</w:t>
            </w:r>
            <w:r>
              <w:rPr>
                <w:rFonts w:hint="eastAsia"/>
                <w:color w:val="auto"/>
                <w:spacing w:val="-2"/>
                <w:sz w:val="21"/>
                <w:szCs w:val="21"/>
              </w:rPr>
              <w:t>生活污水依托租用住房已有污水处理设施处理</w:t>
            </w:r>
            <w:r>
              <w:rPr>
                <w:rFonts w:hint="eastAsia"/>
                <w:color w:val="auto"/>
                <w:spacing w:val="-2"/>
                <w:sz w:val="21"/>
                <w:szCs w:val="21"/>
                <w:lang w:eastAsia="zh-CN"/>
              </w:rPr>
              <w:t>。</w:t>
            </w:r>
          </w:p>
        </w:tc>
        <w:tc>
          <w:tcPr>
            <w:tcW w:w="1819" w:type="dxa"/>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color w:val="auto"/>
                <w:spacing w:val="-2"/>
                <w:sz w:val="21"/>
                <w:szCs w:val="21"/>
              </w:rPr>
            </w:pPr>
            <w:r>
              <w:rPr>
                <w:color w:val="auto"/>
                <w:spacing w:val="-2"/>
                <w:sz w:val="21"/>
                <w:szCs w:val="21"/>
              </w:rPr>
              <w:t>不会对区域地表水环境产生明显影响</w:t>
            </w:r>
          </w:p>
        </w:tc>
        <w:tc>
          <w:tcPr>
            <w:tcW w:w="1150" w:type="dxa"/>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auto"/>
                <w:spacing w:val="-2"/>
                <w:sz w:val="21"/>
                <w:szCs w:val="21"/>
                <w:lang w:eastAsia="zh-CN"/>
              </w:rPr>
            </w:pPr>
            <w:r>
              <w:rPr>
                <w:rFonts w:hint="eastAsia" w:ascii="Times New Roman" w:hAnsi="Times New Roman" w:cs="Times New Roman"/>
                <w:color w:val="auto"/>
                <w:spacing w:val="-2"/>
                <w:sz w:val="21"/>
                <w:szCs w:val="21"/>
                <w:lang w:val="en-US" w:eastAsia="zh-CN"/>
              </w:rPr>
              <w:t>/</w:t>
            </w:r>
          </w:p>
        </w:tc>
        <w:tc>
          <w:tcPr>
            <w:tcW w:w="943" w:type="dxa"/>
            <w:vAlign w:val="center"/>
          </w:tcPr>
          <w:p>
            <w:pPr>
              <w:pStyle w:val="2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eastAsia="宋体"/>
                <w:color w:val="auto"/>
                <w:spacing w:val="-2"/>
                <w:sz w:val="21"/>
                <w:szCs w:val="21"/>
                <w:lang w:eastAsia="zh-CN"/>
              </w:rPr>
            </w:pPr>
            <w:r>
              <w:rPr>
                <w:rFonts w:hint="eastAsia" w:ascii="Times New Roman" w:hAnsi="Times New Roman" w:cs="Times New Roman"/>
                <w:color w:val="auto"/>
                <w:spacing w:val="-2"/>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地下水及土壤环境</w:t>
            </w:r>
          </w:p>
        </w:tc>
        <w:tc>
          <w:tcPr>
            <w:tcW w:w="3511"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819"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150" w:type="dxa"/>
            <w:vAlign w:val="center"/>
          </w:tcPr>
          <w:p>
            <w:pPr>
              <w:widowControl/>
              <w:spacing w:line="240" w:lineRule="auto"/>
              <w:ind w:firstLine="0" w:firstLineChars="0"/>
              <w:jc w:val="center"/>
              <w:rPr>
                <w:color w:val="auto"/>
                <w:szCs w:val="21"/>
              </w:rPr>
            </w:pPr>
            <w:r>
              <w:rPr>
                <w:rFonts w:hint="eastAsia"/>
                <w:color w:val="auto"/>
                <w:szCs w:val="21"/>
              </w:rPr>
              <w:t>/</w:t>
            </w:r>
          </w:p>
        </w:tc>
        <w:tc>
          <w:tcPr>
            <w:tcW w:w="943"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声环境</w:t>
            </w:r>
          </w:p>
        </w:tc>
        <w:tc>
          <w:tcPr>
            <w:tcW w:w="3511" w:type="dxa"/>
            <w:vAlign w:val="center"/>
          </w:tcPr>
          <w:p>
            <w:pPr>
              <w:adjustRightInd w:val="0"/>
              <w:snapToGrid w:val="0"/>
              <w:spacing w:line="240" w:lineRule="auto"/>
              <w:ind w:firstLine="0" w:firstLineChars="0"/>
              <w:jc w:val="center"/>
              <w:rPr>
                <w:color w:val="auto"/>
                <w:szCs w:val="21"/>
              </w:rPr>
            </w:pPr>
            <w:r>
              <w:rPr>
                <w:color w:val="auto"/>
                <w:spacing w:val="-2"/>
                <w:sz w:val="21"/>
                <w:szCs w:val="21"/>
              </w:rPr>
              <w:t>①选用低噪声设备；②合理布局，靠近敏感点一侧设置围挡，进行打围作业；③加强运输车辆管理，合理安排运输路线及运输时间；④合理安排施工计划和施工机械设备组合，禁止夜间施工，避免高噪声设备同时作业，若遇特殊情况需连续作业时，应报经主管部门同意并</w:t>
            </w:r>
            <w:r>
              <w:rPr>
                <w:color w:val="auto"/>
                <w:spacing w:val="-1"/>
                <w:sz w:val="21"/>
                <w:szCs w:val="21"/>
              </w:rPr>
              <w:t>张贴公告后方可进行施工。</w:t>
            </w:r>
          </w:p>
        </w:tc>
        <w:tc>
          <w:tcPr>
            <w:tcW w:w="1819" w:type="dxa"/>
            <w:vAlign w:val="center"/>
          </w:tcPr>
          <w:p>
            <w:pPr>
              <w:adjustRightInd w:val="0"/>
              <w:snapToGrid w:val="0"/>
              <w:spacing w:line="240" w:lineRule="auto"/>
              <w:ind w:firstLine="0" w:firstLineChars="0"/>
              <w:jc w:val="center"/>
              <w:rPr>
                <w:color w:val="auto"/>
                <w:szCs w:val="21"/>
              </w:rPr>
            </w:pPr>
            <w:r>
              <w:rPr>
                <w:rFonts w:hint="eastAsia"/>
                <w:color w:val="auto"/>
                <w:szCs w:val="21"/>
              </w:rPr>
              <w:t>《建筑施工场界环境噪声排放标准》（GB12523-2011）表1标准限值</w:t>
            </w:r>
          </w:p>
        </w:tc>
        <w:tc>
          <w:tcPr>
            <w:tcW w:w="1150"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943"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振动</w:t>
            </w:r>
          </w:p>
        </w:tc>
        <w:tc>
          <w:tcPr>
            <w:tcW w:w="3511"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819"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150" w:type="dxa"/>
            <w:vAlign w:val="center"/>
          </w:tcPr>
          <w:p>
            <w:pPr>
              <w:widowControl/>
              <w:spacing w:line="240" w:lineRule="auto"/>
              <w:ind w:firstLine="0" w:firstLineChars="0"/>
              <w:jc w:val="center"/>
              <w:rPr>
                <w:color w:val="auto"/>
                <w:szCs w:val="21"/>
              </w:rPr>
            </w:pPr>
            <w:r>
              <w:rPr>
                <w:rFonts w:hint="eastAsia"/>
                <w:color w:val="auto"/>
                <w:szCs w:val="21"/>
              </w:rPr>
              <w:t>/</w:t>
            </w:r>
          </w:p>
        </w:tc>
        <w:tc>
          <w:tcPr>
            <w:tcW w:w="943"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大气环境</w:t>
            </w:r>
          </w:p>
        </w:tc>
        <w:tc>
          <w:tcPr>
            <w:tcW w:w="3511" w:type="dxa"/>
            <w:vAlign w:val="center"/>
          </w:tcPr>
          <w:p>
            <w:pPr>
              <w:adjustRightInd w:val="0"/>
              <w:snapToGrid w:val="0"/>
              <w:spacing w:line="240" w:lineRule="auto"/>
              <w:ind w:firstLine="0" w:firstLineChars="0"/>
              <w:jc w:val="center"/>
              <w:rPr>
                <w:rFonts w:hint="eastAsia"/>
                <w:color w:val="auto"/>
                <w:szCs w:val="21"/>
                <w:lang w:val="en-US" w:eastAsia="zh-CN"/>
              </w:rPr>
            </w:pPr>
            <w:r>
              <w:rPr>
                <w:rFonts w:hint="eastAsia"/>
                <w:color w:val="auto"/>
                <w:szCs w:val="21"/>
                <w:lang w:val="en-US" w:eastAsia="zh-CN"/>
              </w:rPr>
              <w:t>①湿法作业，土石方开挖作业前采用移动式人工软管（安装雾化喷嘴）对开挖表面喷水；②靠近两岸居民施工段设置</w:t>
            </w:r>
            <w:r>
              <w:rPr>
                <w:rFonts w:hint="default"/>
                <w:color w:val="auto"/>
                <w:szCs w:val="21"/>
                <w:lang w:val="en-US" w:eastAsia="zh-CN"/>
              </w:rPr>
              <w:t>2m</w:t>
            </w:r>
            <w:r>
              <w:rPr>
                <w:rFonts w:hint="eastAsia"/>
                <w:color w:val="auto"/>
                <w:szCs w:val="21"/>
                <w:lang w:val="en-US" w:eastAsia="zh-CN"/>
              </w:rPr>
              <w:t>高围挡；</w:t>
            </w:r>
          </w:p>
          <w:p>
            <w:pPr>
              <w:adjustRightInd w:val="0"/>
              <w:snapToGrid w:val="0"/>
              <w:spacing w:line="240" w:lineRule="auto"/>
              <w:ind w:firstLine="0" w:firstLineChars="0"/>
              <w:jc w:val="center"/>
              <w:rPr>
                <w:color w:val="auto"/>
                <w:szCs w:val="21"/>
              </w:rPr>
            </w:pPr>
            <w:r>
              <w:rPr>
                <w:rFonts w:hint="eastAsia"/>
                <w:color w:val="auto"/>
                <w:szCs w:val="21"/>
                <w:lang w:val="en-US" w:eastAsia="zh-CN"/>
              </w:rPr>
              <w:t>③物料装卸过程中采用洒水降尘；④临时堆场、材料堆场表面拍实，洒水降尘，密目网遮盖；⑤采用商品混凝土现场禁止搅拌，零星砂浆抹面作业袋装水泥就近堆放，密目网遮盖；⑥避免大风天气作业；⑦采用密闭式运输，运输车辆采用篷布遮盖，减少运输扬尘产生与排放。⑧设置车辆冲洗区，进出场车辆进行冲洗。</w:t>
            </w:r>
          </w:p>
        </w:tc>
        <w:tc>
          <w:tcPr>
            <w:tcW w:w="1819" w:type="dxa"/>
            <w:vAlign w:val="center"/>
          </w:tcPr>
          <w:p>
            <w:pPr>
              <w:adjustRightInd w:val="0"/>
              <w:snapToGrid w:val="0"/>
              <w:spacing w:line="240" w:lineRule="auto"/>
              <w:ind w:firstLine="0" w:firstLineChars="0"/>
              <w:jc w:val="center"/>
              <w:rPr>
                <w:color w:val="auto"/>
                <w:szCs w:val="21"/>
              </w:rPr>
            </w:pPr>
            <w:r>
              <w:rPr>
                <w:rFonts w:hint="eastAsia"/>
                <w:color w:val="auto"/>
                <w:szCs w:val="21"/>
              </w:rPr>
              <w:t>满足《四川省施工场地扬尘排放标准》（DB51/2682-2020）要求</w:t>
            </w:r>
          </w:p>
        </w:tc>
        <w:tc>
          <w:tcPr>
            <w:tcW w:w="1150"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943"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固体废物</w:t>
            </w:r>
          </w:p>
        </w:tc>
        <w:tc>
          <w:tcPr>
            <w:tcW w:w="3511" w:type="dxa"/>
            <w:vAlign w:val="center"/>
          </w:tcPr>
          <w:p>
            <w:pPr>
              <w:keepNext w:val="0"/>
              <w:keepLines w:val="0"/>
              <w:widowControl/>
              <w:suppressLineNumbers w:val="0"/>
              <w:jc w:val="center"/>
              <w:rPr>
                <w:color w:val="auto"/>
                <w:szCs w:val="21"/>
              </w:rPr>
            </w:pPr>
            <w:r>
              <w:rPr>
                <w:rFonts w:hint="eastAsia"/>
                <w:color w:val="auto"/>
                <w:szCs w:val="21"/>
              </w:rPr>
              <w:t>生活垃圾：袋装收集后定期清运至就近垃圾暂存点，由当地环卫部门清运处置；开挖土石方：部分用于施工区建设回填土石方，</w:t>
            </w:r>
            <w:r>
              <w:rPr>
                <w:rFonts w:hint="eastAsia"/>
                <w:b w:val="0"/>
                <w:color w:val="auto"/>
                <w:kern w:val="0"/>
                <w:sz w:val="21"/>
                <w:szCs w:val="21"/>
              </w:rPr>
              <w:t>剩余土石</w:t>
            </w:r>
            <w:r>
              <w:rPr>
                <w:rFonts w:hint="eastAsia"/>
                <w:color w:val="auto"/>
                <w:szCs w:val="21"/>
              </w:rPr>
              <w:t>方</w:t>
            </w:r>
            <w:r>
              <w:rPr>
                <w:rFonts w:hint="eastAsia"/>
                <w:color w:val="auto"/>
                <w:szCs w:val="21"/>
                <w:lang w:val="en-US" w:eastAsia="zh-CN"/>
              </w:rPr>
              <w:t>用于堤后低洼部分回填</w:t>
            </w:r>
            <w:r>
              <w:rPr>
                <w:rFonts w:hint="eastAsia"/>
                <w:color w:val="auto"/>
                <w:szCs w:val="21"/>
              </w:rPr>
              <w:t>；建筑垃圾：建筑垃圾中能回收的废材料、废包装袋经收集后外售废品回收站，无法回收利用的建筑垃圾运至市政指定地点；</w:t>
            </w:r>
          </w:p>
        </w:tc>
        <w:tc>
          <w:tcPr>
            <w:tcW w:w="1819" w:type="dxa"/>
            <w:vAlign w:val="center"/>
          </w:tcPr>
          <w:p>
            <w:pPr>
              <w:adjustRightInd w:val="0"/>
              <w:snapToGrid w:val="0"/>
              <w:spacing w:line="240" w:lineRule="auto"/>
              <w:ind w:firstLine="0" w:firstLineChars="0"/>
              <w:jc w:val="center"/>
              <w:rPr>
                <w:color w:val="auto"/>
                <w:szCs w:val="21"/>
              </w:rPr>
            </w:pPr>
            <w:r>
              <w:rPr>
                <w:rFonts w:hint="eastAsia"/>
                <w:color w:val="auto"/>
                <w:szCs w:val="21"/>
              </w:rPr>
              <w:t>合理处置，不造成二次污染</w:t>
            </w:r>
          </w:p>
        </w:tc>
        <w:tc>
          <w:tcPr>
            <w:tcW w:w="1150" w:type="dxa"/>
            <w:vAlign w:val="center"/>
          </w:tcPr>
          <w:p>
            <w:pPr>
              <w:adjustRightInd w:val="0"/>
              <w:snapToGrid w:val="0"/>
              <w:spacing w:line="240" w:lineRule="auto"/>
              <w:ind w:firstLine="0" w:firstLineChars="0"/>
              <w:jc w:val="center"/>
              <w:rPr>
                <w:rFonts w:hint="eastAsia" w:eastAsia="宋体"/>
                <w:color w:val="auto"/>
                <w:szCs w:val="21"/>
                <w:lang w:eastAsia="zh-CN"/>
              </w:rPr>
            </w:pPr>
            <w:r>
              <w:rPr>
                <w:rFonts w:hint="eastAsia"/>
                <w:color w:val="auto"/>
                <w:szCs w:val="21"/>
                <w:lang w:val="en-US" w:eastAsia="zh-CN"/>
              </w:rPr>
              <w:t>/</w:t>
            </w:r>
          </w:p>
        </w:tc>
        <w:tc>
          <w:tcPr>
            <w:tcW w:w="943" w:type="dxa"/>
            <w:vAlign w:val="center"/>
          </w:tcPr>
          <w:p>
            <w:pPr>
              <w:adjustRightInd w:val="0"/>
              <w:snapToGrid w:val="0"/>
              <w:spacing w:line="240" w:lineRule="auto"/>
              <w:ind w:firstLine="0" w:firstLineChars="0"/>
              <w:jc w:val="center"/>
              <w:rPr>
                <w:rFonts w:hint="eastAsia" w:eastAsia="宋体"/>
                <w:color w:val="auto"/>
                <w:szCs w:val="21"/>
                <w:lang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电磁环境</w:t>
            </w:r>
          </w:p>
        </w:tc>
        <w:tc>
          <w:tcPr>
            <w:tcW w:w="3511" w:type="dxa"/>
            <w:vAlign w:val="center"/>
          </w:tcPr>
          <w:p>
            <w:pPr>
              <w:adjustRightInd w:val="0"/>
              <w:snapToGrid w:val="0"/>
              <w:spacing w:line="240" w:lineRule="auto"/>
              <w:ind w:firstLine="0" w:firstLineChars="0"/>
              <w:jc w:val="center"/>
              <w:rPr>
                <w:color w:val="auto"/>
                <w:szCs w:val="21"/>
              </w:rPr>
            </w:pPr>
            <w:r>
              <w:rPr>
                <w:color w:val="auto"/>
                <w:szCs w:val="21"/>
              </w:rPr>
              <w:t>/</w:t>
            </w:r>
          </w:p>
        </w:tc>
        <w:tc>
          <w:tcPr>
            <w:tcW w:w="1819" w:type="dxa"/>
            <w:vAlign w:val="center"/>
          </w:tcPr>
          <w:p>
            <w:pPr>
              <w:adjustRightInd w:val="0"/>
              <w:snapToGrid w:val="0"/>
              <w:spacing w:line="240" w:lineRule="auto"/>
              <w:ind w:firstLine="0" w:firstLineChars="0"/>
              <w:jc w:val="center"/>
              <w:rPr>
                <w:color w:val="auto"/>
                <w:szCs w:val="21"/>
              </w:rPr>
            </w:pPr>
            <w:r>
              <w:rPr>
                <w:color w:val="auto"/>
                <w:szCs w:val="21"/>
              </w:rPr>
              <w:t>/</w:t>
            </w:r>
          </w:p>
        </w:tc>
        <w:tc>
          <w:tcPr>
            <w:tcW w:w="1150" w:type="dxa"/>
            <w:vAlign w:val="center"/>
          </w:tcPr>
          <w:p>
            <w:pPr>
              <w:adjustRightInd w:val="0"/>
              <w:snapToGrid w:val="0"/>
              <w:spacing w:line="240" w:lineRule="auto"/>
              <w:ind w:firstLine="0" w:firstLineChars="0"/>
              <w:jc w:val="center"/>
              <w:rPr>
                <w:color w:val="auto"/>
                <w:szCs w:val="21"/>
              </w:rPr>
            </w:pPr>
            <w:r>
              <w:rPr>
                <w:color w:val="auto"/>
                <w:szCs w:val="21"/>
              </w:rPr>
              <w:t>/</w:t>
            </w:r>
          </w:p>
        </w:tc>
        <w:tc>
          <w:tcPr>
            <w:tcW w:w="943" w:type="dxa"/>
            <w:vAlign w:val="center"/>
          </w:tcPr>
          <w:p>
            <w:pPr>
              <w:adjustRightInd w:val="0"/>
              <w:snapToGrid w:val="0"/>
              <w:spacing w:line="240" w:lineRule="auto"/>
              <w:ind w:firstLine="0" w:firstLineChars="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rFonts w:hint="eastAsia"/>
                <w:color w:val="auto"/>
                <w:szCs w:val="21"/>
              </w:rPr>
            </w:pPr>
            <w:r>
              <w:rPr>
                <w:rFonts w:hint="eastAsia"/>
                <w:color w:val="auto"/>
                <w:szCs w:val="21"/>
              </w:rPr>
              <w:t>环境风险</w:t>
            </w:r>
          </w:p>
        </w:tc>
        <w:tc>
          <w:tcPr>
            <w:tcW w:w="3511" w:type="dxa"/>
            <w:vAlign w:val="center"/>
          </w:tcPr>
          <w:p>
            <w:pPr>
              <w:keepNext w:val="0"/>
              <w:keepLines w:val="0"/>
              <w:widowControl/>
              <w:suppressLineNumbers w:val="0"/>
              <w:jc w:val="center"/>
              <w:rPr>
                <w:rFonts w:hint="eastAsia"/>
                <w:color w:val="auto"/>
                <w:szCs w:val="21"/>
              </w:rPr>
            </w:pPr>
            <w:r>
              <w:rPr>
                <w:rFonts w:hint="eastAsia" w:ascii="宋体" w:hAnsi="宋体" w:eastAsia="宋体" w:cs="宋体"/>
                <w:color w:val="auto"/>
                <w:kern w:val="0"/>
                <w:sz w:val="20"/>
                <w:szCs w:val="20"/>
                <w:lang w:val="en-US" w:eastAsia="zh-CN" w:bidi="ar"/>
              </w:rPr>
              <w:t>要加强车辆及设备维护保养，出现问题及时检修，及时更换车辆设备失效的油封、衬垫、螺母等密封零部件，杜绝设备跑冒滴漏</w:t>
            </w:r>
            <w:r>
              <w:rPr>
                <w:rFonts w:hint="eastAsia"/>
                <w:color w:val="auto"/>
                <w:szCs w:val="21"/>
              </w:rPr>
              <w:t>。</w:t>
            </w:r>
          </w:p>
        </w:tc>
        <w:tc>
          <w:tcPr>
            <w:tcW w:w="1819" w:type="dxa"/>
            <w:vAlign w:val="center"/>
          </w:tcPr>
          <w:p>
            <w:pPr>
              <w:adjustRightInd w:val="0"/>
              <w:snapToGrid w:val="0"/>
              <w:spacing w:line="240" w:lineRule="auto"/>
              <w:ind w:firstLine="0" w:firstLineChars="0"/>
              <w:jc w:val="center"/>
              <w:rPr>
                <w:color w:val="auto"/>
                <w:szCs w:val="21"/>
              </w:rPr>
            </w:pPr>
            <w:r>
              <w:rPr>
                <w:color w:val="auto"/>
                <w:szCs w:val="21"/>
              </w:rPr>
              <w:t>/</w:t>
            </w:r>
          </w:p>
        </w:tc>
        <w:tc>
          <w:tcPr>
            <w:tcW w:w="1150" w:type="dxa"/>
            <w:vAlign w:val="center"/>
          </w:tcPr>
          <w:p>
            <w:pPr>
              <w:adjustRightInd w:val="0"/>
              <w:snapToGrid w:val="0"/>
              <w:spacing w:line="240" w:lineRule="auto"/>
              <w:ind w:firstLine="0" w:firstLineChars="0"/>
              <w:jc w:val="center"/>
              <w:rPr>
                <w:color w:val="auto"/>
                <w:szCs w:val="21"/>
              </w:rPr>
            </w:pPr>
            <w:r>
              <w:rPr>
                <w:color w:val="auto"/>
                <w:szCs w:val="21"/>
              </w:rPr>
              <w:t>/</w:t>
            </w:r>
          </w:p>
        </w:tc>
        <w:tc>
          <w:tcPr>
            <w:tcW w:w="943" w:type="dxa"/>
            <w:vAlign w:val="center"/>
          </w:tcPr>
          <w:p>
            <w:pPr>
              <w:adjustRightInd w:val="0"/>
              <w:snapToGrid w:val="0"/>
              <w:spacing w:line="240" w:lineRule="auto"/>
              <w:ind w:firstLine="0" w:firstLineChars="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环境监测</w:t>
            </w:r>
          </w:p>
        </w:tc>
        <w:tc>
          <w:tcPr>
            <w:tcW w:w="3511" w:type="dxa"/>
            <w:vAlign w:val="center"/>
          </w:tcPr>
          <w:p>
            <w:pPr>
              <w:keepNext w:val="0"/>
              <w:keepLines w:val="0"/>
              <w:widowControl/>
              <w:suppressLineNumbers w:val="0"/>
              <w:jc w:val="center"/>
              <w:rPr>
                <w:color w:val="auto"/>
                <w:szCs w:val="21"/>
              </w:rPr>
            </w:pPr>
            <w:r>
              <w:rPr>
                <w:rFonts w:hint="eastAsia" w:ascii="宋体" w:hAnsi="宋体" w:eastAsia="宋体" w:cs="宋体"/>
                <w:color w:val="auto"/>
                <w:kern w:val="0"/>
                <w:sz w:val="20"/>
                <w:szCs w:val="20"/>
                <w:lang w:val="en-US" w:eastAsia="zh-CN" w:bidi="ar"/>
              </w:rPr>
              <w:t>对区域地表水、大气、噪声环境进行定期监测</w:t>
            </w:r>
            <w:r>
              <w:rPr>
                <w:rFonts w:hint="eastAsia" w:cs="Times New Roman"/>
                <w:color w:val="auto"/>
                <w:kern w:val="2"/>
                <w:sz w:val="21"/>
                <w:szCs w:val="21"/>
                <w:lang w:val="en-US" w:eastAsia="zh-CN" w:bidi="ar-SA"/>
              </w:rPr>
              <w:t>。</w:t>
            </w:r>
          </w:p>
        </w:tc>
        <w:tc>
          <w:tcPr>
            <w:tcW w:w="1819" w:type="dxa"/>
            <w:vAlign w:val="center"/>
          </w:tcPr>
          <w:p>
            <w:pPr>
              <w:keepNext w:val="0"/>
              <w:keepLines w:val="0"/>
              <w:widowControl/>
              <w:suppressLineNumbers w:val="0"/>
              <w:jc w:val="center"/>
              <w:rPr>
                <w:rFonts w:hint="eastAsia" w:eastAsia="宋体"/>
                <w:color w:val="FF0000"/>
                <w:szCs w:val="21"/>
                <w:lang w:val="en-US" w:eastAsia="zh-CN"/>
              </w:rPr>
            </w:pPr>
            <w:r>
              <w:rPr>
                <w:rFonts w:hint="eastAsia"/>
                <w:color w:val="auto"/>
                <w:szCs w:val="21"/>
              </w:rPr>
              <w:t>地</w:t>
            </w:r>
            <w:r>
              <w:rPr>
                <w:rFonts w:hint="default" w:ascii="Times New Roman" w:hAnsi="Times New Roman" w:eastAsia="宋体" w:cs="Times New Roman"/>
                <w:color w:val="auto"/>
                <w:sz w:val="21"/>
                <w:szCs w:val="21"/>
              </w:rPr>
              <w:t>表水满足《地表水环境质量标准》（GB3838-2002）中Ⅲ类标准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bidi="ar"/>
              </w:rPr>
              <w:t>大气满足《四川省施</w:t>
            </w:r>
            <w:r>
              <w:rPr>
                <w:rFonts w:hint="default" w:ascii="Times New Roman" w:hAnsi="Times New Roman" w:eastAsia="宋体" w:cs="Times New Roman"/>
                <w:color w:val="000000"/>
                <w:kern w:val="0"/>
                <w:sz w:val="21"/>
                <w:szCs w:val="21"/>
                <w:lang w:val="en-US" w:eastAsia="zh-CN" w:bidi="ar"/>
              </w:rPr>
              <w:t>工场地扬尘排放标准》（DB51/2682-2020）；噪声满足《建筑施工场界环境噪声排放标准》（GB12523-2011）</w:t>
            </w:r>
          </w:p>
        </w:tc>
        <w:tc>
          <w:tcPr>
            <w:tcW w:w="1150" w:type="dxa"/>
            <w:vAlign w:val="center"/>
          </w:tcPr>
          <w:p>
            <w:pPr>
              <w:adjustRightInd w:val="0"/>
              <w:snapToGrid w:val="0"/>
              <w:spacing w:line="240" w:lineRule="auto"/>
              <w:ind w:firstLine="0" w:firstLineChars="0"/>
              <w:jc w:val="center"/>
              <w:rPr>
                <w:rFonts w:hint="eastAsia" w:eastAsia="宋体"/>
                <w:color w:val="auto"/>
                <w:szCs w:val="21"/>
                <w:lang w:eastAsia="zh-CN"/>
              </w:rPr>
            </w:pPr>
            <w:r>
              <w:rPr>
                <w:rFonts w:hint="eastAsia"/>
                <w:color w:val="auto"/>
                <w:szCs w:val="21"/>
                <w:lang w:val="en-US" w:eastAsia="zh-CN"/>
              </w:rPr>
              <w:t>/</w:t>
            </w:r>
          </w:p>
        </w:tc>
        <w:tc>
          <w:tcPr>
            <w:tcW w:w="943" w:type="dxa"/>
            <w:vAlign w:val="center"/>
          </w:tcPr>
          <w:p>
            <w:pPr>
              <w:adjustRightInd w:val="0"/>
              <w:snapToGrid w:val="0"/>
              <w:spacing w:line="240" w:lineRule="auto"/>
              <w:ind w:firstLine="0" w:firstLineChars="0"/>
              <w:jc w:val="center"/>
              <w:rPr>
                <w:rFonts w:hint="eastAsia" w:eastAsia="宋体"/>
                <w:color w:val="auto"/>
                <w:szCs w:val="21"/>
                <w:lang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92" w:type="dxa"/>
            <w:vAlign w:val="center"/>
          </w:tcPr>
          <w:p>
            <w:pPr>
              <w:adjustRightInd w:val="0"/>
              <w:snapToGrid w:val="0"/>
              <w:spacing w:line="240" w:lineRule="auto"/>
              <w:ind w:firstLine="0" w:firstLineChars="0"/>
              <w:jc w:val="center"/>
              <w:rPr>
                <w:color w:val="auto"/>
                <w:szCs w:val="21"/>
              </w:rPr>
            </w:pPr>
            <w:r>
              <w:rPr>
                <w:rFonts w:hint="eastAsia"/>
                <w:color w:val="auto"/>
                <w:szCs w:val="21"/>
              </w:rPr>
              <w:t>其他</w:t>
            </w:r>
          </w:p>
        </w:tc>
        <w:tc>
          <w:tcPr>
            <w:tcW w:w="3511"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819"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c>
          <w:tcPr>
            <w:tcW w:w="1150" w:type="dxa"/>
            <w:vAlign w:val="center"/>
          </w:tcPr>
          <w:p>
            <w:pPr>
              <w:widowControl/>
              <w:spacing w:line="240" w:lineRule="auto"/>
              <w:ind w:firstLine="0" w:firstLineChars="0"/>
              <w:jc w:val="center"/>
              <w:rPr>
                <w:color w:val="auto"/>
                <w:szCs w:val="21"/>
              </w:rPr>
            </w:pPr>
            <w:r>
              <w:rPr>
                <w:rFonts w:hint="eastAsia"/>
                <w:color w:val="auto"/>
                <w:szCs w:val="21"/>
              </w:rPr>
              <w:t>/</w:t>
            </w:r>
          </w:p>
        </w:tc>
        <w:tc>
          <w:tcPr>
            <w:tcW w:w="943" w:type="dxa"/>
            <w:vAlign w:val="center"/>
          </w:tcPr>
          <w:p>
            <w:pPr>
              <w:adjustRightInd w:val="0"/>
              <w:snapToGrid w:val="0"/>
              <w:spacing w:line="240" w:lineRule="auto"/>
              <w:ind w:firstLine="0" w:firstLineChars="0"/>
              <w:jc w:val="center"/>
              <w:rPr>
                <w:color w:val="auto"/>
                <w:szCs w:val="21"/>
              </w:rPr>
            </w:pPr>
            <w:r>
              <w:rPr>
                <w:rFonts w:hint="eastAsia"/>
                <w:color w:val="auto"/>
                <w:szCs w:val="21"/>
              </w:rPr>
              <w:t>/</w:t>
            </w:r>
          </w:p>
        </w:tc>
      </w:tr>
    </w:tbl>
    <w:p>
      <w:pPr>
        <w:pStyle w:val="32"/>
        <w:spacing w:before="0" w:beforeAutospacing="0" w:line="14" w:lineRule="auto"/>
        <w:jc w:val="center"/>
        <w:outlineLvl w:val="0"/>
        <w:rPr>
          <w:rFonts w:hint="default" w:ascii="Times New Roman" w:hAnsi="Times New Roman" w:eastAsia="黑体" w:cs="Times New Roman"/>
          <w:snapToGrid w:val="0"/>
          <w:color w:val="FF0000"/>
          <w:sz w:val="30"/>
          <w:szCs w:val="30"/>
        </w:rPr>
      </w:pPr>
      <w:r>
        <w:rPr>
          <w:rFonts w:hint="default" w:ascii="Times New Roman" w:hAnsi="Times New Roman" w:eastAsia="黑体" w:cs="Times New Roman"/>
          <w:snapToGrid w:val="0"/>
          <w:color w:val="FF0000"/>
          <w:sz w:val="30"/>
          <w:szCs w:val="30"/>
        </w:rPr>
        <w:br w:type="page"/>
      </w:r>
    </w:p>
    <w:p>
      <w:pPr>
        <w:pStyle w:val="32"/>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七、结论</w:t>
      </w:r>
    </w:p>
    <w:tbl>
      <w:tblPr>
        <w:tblStyle w:val="37"/>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72" w:hRule="atLeast"/>
          <w:jc w:val="center"/>
        </w:trPr>
        <w:tc>
          <w:tcPr>
            <w:tcW w:w="9289" w:type="dxa"/>
          </w:tcPr>
          <w:p>
            <w:pPr>
              <w:widowControl/>
              <w:adjustRightInd w:val="0"/>
              <w:snapToGrid w:val="0"/>
              <w:spacing w:before="240" w:beforeLines="100" w:line="360" w:lineRule="auto"/>
              <w:ind w:firstLine="482"/>
              <w:rPr>
                <w:rFonts w:hint="default" w:ascii="Times New Roman" w:hAnsi="Times New Roman" w:cs="Times New Roman"/>
                <w:color w:val="FF0000"/>
                <w:sz w:val="24"/>
              </w:rPr>
            </w:pPr>
            <w:r>
              <w:rPr>
                <w:rFonts w:hint="default" w:ascii="Times New Roman" w:hAnsi="Times New Roman" w:cs="Times New Roman"/>
                <w:color w:val="auto"/>
                <w:sz w:val="24"/>
              </w:rPr>
              <w:t>本项目建设符合国家相关产业政策，项目的建设符合规划要求，采取的各项污染防治措施技术经济可行。在严格执</w:t>
            </w:r>
            <w:r>
              <w:rPr>
                <w:rFonts w:hint="eastAsia" w:ascii="宋体" w:hAnsi="宋体" w:eastAsia="宋体" w:cs="宋体"/>
                <w:color w:val="auto"/>
                <w:sz w:val="24"/>
              </w:rPr>
              <w:t>行“三同时”制</w:t>
            </w:r>
            <w:r>
              <w:rPr>
                <w:rFonts w:hint="default" w:ascii="Times New Roman" w:hAnsi="Times New Roman" w:cs="Times New Roman"/>
                <w:color w:val="auto"/>
                <w:sz w:val="24"/>
              </w:rPr>
              <w:t>度、全面落实本评价提出的各项环保治理措施条件下，本项目的实施不会改变当地的环境质量及生态环境现状。因此，从环境保护的角度而言，本项目的实施是可行的。</w:t>
            </w:r>
          </w:p>
        </w:tc>
      </w:tr>
    </w:tbl>
    <w:p>
      <w:pPr>
        <w:widowControl/>
        <w:adjustRightInd w:val="0"/>
        <w:snapToGrid w:val="0"/>
        <w:spacing w:before="192" w:beforeLines="80"/>
        <w:jc w:val="left"/>
        <w:rPr>
          <w:rFonts w:hint="default" w:ascii="Times New Roman" w:hAnsi="Times New Roman" w:cs="Times New Roman"/>
          <w:color w:val="FF0000"/>
        </w:rPr>
      </w:pPr>
    </w:p>
    <w:sectPr>
      <w:pgSz w:w="11906" w:h="16838"/>
      <w:pgMar w:top="1440" w:right="1800" w:bottom="1440" w:left="1800" w:header="851" w:footer="1077"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等线 Light">
    <w:altName w:val="华文中宋"/>
    <w:panose1 w:val="02010600030101010101"/>
    <w:charset w:val="86"/>
    <w:family w:val="auto"/>
    <w:pitch w:val="default"/>
    <w:sig w:usb0="00000000" w:usb1="00000000"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宋体..輀.">
    <w:altName w:val="方正书宋_GBK"/>
    <w:panose1 w:val="00000000000000000000"/>
    <w:charset w:val="86"/>
    <w:family w:val="roman"/>
    <w:pitch w:val="default"/>
    <w:sig w:usb0="00000000" w:usb1="00000000" w:usb2="0000001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Gloucester MT Extra Condensed">
    <w:altName w:val="webdings"/>
    <w:panose1 w:val="02030808020601010101"/>
    <w:charset w:val="00"/>
    <w:family w:val="roman"/>
    <w:pitch w:val="default"/>
    <w:sig w:usb0="00000000" w:usb1="00000000" w:usb2="00000000" w:usb3="00000000" w:csb0="20000001" w:csb1="00000000"/>
  </w:font>
  <w:font w:name="webdings">
    <w:panose1 w:val="02000609000000000000"/>
    <w:charset w:val="00"/>
    <w:family w:val="auto"/>
    <w:pitch w:val="default"/>
    <w:sig w:usb0="800000AF" w:usb1="5000204A" w:usb2="00000000" w:usb3="00000000" w:csb0="20000000" w:csb1="00000000"/>
  </w:font>
  <w:font w:name="等线">
    <w:altName w:val="华文中宋"/>
    <w:panose1 w:val="02010600030101010101"/>
    <w:charset w:val="86"/>
    <w:family w:val="auto"/>
    <w:pitch w:val="default"/>
    <w:sig w:usb0="00000000" w:usb1="00000000" w:usb2="00000016" w:usb3="00000000" w:csb0="0004000F" w:csb1="00000000"/>
  </w:font>
  <w:font w:name="Verdana">
    <w:altName w:val="Bitstream Vera Sans"/>
    <w:panose1 w:val="020B0604030504040204"/>
    <w:charset w:val="00"/>
    <w:family w:val="swiss"/>
    <w:pitch w:val="default"/>
    <w:sig w:usb0="00000000" w:usb1="00000000" w:usb2="00000010" w:usb3="00000000" w:csb0="2000019F" w:csb1="00000000"/>
  </w:font>
  <w:font w:name="Bitstream Vera Sans">
    <w:panose1 w:val="020B0603030804020204"/>
    <w:charset w:val="00"/>
    <w:family w:val="auto"/>
    <w:pitch w:val="default"/>
    <w:sig w:usb0="800000AF" w:usb1="1000204A" w:usb2="00000000" w:usb3="00000000" w:csb0="00000001" w:csb1="00000000"/>
  </w:font>
  <w:font w:name="Impact">
    <w:altName w:val="Noto Kufi Arabic"/>
    <w:panose1 w:val="020B0806030902050204"/>
    <w:charset w:val="00"/>
    <w:family w:val="swiss"/>
    <w:pitch w:val="default"/>
    <w:sig w:usb0="00000000" w:usb1="00000000" w:usb2="00000000" w:usb3="00000000" w:csb0="2000009F" w:csb1="DFD70000"/>
  </w:font>
  <w:font w:name="Noto Kufi Arabic">
    <w:panose1 w:val="020B0506030804020204"/>
    <w:charset w:val="00"/>
    <w:family w:val="auto"/>
    <w:pitch w:val="default"/>
    <w:sig w:usb0="00002000" w:usb1="00000000" w:usb2="00000008" w:usb3="00000000" w:csb0="00000001" w:csb1="00000000"/>
  </w:font>
  <w:font w:name="Arial Unicode MS">
    <w:altName w:val="DejaVu Sans"/>
    <w:panose1 w:val="020B0604020202020204"/>
    <w:charset w:val="86"/>
    <w:family w:val="roman"/>
    <w:pitch w:val="default"/>
    <w:sig w:usb0="00000000" w:usb1="00000000" w:usb2="0000003F" w:usb3="00000000" w:csb0="603F01FF" w:csb1="FFFF0000"/>
  </w:font>
  <w:font w:name="MingLiU">
    <w:altName w:val="方正书宋_GBK"/>
    <w:panose1 w:val="02010609000101010101"/>
    <w:charset w:val="88"/>
    <w:family w:val="modern"/>
    <w:pitch w:val="default"/>
    <w:sig w:usb0="00000000" w:usb1="00000000" w:usb2="00000016" w:usb3="00000000" w:csb0="00100001" w:csb1="00000000"/>
  </w:font>
  <w:font w:name="Sylfaen">
    <w:altName w:val="Bitstream Vera Sans"/>
    <w:panose1 w:val="010A0502050306030303"/>
    <w:charset w:val="00"/>
    <w:family w:val="roman"/>
    <w:pitch w:val="default"/>
    <w:sig w:usb0="00000000" w:usb1="00000000" w:usb2="00000000" w:usb3="00000000" w:csb0="2000009F" w:csb1="00000000"/>
  </w:font>
  <w:font w:name="Gulim">
    <w:altName w:val="方正书宋_GBK"/>
    <w:panose1 w:val="020B0600000101010101"/>
    <w:charset w:val="81"/>
    <w:family w:val="swiss"/>
    <w:pitch w:val="default"/>
    <w:sig w:usb0="00000000" w:usb1="00000000" w:usb2="00000030" w:usb3="00000000" w:csb0="0008009F" w:csb1="00000000"/>
  </w:font>
  <w:font w:name="微软雅黑">
    <w:altName w:val="方正黑体_GBK"/>
    <w:panose1 w:val="020B0503020204020204"/>
    <w:charset w:val="86"/>
    <w:family w:val="auto"/>
    <w:pitch w:val="default"/>
    <w:sig w:usb0="00000000" w:usb1="00000000" w:usb2="00000016" w:usb3="00000000" w:csb0="0004001F" w:csb1="00000000"/>
  </w:font>
  <w:font w:name="方正小标宋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Helvetica">
    <w:altName w:val="华文中宋"/>
    <w:panose1 w:val="00000000000000000000"/>
    <w:charset w:val="00"/>
    <w:family w:val="auto"/>
    <w:pitch w:val="default"/>
    <w:sig w:usb0="00000000" w:usb1="00000000" w:usb2="00000000" w:usb3="00000000" w:csb0="00000000" w:csb1="00000000"/>
  </w:font>
  <w:font w:name="Cambria Math">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等线">
    <w:altName w:val="华文中宋"/>
    <w:panose1 w:val="00000000000000000000"/>
    <w:charset w:val="00"/>
    <w:family w:val="auto"/>
    <w:pitch w:val="default"/>
    <w:sig w:usb0="00000000" w:usb1="00000000" w:usb2="00000000" w:usb3="00000000" w:csb0="00000000" w:csb1="00000000"/>
  </w:font>
  <w:font w:name="等线 Light">
    <w:altName w:val="华文中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41"/>
      </w:rPr>
    </w:pPr>
    <w:r>
      <w:rPr>
        <w:rStyle w:val="41"/>
      </w:rPr>
      <w:fldChar w:fldCharType="begin"/>
    </w:r>
    <w:r>
      <w:rPr>
        <w:rStyle w:val="41"/>
      </w:rPr>
      <w:instrText xml:space="preserve">PAGE  </w:instrText>
    </w:r>
    <w:r>
      <w:rPr>
        <w:rStyle w:val="41"/>
      </w:rPr>
      <w:fldChar w:fldCharType="separate"/>
    </w:r>
    <w:r>
      <w:rPr>
        <w:rStyle w:val="41"/>
      </w:rPr>
      <w:t>1</w:t>
    </w:r>
    <w:r>
      <w:rPr>
        <w:rStyle w:val="41"/>
      </w:rP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41"/>
        <w:rFonts w:ascii="宋体" w:hAnsi="宋体"/>
        <w:sz w:val="28"/>
        <w:szCs w:val="28"/>
      </w:rPr>
    </w:pPr>
    <w:r>
      <w:rPr>
        <w:rStyle w:val="41"/>
        <w:rFonts w:hint="eastAsia" w:ascii="宋体" w:hAnsi="宋体"/>
        <w:sz w:val="28"/>
        <w:szCs w:val="28"/>
      </w:rPr>
      <w:t>—</w:t>
    </w:r>
    <w:r>
      <w:rPr>
        <w:rStyle w:val="41"/>
        <w:rFonts w:hint="default" w:ascii="Times New Roman" w:hAnsi="Times New Roman" w:cs="Times New Roman"/>
        <w:sz w:val="26"/>
        <w:szCs w:val="26"/>
      </w:rPr>
      <w:fldChar w:fldCharType="begin"/>
    </w:r>
    <w:r>
      <w:rPr>
        <w:rStyle w:val="41"/>
        <w:rFonts w:hint="default" w:ascii="Times New Roman" w:hAnsi="Times New Roman" w:cs="Times New Roman"/>
        <w:sz w:val="26"/>
        <w:szCs w:val="26"/>
      </w:rPr>
      <w:instrText xml:space="preserve">PAGE  </w:instrText>
    </w:r>
    <w:r>
      <w:rPr>
        <w:rStyle w:val="41"/>
        <w:rFonts w:hint="default" w:ascii="Times New Roman" w:hAnsi="Times New Roman" w:cs="Times New Roman"/>
        <w:sz w:val="26"/>
        <w:szCs w:val="26"/>
      </w:rPr>
      <w:fldChar w:fldCharType="separate"/>
    </w:r>
    <w:r>
      <w:rPr>
        <w:rStyle w:val="41"/>
        <w:rFonts w:hint="default" w:ascii="Times New Roman" w:hAnsi="Times New Roman" w:cs="Times New Roman"/>
        <w:sz w:val="26"/>
        <w:szCs w:val="26"/>
      </w:rPr>
      <w:t>49</w:t>
    </w:r>
    <w:r>
      <w:rPr>
        <w:rStyle w:val="41"/>
        <w:rFonts w:hint="default" w:ascii="Times New Roman" w:hAnsi="Times New Roman" w:cs="Times New Roman"/>
        <w:sz w:val="26"/>
        <w:szCs w:val="26"/>
      </w:rPr>
      <w:fldChar w:fldCharType="end"/>
    </w:r>
    <w:r>
      <w:rPr>
        <w:rStyle w:val="41"/>
        <w:rFonts w:hint="eastAsia" w:ascii="宋体" w:hAnsi="宋体"/>
        <w:sz w:val="28"/>
        <w:szCs w:val="28"/>
      </w:rPr>
      <w:t>—</w:t>
    </w:r>
  </w:p>
  <w:p>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41"/>
        <w:rFonts w:ascii="宋体" w:hAnsi="宋体"/>
        <w:sz w:val="28"/>
        <w:szCs w:val="28"/>
      </w:rPr>
    </w:pPr>
    <w:r>
      <w:rPr>
        <w:rStyle w:val="41"/>
        <w:rFonts w:hint="eastAsia" w:ascii="宋体" w:hAnsi="宋体"/>
        <w:sz w:val="28"/>
        <w:szCs w:val="28"/>
      </w:rPr>
      <w:t>—</w:t>
    </w:r>
    <w:r>
      <w:rPr>
        <w:rStyle w:val="41"/>
        <w:rFonts w:hint="default" w:ascii="Times New Roman" w:hAnsi="Times New Roman" w:cs="Times New Roman"/>
        <w:sz w:val="26"/>
        <w:szCs w:val="26"/>
      </w:rPr>
      <w:fldChar w:fldCharType="begin"/>
    </w:r>
    <w:r>
      <w:rPr>
        <w:rStyle w:val="41"/>
        <w:rFonts w:hint="default" w:ascii="Times New Roman" w:hAnsi="Times New Roman" w:cs="Times New Roman"/>
        <w:sz w:val="26"/>
        <w:szCs w:val="26"/>
      </w:rPr>
      <w:instrText xml:space="preserve">PAGE  </w:instrText>
    </w:r>
    <w:r>
      <w:rPr>
        <w:rStyle w:val="41"/>
        <w:rFonts w:hint="default" w:ascii="Times New Roman" w:hAnsi="Times New Roman" w:cs="Times New Roman"/>
        <w:sz w:val="26"/>
        <w:szCs w:val="26"/>
      </w:rPr>
      <w:fldChar w:fldCharType="separate"/>
    </w:r>
    <w:r>
      <w:rPr>
        <w:rStyle w:val="41"/>
        <w:rFonts w:hint="default" w:ascii="Times New Roman" w:hAnsi="Times New Roman" w:cs="Times New Roman"/>
        <w:sz w:val="26"/>
        <w:szCs w:val="26"/>
      </w:rPr>
      <w:t>62</w:t>
    </w:r>
    <w:r>
      <w:rPr>
        <w:rStyle w:val="41"/>
        <w:rFonts w:hint="default" w:ascii="Times New Roman" w:hAnsi="Times New Roman" w:cs="Times New Roman"/>
        <w:sz w:val="26"/>
        <w:szCs w:val="26"/>
      </w:rPr>
      <w:fldChar w:fldCharType="end"/>
    </w:r>
    <w:r>
      <w:rPr>
        <w:rStyle w:val="41"/>
        <w:rFonts w:hint="eastAsia" w:ascii="宋体" w:hAnsi="宋体"/>
        <w:sz w:val="28"/>
        <w:szCs w:val="28"/>
      </w:rPr>
      <w:t>—</w:t>
    </w:r>
  </w:p>
  <w:p>
    <w:pPr>
      <w:pStyle w:val="22"/>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FE08DA"/>
    <w:multiLevelType w:val="singleLevel"/>
    <w:tmpl w:val="8CFE08DA"/>
    <w:lvl w:ilvl="0" w:tentative="0">
      <w:start w:val="2"/>
      <w:numFmt w:val="decimal"/>
      <w:suff w:val="nothing"/>
      <w:lvlText w:val="（%1）"/>
      <w:lvlJc w:val="left"/>
    </w:lvl>
  </w:abstractNum>
  <w:abstractNum w:abstractNumId="1">
    <w:nsid w:val="A220B61D"/>
    <w:multiLevelType w:val="singleLevel"/>
    <w:tmpl w:val="A220B61D"/>
    <w:lvl w:ilvl="0" w:tentative="0">
      <w:start w:val="1"/>
      <w:numFmt w:val="decimal"/>
      <w:lvlText w:val="图2-%1"/>
      <w:lvlJc w:val="left"/>
      <w:pPr>
        <w:tabs>
          <w:tab w:val="left" w:pos="420"/>
        </w:tabs>
        <w:ind w:left="425" w:leftChars="0" w:hanging="425" w:firstLineChars="0"/>
      </w:pPr>
      <w:rPr>
        <w:rFonts w:hint="default"/>
        <w:sz w:val="21"/>
        <w:szCs w:val="21"/>
      </w:rPr>
    </w:lvl>
  </w:abstractNum>
  <w:abstractNum w:abstractNumId="2">
    <w:nsid w:val="ABFA9552"/>
    <w:multiLevelType w:val="singleLevel"/>
    <w:tmpl w:val="ABFA9552"/>
    <w:lvl w:ilvl="0" w:tentative="0">
      <w:start w:val="5"/>
      <w:numFmt w:val="decimal"/>
      <w:suff w:val="nothing"/>
      <w:lvlText w:val="%1、"/>
      <w:lvlJc w:val="left"/>
    </w:lvl>
  </w:abstractNum>
  <w:abstractNum w:abstractNumId="3">
    <w:nsid w:val="C33EA39F"/>
    <w:multiLevelType w:val="singleLevel"/>
    <w:tmpl w:val="C33EA39F"/>
    <w:lvl w:ilvl="0" w:tentative="0">
      <w:start w:val="1"/>
      <w:numFmt w:val="decimal"/>
      <w:suff w:val="nothing"/>
      <w:lvlText w:val="%1、"/>
      <w:lvlJc w:val="left"/>
    </w:lvl>
  </w:abstractNum>
  <w:abstractNum w:abstractNumId="4">
    <w:nsid w:val="E9CE1D84"/>
    <w:multiLevelType w:val="singleLevel"/>
    <w:tmpl w:val="E9CE1D84"/>
    <w:lvl w:ilvl="0" w:tentative="0">
      <w:start w:val="1"/>
      <w:numFmt w:val="decimal"/>
      <w:suff w:val="nothing"/>
      <w:lvlText w:val="%1、"/>
      <w:lvlJc w:val="left"/>
    </w:lvl>
  </w:abstractNum>
  <w:abstractNum w:abstractNumId="5">
    <w:nsid w:val="EDDED61B"/>
    <w:multiLevelType w:val="singleLevel"/>
    <w:tmpl w:val="EDDED61B"/>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6">
    <w:nsid w:val="00000020"/>
    <w:multiLevelType w:val="multilevel"/>
    <w:tmpl w:val="00000020"/>
    <w:lvl w:ilvl="0" w:tentative="0">
      <w:start w:val="1"/>
      <w:numFmt w:val="decimal"/>
      <w:lvlText w:val="%1"/>
      <w:lvlJc w:val="center"/>
      <w:pPr>
        <w:tabs>
          <w:tab w:val="left" w:pos="0"/>
        </w:tabs>
        <w:ind w:left="0" w:firstLine="0"/>
      </w:pPr>
      <w:rPr>
        <w:rFonts w:hint="eastAsia"/>
      </w:rPr>
    </w:lvl>
    <w:lvl w:ilvl="1" w:tentative="0">
      <w:start w:val="1"/>
      <w:numFmt w:val="decimal"/>
      <w:lvlText w:val="%1.%2"/>
      <w:lvlJc w:val="left"/>
      <w:pPr>
        <w:tabs>
          <w:tab w:val="left" w:pos="765"/>
        </w:tabs>
        <w:ind w:left="0" w:firstLine="0"/>
      </w:pPr>
      <w:rPr>
        <w:rFonts w:hint="default" w:ascii="Times New Roman" w:hAnsi="Times New Roman" w:eastAsia="黑体"/>
        <w:b w:val="0"/>
        <w:i w:val="0"/>
        <w:sz w:val="30"/>
      </w:rPr>
    </w:lvl>
    <w:lvl w:ilvl="2" w:tentative="0">
      <w:start w:val="1"/>
      <w:numFmt w:val="decimal"/>
      <w:lvlText w:val="%1.%2.%3"/>
      <w:lvlJc w:val="left"/>
      <w:pPr>
        <w:tabs>
          <w:tab w:val="left" w:pos="0"/>
        </w:tabs>
        <w:ind w:left="0" w:firstLine="0"/>
      </w:pPr>
      <w:rPr>
        <w:rFonts w:hint="default" w:ascii="Times New Roman" w:hAnsi="Times New Roman" w:eastAsia="黑体"/>
        <w:b w:val="0"/>
        <w:i w:val="0"/>
        <w:color w:val="auto"/>
        <w:sz w:val="28"/>
        <w:u w:val="none"/>
      </w:rPr>
    </w:lvl>
    <w:lvl w:ilvl="3" w:tentative="0">
      <w:start w:val="1"/>
      <w:numFmt w:val="decimal"/>
      <w:pStyle w:val="252"/>
      <w:lvlText w:val="%1.%2.%3.%4"/>
      <w:lvlJc w:val="left"/>
      <w:pPr>
        <w:tabs>
          <w:tab w:val="left" w:pos="0"/>
        </w:tabs>
        <w:ind w:left="0" w:firstLine="0"/>
      </w:pPr>
      <w:rPr>
        <w:rFonts w:hint="eastAsia"/>
      </w:rPr>
    </w:lvl>
    <w:lvl w:ilvl="4" w:tentative="0">
      <w:start w:val="1"/>
      <w:numFmt w:val="decimal"/>
      <w:lvlText w:val="%1.%2.%3.%4.%5"/>
      <w:lvlJc w:val="left"/>
      <w:pPr>
        <w:tabs>
          <w:tab w:val="left" w:pos="2356"/>
        </w:tabs>
        <w:ind w:left="2126" w:hanging="850"/>
      </w:pPr>
      <w:rPr>
        <w:rFonts w:hint="eastAsia"/>
      </w:rPr>
    </w:lvl>
    <w:lvl w:ilvl="5" w:tentative="0">
      <w:start w:val="1"/>
      <w:numFmt w:val="decimal"/>
      <w:lvlText w:val="%1.%2.%3.%4.%5.%6"/>
      <w:lvlJc w:val="left"/>
      <w:pPr>
        <w:tabs>
          <w:tab w:val="left" w:pos="3141"/>
        </w:tabs>
        <w:ind w:left="2835" w:hanging="1134"/>
      </w:pPr>
      <w:rPr>
        <w:rFonts w:hint="eastAsia"/>
      </w:rPr>
    </w:lvl>
    <w:lvl w:ilvl="6" w:tentative="0">
      <w:start w:val="1"/>
      <w:numFmt w:val="decimal"/>
      <w:lvlText w:val="%1.%2.%3.%4.%5.%6.%7"/>
      <w:lvlJc w:val="left"/>
      <w:pPr>
        <w:tabs>
          <w:tab w:val="left" w:pos="3566"/>
        </w:tabs>
        <w:ind w:left="3402" w:hanging="1276"/>
      </w:pPr>
      <w:rPr>
        <w:rFonts w:hint="eastAsia"/>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5137"/>
        </w:tabs>
        <w:ind w:left="4677" w:hanging="1700"/>
      </w:pPr>
      <w:rPr>
        <w:rFonts w:hint="eastAsia"/>
      </w:rPr>
    </w:lvl>
  </w:abstractNum>
  <w:abstractNum w:abstractNumId="7">
    <w:nsid w:val="12BF4C47"/>
    <w:multiLevelType w:val="multilevel"/>
    <w:tmpl w:val="12BF4C47"/>
    <w:lvl w:ilvl="0" w:tentative="0">
      <w:start w:val="1"/>
      <w:numFmt w:val="decimal"/>
      <w:lvlText w:val="表3-%1"/>
      <w:lvlJc w:val="left"/>
      <w:pPr>
        <w:ind w:left="420" w:hanging="420"/>
      </w:pPr>
      <w:rPr>
        <w:rFonts w:hint="default" w:ascii="Times New Roman" w:hAnsi="Times New Roman" w:eastAsia="宋体" w:cs="Times New Roman"/>
        <w:sz w:val="21"/>
        <w:szCs w:val="21"/>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8">
    <w:nsid w:val="1EF54B5E"/>
    <w:multiLevelType w:val="multilevel"/>
    <w:tmpl w:val="1EF54B5E"/>
    <w:lvl w:ilvl="0" w:tentative="0">
      <w:start w:val="1"/>
      <w:numFmt w:val="decimal"/>
      <w:lvlText w:val="%1"/>
      <w:lvlJc w:val="left"/>
      <w:pPr>
        <w:ind w:left="845" w:hanging="420"/>
      </w:pPr>
      <w:rPr>
        <w:rFonts w:hint="eastAsia"/>
      </w:rPr>
    </w:lvl>
    <w:lvl w:ilvl="1" w:tentative="0">
      <w:start w:val="1"/>
      <w:numFmt w:val="decimal"/>
      <w:lvlText w:val="%1.%2"/>
      <w:lvlJc w:val="left"/>
      <w:pPr>
        <w:ind w:left="0" w:firstLine="0"/>
      </w:pPr>
      <w:rPr>
        <w:rFonts w:hint="eastAsia"/>
      </w:rPr>
    </w:lvl>
    <w:lvl w:ilvl="2" w:tentative="0">
      <w:start w:val="1"/>
      <w:numFmt w:val="decimal"/>
      <w:lvlText w:val="%1.%2.%3"/>
      <w:lvlJc w:val="left"/>
      <w:pPr>
        <w:ind w:left="993" w:hanging="709"/>
      </w:pPr>
      <w:rPr>
        <w:rFonts w:hint="eastAsia"/>
      </w:rPr>
    </w:lvl>
    <w:lvl w:ilvl="3" w:tentative="0">
      <w:start w:val="1"/>
      <w:numFmt w:val="decimal"/>
      <w:pStyle w:val="251"/>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
    <w:nsid w:val="23CF0688"/>
    <w:multiLevelType w:val="multilevel"/>
    <w:tmpl w:val="23CF0688"/>
    <w:lvl w:ilvl="0" w:tentative="0">
      <w:start w:val="1"/>
      <w:numFmt w:val="decimal"/>
      <w:pStyle w:val="93"/>
      <w:lvlText w:val="图2-%1"/>
      <w:lvlJc w:val="center"/>
      <w:pPr>
        <w:ind w:left="840" w:hanging="420"/>
      </w:pPr>
      <w:rPr>
        <w:rFonts w:hint="default" w:ascii="Times New Roman" w:hAnsi="Times New Roman" w:eastAsia="宋体"/>
        <w:b/>
        <w:i w:val="0"/>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EC29F72"/>
    <w:multiLevelType w:val="singleLevel"/>
    <w:tmpl w:val="3EC29F72"/>
    <w:lvl w:ilvl="0" w:tentative="0">
      <w:start w:val="1"/>
      <w:numFmt w:val="decimal"/>
      <w:lvlText w:val="表5-%1"/>
      <w:lvlJc w:val="left"/>
      <w:pPr>
        <w:tabs>
          <w:tab w:val="left" w:pos="420"/>
        </w:tabs>
        <w:ind w:left="425" w:leftChars="0" w:hanging="425" w:firstLineChars="0"/>
      </w:pPr>
      <w:rPr>
        <w:rFonts w:hint="default"/>
      </w:rPr>
    </w:lvl>
  </w:abstractNum>
  <w:abstractNum w:abstractNumId="11">
    <w:nsid w:val="491F601F"/>
    <w:multiLevelType w:val="multilevel"/>
    <w:tmpl w:val="491F601F"/>
    <w:lvl w:ilvl="0" w:tentative="0">
      <w:start w:val="1"/>
      <w:numFmt w:val="decimal"/>
      <w:lvlText w:val="图1-%1"/>
      <w:lvlJc w:val="left"/>
      <w:pPr>
        <w:ind w:left="420" w:hanging="420"/>
      </w:pPr>
      <w:rPr>
        <w:rFonts w:hint="eastAsia"/>
        <w:b/>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7A3AAB3"/>
    <w:multiLevelType w:val="singleLevel"/>
    <w:tmpl w:val="57A3AAB3"/>
    <w:lvl w:ilvl="0" w:tentative="0">
      <w:start w:val="1"/>
      <w:numFmt w:val="decimal"/>
      <w:suff w:val="nothing"/>
      <w:lvlText w:val="%1、"/>
      <w:lvlJc w:val="left"/>
    </w:lvl>
  </w:abstractNum>
  <w:abstractNum w:abstractNumId="13">
    <w:nsid w:val="58D125EC"/>
    <w:multiLevelType w:val="multilevel"/>
    <w:tmpl w:val="58D125EC"/>
    <w:lvl w:ilvl="0" w:tentative="0">
      <w:start w:val="1"/>
      <w:numFmt w:val="decimal"/>
      <w:pStyle w:val="96"/>
      <w:lvlText w:val="%1)"/>
      <w:lvlJc w:val="left"/>
      <w:pPr>
        <w:ind w:left="420" w:hanging="420"/>
      </w:pPr>
      <w:rPr>
        <w:b w:val="0"/>
        <w:bCs w:val="0"/>
        <w:color w:val="000000" w:themeColor="text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1AC591A"/>
    <w:multiLevelType w:val="singleLevel"/>
    <w:tmpl w:val="61AC591A"/>
    <w:lvl w:ilvl="0" w:tentative="0">
      <w:start w:val="1"/>
      <w:numFmt w:val="decimal"/>
      <w:lvlText w:val="图3-%1"/>
      <w:lvlJc w:val="left"/>
      <w:pPr>
        <w:tabs>
          <w:tab w:val="left" w:pos="420"/>
        </w:tabs>
        <w:ind w:left="425" w:leftChars="0" w:hanging="425" w:firstLineChars="0"/>
      </w:pPr>
      <w:rPr>
        <w:rFonts w:hint="default"/>
      </w:rPr>
    </w:lvl>
  </w:abstractNum>
  <w:abstractNum w:abstractNumId="15">
    <w:nsid w:val="66BD1FFC"/>
    <w:multiLevelType w:val="multilevel"/>
    <w:tmpl w:val="66BD1FFC"/>
    <w:lvl w:ilvl="0" w:tentative="0">
      <w:start w:val="1"/>
      <w:numFmt w:val="decimal"/>
      <w:lvlText w:val="表1-%1"/>
      <w:lvlJc w:val="center"/>
      <w:pPr>
        <w:ind w:left="420" w:hanging="132"/>
      </w:pPr>
      <w:rPr>
        <w:rFonts w:hint="default" w:ascii="Times New Roman" w:hAnsi="Times New Roman" w:eastAsia="宋体"/>
        <w:b/>
        <w:i w:val="0"/>
        <w:color w:val="000000" w:themeColor="text1"/>
        <w:sz w:val="21"/>
        <w14:textFill>
          <w14:solidFill>
            <w14:schemeClr w14:val="tx1"/>
          </w14:solidFill>
        </w14:textFil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E1D1C72"/>
    <w:multiLevelType w:val="multilevel"/>
    <w:tmpl w:val="6E1D1C72"/>
    <w:lvl w:ilvl="0" w:tentative="0">
      <w:start w:val="1"/>
      <w:numFmt w:val="decimal"/>
      <w:lvlText w:val="表2-%1"/>
      <w:lvlJc w:val="center"/>
      <w:pPr>
        <w:ind w:left="1342" w:hanging="440"/>
      </w:pPr>
      <w:rPr>
        <w:rFonts w:hint="eastAsia"/>
        <w:b/>
        <w:i w:val="0"/>
        <w:sz w:val="21"/>
        <w:lang w:val="en-US"/>
      </w:rPr>
    </w:lvl>
    <w:lvl w:ilvl="1" w:tentative="0">
      <w:start w:val="1"/>
      <w:numFmt w:val="lowerLetter"/>
      <w:lvlText w:val="%2)"/>
      <w:lvlJc w:val="left"/>
      <w:pPr>
        <w:ind w:left="1782" w:hanging="440"/>
      </w:pPr>
    </w:lvl>
    <w:lvl w:ilvl="2" w:tentative="0">
      <w:start w:val="1"/>
      <w:numFmt w:val="lowerRoman"/>
      <w:lvlText w:val="%3."/>
      <w:lvlJc w:val="right"/>
      <w:pPr>
        <w:ind w:left="2222" w:hanging="440"/>
      </w:pPr>
    </w:lvl>
    <w:lvl w:ilvl="3" w:tentative="0">
      <w:start w:val="1"/>
      <w:numFmt w:val="decimal"/>
      <w:lvlText w:val="%4."/>
      <w:lvlJc w:val="left"/>
      <w:pPr>
        <w:ind w:left="2662" w:hanging="440"/>
      </w:pPr>
    </w:lvl>
    <w:lvl w:ilvl="4" w:tentative="0">
      <w:start w:val="1"/>
      <w:numFmt w:val="lowerLetter"/>
      <w:lvlText w:val="%5)"/>
      <w:lvlJc w:val="left"/>
      <w:pPr>
        <w:ind w:left="3102" w:hanging="440"/>
      </w:pPr>
    </w:lvl>
    <w:lvl w:ilvl="5" w:tentative="0">
      <w:start w:val="1"/>
      <w:numFmt w:val="lowerRoman"/>
      <w:lvlText w:val="%6."/>
      <w:lvlJc w:val="right"/>
      <w:pPr>
        <w:ind w:left="3542" w:hanging="440"/>
      </w:pPr>
    </w:lvl>
    <w:lvl w:ilvl="6" w:tentative="0">
      <w:start w:val="1"/>
      <w:numFmt w:val="decimal"/>
      <w:lvlText w:val="%7."/>
      <w:lvlJc w:val="left"/>
      <w:pPr>
        <w:ind w:left="3982" w:hanging="440"/>
      </w:pPr>
    </w:lvl>
    <w:lvl w:ilvl="7" w:tentative="0">
      <w:start w:val="1"/>
      <w:numFmt w:val="lowerLetter"/>
      <w:lvlText w:val="%8)"/>
      <w:lvlJc w:val="left"/>
      <w:pPr>
        <w:ind w:left="4422" w:hanging="440"/>
      </w:pPr>
    </w:lvl>
    <w:lvl w:ilvl="8" w:tentative="0">
      <w:start w:val="1"/>
      <w:numFmt w:val="lowerRoman"/>
      <w:lvlText w:val="%9."/>
      <w:lvlJc w:val="right"/>
      <w:pPr>
        <w:ind w:left="4862" w:hanging="440"/>
      </w:pPr>
    </w:lvl>
  </w:abstractNum>
  <w:abstractNum w:abstractNumId="17">
    <w:nsid w:val="73EF30D3"/>
    <w:multiLevelType w:val="multilevel"/>
    <w:tmpl w:val="73EF30D3"/>
    <w:lvl w:ilvl="0" w:tentative="0">
      <w:start w:val="1"/>
      <w:numFmt w:val="decimal"/>
      <w:lvlText w:val="表4-%1"/>
      <w:lvlJc w:val="left"/>
      <w:pPr>
        <w:ind w:left="840" w:hanging="420"/>
      </w:pPr>
      <w:rPr>
        <w:rFonts w:hint="default" w:ascii="Times New Roman" w:hAnsi="Times New Roman" w:eastAsia="宋体" w:cs="Times New Roman"/>
        <w:b/>
        <w:i w:val="0"/>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5"/>
  </w:num>
  <w:num w:numId="2">
    <w:abstractNumId w:val="9"/>
  </w:num>
  <w:num w:numId="3">
    <w:abstractNumId w:val="13"/>
  </w:num>
  <w:num w:numId="4">
    <w:abstractNumId w:val="8"/>
  </w:num>
  <w:num w:numId="5">
    <w:abstractNumId w:val="6"/>
  </w:num>
  <w:num w:numId="6">
    <w:abstractNumId w:val="15"/>
  </w:num>
  <w:num w:numId="7">
    <w:abstractNumId w:val="4"/>
  </w:num>
  <w:num w:numId="8">
    <w:abstractNumId w:val="11"/>
  </w:num>
  <w:num w:numId="9">
    <w:abstractNumId w:val="16"/>
  </w:num>
  <w:num w:numId="10">
    <w:abstractNumId w:val="1"/>
  </w:num>
  <w:num w:numId="11">
    <w:abstractNumId w:val="2"/>
  </w:num>
  <w:num w:numId="12">
    <w:abstractNumId w:val="7"/>
  </w:num>
  <w:num w:numId="13">
    <w:abstractNumId w:val="14"/>
  </w:num>
  <w:num w:numId="14">
    <w:abstractNumId w:val="3"/>
  </w:num>
  <w:num w:numId="15">
    <w:abstractNumId w:val="17"/>
  </w:num>
  <w:num w:numId="16">
    <w:abstractNumId w:val="12"/>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wN2U5ZjE0ZDcwM2RjYmQ4N2ZiZWQxODEzMTM5NzcifQ=="/>
  </w:docVars>
  <w:rsids>
    <w:rsidRoot w:val="00172A27"/>
    <w:rsid w:val="00001CED"/>
    <w:rsid w:val="00001E67"/>
    <w:rsid w:val="000020F1"/>
    <w:rsid w:val="00003CD8"/>
    <w:rsid w:val="00007E7A"/>
    <w:rsid w:val="00011680"/>
    <w:rsid w:val="0001258C"/>
    <w:rsid w:val="00012703"/>
    <w:rsid w:val="00014965"/>
    <w:rsid w:val="0001523A"/>
    <w:rsid w:val="00015ACF"/>
    <w:rsid w:val="0001678B"/>
    <w:rsid w:val="000168DC"/>
    <w:rsid w:val="00016ECB"/>
    <w:rsid w:val="00020C86"/>
    <w:rsid w:val="00022A95"/>
    <w:rsid w:val="00023EBA"/>
    <w:rsid w:val="00024BCD"/>
    <w:rsid w:val="00026275"/>
    <w:rsid w:val="000269F6"/>
    <w:rsid w:val="0003005C"/>
    <w:rsid w:val="000300DA"/>
    <w:rsid w:val="000306D5"/>
    <w:rsid w:val="00031939"/>
    <w:rsid w:val="00031C84"/>
    <w:rsid w:val="00032D25"/>
    <w:rsid w:val="000347CC"/>
    <w:rsid w:val="0003507E"/>
    <w:rsid w:val="00036633"/>
    <w:rsid w:val="000407DB"/>
    <w:rsid w:val="00041FA3"/>
    <w:rsid w:val="00046A09"/>
    <w:rsid w:val="0005219D"/>
    <w:rsid w:val="00052ACB"/>
    <w:rsid w:val="00053C69"/>
    <w:rsid w:val="000541E4"/>
    <w:rsid w:val="0005568F"/>
    <w:rsid w:val="0005680B"/>
    <w:rsid w:val="00056F66"/>
    <w:rsid w:val="00060158"/>
    <w:rsid w:val="0006153D"/>
    <w:rsid w:val="00061B1F"/>
    <w:rsid w:val="0006371D"/>
    <w:rsid w:val="000664DB"/>
    <w:rsid w:val="000677BD"/>
    <w:rsid w:val="00067C99"/>
    <w:rsid w:val="0007127D"/>
    <w:rsid w:val="00071380"/>
    <w:rsid w:val="00071AE5"/>
    <w:rsid w:val="00072EB0"/>
    <w:rsid w:val="00074783"/>
    <w:rsid w:val="000801E0"/>
    <w:rsid w:val="0008194C"/>
    <w:rsid w:val="00082858"/>
    <w:rsid w:val="00082A29"/>
    <w:rsid w:val="0008331D"/>
    <w:rsid w:val="00083C18"/>
    <w:rsid w:val="00092899"/>
    <w:rsid w:val="00092EBF"/>
    <w:rsid w:val="0009368B"/>
    <w:rsid w:val="0009471D"/>
    <w:rsid w:val="000952F3"/>
    <w:rsid w:val="000954EE"/>
    <w:rsid w:val="000956C9"/>
    <w:rsid w:val="00096C77"/>
    <w:rsid w:val="000A02CC"/>
    <w:rsid w:val="000A178E"/>
    <w:rsid w:val="000A2083"/>
    <w:rsid w:val="000A22D8"/>
    <w:rsid w:val="000A2B9C"/>
    <w:rsid w:val="000A34F2"/>
    <w:rsid w:val="000A5038"/>
    <w:rsid w:val="000A557E"/>
    <w:rsid w:val="000A5FB5"/>
    <w:rsid w:val="000B058F"/>
    <w:rsid w:val="000B159C"/>
    <w:rsid w:val="000B2345"/>
    <w:rsid w:val="000B4751"/>
    <w:rsid w:val="000B53E3"/>
    <w:rsid w:val="000B53EB"/>
    <w:rsid w:val="000B693F"/>
    <w:rsid w:val="000B6C08"/>
    <w:rsid w:val="000C09AC"/>
    <w:rsid w:val="000C0A63"/>
    <w:rsid w:val="000C0D50"/>
    <w:rsid w:val="000C437E"/>
    <w:rsid w:val="000C47FC"/>
    <w:rsid w:val="000C69C3"/>
    <w:rsid w:val="000C7445"/>
    <w:rsid w:val="000D1462"/>
    <w:rsid w:val="000D49A4"/>
    <w:rsid w:val="000D5D35"/>
    <w:rsid w:val="000D6866"/>
    <w:rsid w:val="000E1014"/>
    <w:rsid w:val="000E18CE"/>
    <w:rsid w:val="000E332E"/>
    <w:rsid w:val="000E375C"/>
    <w:rsid w:val="000E5F16"/>
    <w:rsid w:val="000E7D8B"/>
    <w:rsid w:val="000F0721"/>
    <w:rsid w:val="000F198E"/>
    <w:rsid w:val="000F2702"/>
    <w:rsid w:val="000F2AB8"/>
    <w:rsid w:val="000F4136"/>
    <w:rsid w:val="000F4452"/>
    <w:rsid w:val="000F4ABA"/>
    <w:rsid w:val="000F5609"/>
    <w:rsid w:val="000F6B90"/>
    <w:rsid w:val="000F6DA1"/>
    <w:rsid w:val="000F701B"/>
    <w:rsid w:val="001006DD"/>
    <w:rsid w:val="001030B6"/>
    <w:rsid w:val="001056A0"/>
    <w:rsid w:val="00110822"/>
    <w:rsid w:val="00115005"/>
    <w:rsid w:val="00115190"/>
    <w:rsid w:val="00115279"/>
    <w:rsid w:val="00117459"/>
    <w:rsid w:val="0011749A"/>
    <w:rsid w:val="00117F7A"/>
    <w:rsid w:val="00120E26"/>
    <w:rsid w:val="001219AC"/>
    <w:rsid w:val="00122935"/>
    <w:rsid w:val="00126D12"/>
    <w:rsid w:val="00126DB1"/>
    <w:rsid w:val="00127A68"/>
    <w:rsid w:val="00127EDD"/>
    <w:rsid w:val="00130274"/>
    <w:rsid w:val="00130635"/>
    <w:rsid w:val="001309C1"/>
    <w:rsid w:val="0013616D"/>
    <w:rsid w:val="0013707E"/>
    <w:rsid w:val="00137998"/>
    <w:rsid w:val="00137CBB"/>
    <w:rsid w:val="00140B13"/>
    <w:rsid w:val="00141056"/>
    <w:rsid w:val="00141B68"/>
    <w:rsid w:val="0014239F"/>
    <w:rsid w:val="00146658"/>
    <w:rsid w:val="001466DA"/>
    <w:rsid w:val="00150139"/>
    <w:rsid w:val="00154DE1"/>
    <w:rsid w:val="00155B40"/>
    <w:rsid w:val="00157069"/>
    <w:rsid w:val="00157435"/>
    <w:rsid w:val="00160496"/>
    <w:rsid w:val="00161910"/>
    <w:rsid w:val="00163B3F"/>
    <w:rsid w:val="00163EEA"/>
    <w:rsid w:val="00167A07"/>
    <w:rsid w:val="0017046A"/>
    <w:rsid w:val="001704A3"/>
    <w:rsid w:val="001704EE"/>
    <w:rsid w:val="00171B74"/>
    <w:rsid w:val="001745AF"/>
    <w:rsid w:val="0017504D"/>
    <w:rsid w:val="00175BE0"/>
    <w:rsid w:val="00177422"/>
    <w:rsid w:val="001807A0"/>
    <w:rsid w:val="00184F10"/>
    <w:rsid w:val="00185546"/>
    <w:rsid w:val="00186D3C"/>
    <w:rsid w:val="0019146B"/>
    <w:rsid w:val="0019186F"/>
    <w:rsid w:val="00191BFC"/>
    <w:rsid w:val="00192A14"/>
    <w:rsid w:val="00192FD4"/>
    <w:rsid w:val="00193062"/>
    <w:rsid w:val="001940BD"/>
    <w:rsid w:val="00194398"/>
    <w:rsid w:val="0019568F"/>
    <w:rsid w:val="001A0D52"/>
    <w:rsid w:val="001A11B7"/>
    <w:rsid w:val="001A12EA"/>
    <w:rsid w:val="001A2005"/>
    <w:rsid w:val="001A33E4"/>
    <w:rsid w:val="001A393F"/>
    <w:rsid w:val="001A7D2A"/>
    <w:rsid w:val="001B0E6D"/>
    <w:rsid w:val="001B3517"/>
    <w:rsid w:val="001B574C"/>
    <w:rsid w:val="001C0942"/>
    <w:rsid w:val="001C0AF9"/>
    <w:rsid w:val="001C10C1"/>
    <w:rsid w:val="001C113F"/>
    <w:rsid w:val="001C155A"/>
    <w:rsid w:val="001C3003"/>
    <w:rsid w:val="001C338A"/>
    <w:rsid w:val="001C37B6"/>
    <w:rsid w:val="001C37CA"/>
    <w:rsid w:val="001C3BCE"/>
    <w:rsid w:val="001C4185"/>
    <w:rsid w:val="001C48C0"/>
    <w:rsid w:val="001C617B"/>
    <w:rsid w:val="001D0D1A"/>
    <w:rsid w:val="001D151E"/>
    <w:rsid w:val="001D35C1"/>
    <w:rsid w:val="001D4030"/>
    <w:rsid w:val="001D6726"/>
    <w:rsid w:val="001E531B"/>
    <w:rsid w:val="001F1A0B"/>
    <w:rsid w:val="001F3347"/>
    <w:rsid w:val="001F33E1"/>
    <w:rsid w:val="001F36ED"/>
    <w:rsid w:val="001F4440"/>
    <w:rsid w:val="001F64C5"/>
    <w:rsid w:val="001F69E4"/>
    <w:rsid w:val="00201199"/>
    <w:rsid w:val="00204778"/>
    <w:rsid w:val="00206469"/>
    <w:rsid w:val="00206A65"/>
    <w:rsid w:val="00207930"/>
    <w:rsid w:val="00210292"/>
    <w:rsid w:val="00210B06"/>
    <w:rsid w:val="00212343"/>
    <w:rsid w:val="00212D31"/>
    <w:rsid w:val="002130C7"/>
    <w:rsid w:val="00214B36"/>
    <w:rsid w:val="00216CAF"/>
    <w:rsid w:val="002174CA"/>
    <w:rsid w:val="00221340"/>
    <w:rsid w:val="002213F3"/>
    <w:rsid w:val="002218A8"/>
    <w:rsid w:val="0022306D"/>
    <w:rsid w:val="002242F2"/>
    <w:rsid w:val="00226574"/>
    <w:rsid w:val="002278EC"/>
    <w:rsid w:val="002300AF"/>
    <w:rsid w:val="002307C7"/>
    <w:rsid w:val="00233438"/>
    <w:rsid w:val="002351B4"/>
    <w:rsid w:val="002354EE"/>
    <w:rsid w:val="002357C7"/>
    <w:rsid w:val="00235DA9"/>
    <w:rsid w:val="002367C4"/>
    <w:rsid w:val="00236AFD"/>
    <w:rsid w:val="00240038"/>
    <w:rsid w:val="00240072"/>
    <w:rsid w:val="00240175"/>
    <w:rsid w:val="00240DFC"/>
    <w:rsid w:val="002415F0"/>
    <w:rsid w:val="00241813"/>
    <w:rsid w:val="00241CC3"/>
    <w:rsid w:val="002428DE"/>
    <w:rsid w:val="00243D7F"/>
    <w:rsid w:val="00244B36"/>
    <w:rsid w:val="0024653A"/>
    <w:rsid w:val="0024797D"/>
    <w:rsid w:val="00247A5A"/>
    <w:rsid w:val="0025176D"/>
    <w:rsid w:val="002531D1"/>
    <w:rsid w:val="00253788"/>
    <w:rsid w:val="00255030"/>
    <w:rsid w:val="00256233"/>
    <w:rsid w:val="0025679E"/>
    <w:rsid w:val="00260C68"/>
    <w:rsid w:val="00261012"/>
    <w:rsid w:val="00261502"/>
    <w:rsid w:val="002627A3"/>
    <w:rsid w:val="002648B0"/>
    <w:rsid w:val="00266BF2"/>
    <w:rsid w:val="00266D46"/>
    <w:rsid w:val="00267274"/>
    <w:rsid w:val="002702B4"/>
    <w:rsid w:val="00271789"/>
    <w:rsid w:val="00274BFD"/>
    <w:rsid w:val="00275271"/>
    <w:rsid w:val="0027535E"/>
    <w:rsid w:val="00275AA6"/>
    <w:rsid w:val="002764B8"/>
    <w:rsid w:val="00276936"/>
    <w:rsid w:val="0027730F"/>
    <w:rsid w:val="00280209"/>
    <w:rsid w:val="002807D5"/>
    <w:rsid w:val="00282CCD"/>
    <w:rsid w:val="00284E51"/>
    <w:rsid w:val="002968FC"/>
    <w:rsid w:val="00296F91"/>
    <w:rsid w:val="002A035A"/>
    <w:rsid w:val="002A168C"/>
    <w:rsid w:val="002A2452"/>
    <w:rsid w:val="002A26E0"/>
    <w:rsid w:val="002A2C48"/>
    <w:rsid w:val="002A2DC8"/>
    <w:rsid w:val="002A3B80"/>
    <w:rsid w:val="002A3EED"/>
    <w:rsid w:val="002A43B6"/>
    <w:rsid w:val="002A4A39"/>
    <w:rsid w:val="002A5A17"/>
    <w:rsid w:val="002A6425"/>
    <w:rsid w:val="002A6B13"/>
    <w:rsid w:val="002A7615"/>
    <w:rsid w:val="002B0583"/>
    <w:rsid w:val="002B0A38"/>
    <w:rsid w:val="002B0F0B"/>
    <w:rsid w:val="002B24A5"/>
    <w:rsid w:val="002B34FD"/>
    <w:rsid w:val="002B3704"/>
    <w:rsid w:val="002B3846"/>
    <w:rsid w:val="002B3877"/>
    <w:rsid w:val="002B3F0C"/>
    <w:rsid w:val="002B49E2"/>
    <w:rsid w:val="002B4FA0"/>
    <w:rsid w:val="002B6E77"/>
    <w:rsid w:val="002B7B00"/>
    <w:rsid w:val="002B7C44"/>
    <w:rsid w:val="002C0BF0"/>
    <w:rsid w:val="002C1388"/>
    <w:rsid w:val="002C1649"/>
    <w:rsid w:val="002C3C6A"/>
    <w:rsid w:val="002C4C52"/>
    <w:rsid w:val="002C4FCE"/>
    <w:rsid w:val="002C60CA"/>
    <w:rsid w:val="002D05A6"/>
    <w:rsid w:val="002D18BF"/>
    <w:rsid w:val="002D3059"/>
    <w:rsid w:val="002D42DB"/>
    <w:rsid w:val="002E1F3A"/>
    <w:rsid w:val="002E298A"/>
    <w:rsid w:val="002E33D3"/>
    <w:rsid w:val="002E3709"/>
    <w:rsid w:val="002F02A4"/>
    <w:rsid w:val="002F272B"/>
    <w:rsid w:val="002F2925"/>
    <w:rsid w:val="002F2DB6"/>
    <w:rsid w:val="002F438B"/>
    <w:rsid w:val="002F5AE0"/>
    <w:rsid w:val="002F712C"/>
    <w:rsid w:val="002F7C6D"/>
    <w:rsid w:val="00300371"/>
    <w:rsid w:val="0030054B"/>
    <w:rsid w:val="00301C82"/>
    <w:rsid w:val="003027E4"/>
    <w:rsid w:val="00302CB7"/>
    <w:rsid w:val="003030D0"/>
    <w:rsid w:val="0030332C"/>
    <w:rsid w:val="00304B85"/>
    <w:rsid w:val="0030672B"/>
    <w:rsid w:val="00306E05"/>
    <w:rsid w:val="003072E3"/>
    <w:rsid w:val="00307AA1"/>
    <w:rsid w:val="00310E57"/>
    <w:rsid w:val="0031110F"/>
    <w:rsid w:val="00311870"/>
    <w:rsid w:val="00312296"/>
    <w:rsid w:val="00312E1B"/>
    <w:rsid w:val="0031340E"/>
    <w:rsid w:val="00314399"/>
    <w:rsid w:val="003147D6"/>
    <w:rsid w:val="00316464"/>
    <w:rsid w:val="00316EC5"/>
    <w:rsid w:val="0032073A"/>
    <w:rsid w:val="00321D8E"/>
    <w:rsid w:val="00323431"/>
    <w:rsid w:val="003245FC"/>
    <w:rsid w:val="00325223"/>
    <w:rsid w:val="00327D65"/>
    <w:rsid w:val="0033210C"/>
    <w:rsid w:val="003321C2"/>
    <w:rsid w:val="00334996"/>
    <w:rsid w:val="00336969"/>
    <w:rsid w:val="00336C52"/>
    <w:rsid w:val="0033701D"/>
    <w:rsid w:val="00340FD7"/>
    <w:rsid w:val="00341B3E"/>
    <w:rsid w:val="00341B42"/>
    <w:rsid w:val="00342D51"/>
    <w:rsid w:val="00344EB5"/>
    <w:rsid w:val="00345154"/>
    <w:rsid w:val="0034560E"/>
    <w:rsid w:val="00345651"/>
    <w:rsid w:val="00346171"/>
    <w:rsid w:val="003472A3"/>
    <w:rsid w:val="0034741E"/>
    <w:rsid w:val="00347B4D"/>
    <w:rsid w:val="00350523"/>
    <w:rsid w:val="0035119C"/>
    <w:rsid w:val="00352975"/>
    <w:rsid w:val="003531AE"/>
    <w:rsid w:val="00353ACC"/>
    <w:rsid w:val="003553AD"/>
    <w:rsid w:val="003562A1"/>
    <w:rsid w:val="00356868"/>
    <w:rsid w:val="00356A35"/>
    <w:rsid w:val="00356A5C"/>
    <w:rsid w:val="003618E9"/>
    <w:rsid w:val="00361953"/>
    <w:rsid w:val="00362765"/>
    <w:rsid w:val="0036485B"/>
    <w:rsid w:val="00364AD8"/>
    <w:rsid w:val="00366E01"/>
    <w:rsid w:val="00367562"/>
    <w:rsid w:val="00370046"/>
    <w:rsid w:val="0037150D"/>
    <w:rsid w:val="00371BC6"/>
    <w:rsid w:val="00373B0D"/>
    <w:rsid w:val="00375E39"/>
    <w:rsid w:val="003766F3"/>
    <w:rsid w:val="00376988"/>
    <w:rsid w:val="00380C43"/>
    <w:rsid w:val="003814DA"/>
    <w:rsid w:val="00381A72"/>
    <w:rsid w:val="00383343"/>
    <w:rsid w:val="00383A4F"/>
    <w:rsid w:val="00383E27"/>
    <w:rsid w:val="0038402F"/>
    <w:rsid w:val="0038697C"/>
    <w:rsid w:val="00386D7A"/>
    <w:rsid w:val="00386ECE"/>
    <w:rsid w:val="0038736A"/>
    <w:rsid w:val="00392F95"/>
    <w:rsid w:val="0039383E"/>
    <w:rsid w:val="0039732D"/>
    <w:rsid w:val="00397403"/>
    <w:rsid w:val="003A1948"/>
    <w:rsid w:val="003A1A5C"/>
    <w:rsid w:val="003A5195"/>
    <w:rsid w:val="003A5C0E"/>
    <w:rsid w:val="003A65EE"/>
    <w:rsid w:val="003A6EC4"/>
    <w:rsid w:val="003A7DF1"/>
    <w:rsid w:val="003B152A"/>
    <w:rsid w:val="003B41F4"/>
    <w:rsid w:val="003B545B"/>
    <w:rsid w:val="003B599F"/>
    <w:rsid w:val="003B62ED"/>
    <w:rsid w:val="003B77B6"/>
    <w:rsid w:val="003C072E"/>
    <w:rsid w:val="003C50B0"/>
    <w:rsid w:val="003C7A30"/>
    <w:rsid w:val="003C7A80"/>
    <w:rsid w:val="003D066A"/>
    <w:rsid w:val="003D1BC2"/>
    <w:rsid w:val="003D24DF"/>
    <w:rsid w:val="003D25FB"/>
    <w:rsid w:val="003D2E15"/>
    <w:rsid w:val="003D3EE9"/>
    <w:rsid w:val="003D5C30"/>
    <w:rsid w:val="003E0E73"/>
    <w:rsid w:val="003E18BC"/>
    <w:rsid w:val="003E29BB"/>
    <w:rsid w:val="003E2B1A"/>
    <w:rsid w:val="003E332A"/>
    <w:rsid w:val="003E66D4"/>
    <w:rsid w:val="003E7681"/>
    <w:rsid w:val="003E7DB5"/>
    <w:rsid w:val="003F0809"/>
    <w:rsid w:val="003F0FE6"/>
    <w:rsid w:val="003F3B5A"/>
    <w:rsid w:val="003F5CF6"/>
    <w:rsid w:val="003F611C"/>
    <w:rsid w:val="003F755C"/>
    <w:rsid w:val="00404856"/>
    <w:rsid w:val="004063B8"/>
    <w:rsid w:val="00406F01"/>
    <w:rsid w:val="00410BE5"/>
    <w:rsid w:val="00411B36"/>
    <w:rsid w:val="004121D7"/>
    <w:rsid w:val="00414B3F"/>
    <w:rsid w:val="00416D50"/>
    <w:rsid w:val="004173CD"/>
    <w:rsid w:val="00417772"/>
    <w:rsid w:val="00420E6A"/>
    <w:rsid w:val="004255B9"/>
    <w:rsid w:val="00426339"/>
    <w:rsid w:val="00427A70"/>
    <w:rsid w:val="004304F4"/>
    <w:rsid w:val="0043054B"/>
    <w:rsid w:val="00430A21"/>
    <w:rsid w:val="00433CA9"/>
    <w:rsid w:val="0043521D"/>
    <w:rsid w:val="004409BD"/>
    <w:rsid w:val="004411BA"/>
    <w:rsid w:val="004418A8"/>
    <w:rsid w:val="0044201F"/>
    <w:rsid w:val="00442024"/>
    <w:rsid w:val="0044254C"/>
    <w:rsid w:val="00442A9B"/>
    <w:rsid w:val="00442DC1"/>
    <w:rsid w:val="00443F6A"/>
    <w:rsid w:val="00444B83"/>
    <w:rsid w:val="004460E2"/>
    <w:rsid w:val="004461D0"/>
    <w:rsid w:val="00446522"/>
    <w:rsid w:val="00446B82"/>
    <w:rsid w:val="00450A17"/>
    <w:rsid w:val="00450CD3"/>
    <w:rsid w:val="004517A0"/>
    <w:rsid w:val="00453554"/>
    <w:rsid w:val="00453796"/>
    <w:rsid w:val="00453E3F"/>
    <w:rsid w:val="004543B4"/>
    <w:rsid w:val="00455566"/>
    <w:rsid w:val="00465D2A"/>
    <w:rsid w:val="00466321"/>
    <w:rsid w:val="0046724A"/>
    <w:rsid w:val="004672AF"/>
    <w:rsid w:val="004701F9"/>
    <w:rsid w:val="004708D2"/>
    <w:rsid w:val="00471706"/>
    <w:rsid w:val="00471925"/>
    <w:rsid w:val="004727B0"/>
    <w:rsid w:val="004778AE"/>
    <w:rsid w:val="00477CF3"/>
    <w:rsid w:val="00480247"/>
    <w:rsid w:val="0048081D"/>
    <w:rsid w:val="0048117E"/>
    <w:rsid w:val="00481F2E"/>
    <w:rsid w:val="004822AC"/>
    <w:rsid w:val="00483678"/>
    <w:rsid w:val="00483ECA"/>
    <w:rsid w:val="00484D2B"/>
    <w:rsid w:val="0048500D"/>
    <w:rsid w:val="004855F6"/>
    <w:rsid w:val="004858D9"/>
    <w:rsid w:val="00486F0C"/>
    <w:rsid w:val="00490F17"/>
    <w:rsid w:val="0049316A"/>
    <w:rsid w:val="00494670"/>
    <w:rsid w:val="004951AB"/>
    <w:rsid w:val="00495668"/>
    <w:rsid w:val="00496412"/>
    <w:rsid w:val="004A0EB4"/>
    <w:rsid w:val="004A2CA4"/>
    <w:rsid w:val="004A3823"/>
    <w:rsid w:val="004A3FA0"/>
    <w:rsid w:val="004A533B"/>
    <w:rsid w:val="004A59BB"/>
    <w:rsid w:val="004A6831"/>
    <w:rsid w:val="004A6F24"/>
    <w:rsid w:val="004A7B78"/>
    <w:rsid w:val="004B43A3"/>
    <w:rsid w:val="004B4C49"/>
    <w:rsid w:val="004B58A5"/>
    <w:rsid w:val="004B5B04"/>
    <w:rsid w:val="004B63D9"/>
    <w:rsid w:val="004B6734"/>
    <w:rsid w:val="004B6D4C"/>
    <w:rsid w:val="004B7D83"/>
    <w:rsid w:val="004B7E16"/>
    <w:rsid w:val="004C0882"/>
    <w:rsid w:val="004C0939"/>
    <w:rsid w:val="004C09DB"/>
    <w:rsid w:val="004C185C"/>
    <w:rsid w:val="004C1A47"/>
    <w:rsid w:val="004C1AB3"/>
    <w:rsid w:val="004C32CA"/>
    <w:rsid w:val="004C3439"/>
    <w:rsid w:val="004C3B07"/>
    <w:rsid w:val="004C4C93"/>
    <w:rsid w:val="004C55BE"/>
    <w:rsid w:val="004C5D71"/>
    <w:rsid w:val="004C6C6C"/>
    <w:rsid w:val="004D01BB"/>
    <w:rsid w:val="004D03EB"/>
    <w:rsid w:val="004D1543"/>
    <w:rsid w:val="004D4C0D"/>
    <w:rsid w:val="004D557A"/>
    <w:rsid w:val="004D7DEC"/>
    <w:rsid w:val="004E45CA"/>
    <w:rsid w:val="004E48FB"/>
    <w:rsid w:val="004E4BC5"/>
    <w:rsid w:val="004E564C"/>
    <w:rsid w:val="004E5B30"/>
    <w:rsid w:val="004F0084"/>
    <w:rsid w:val="004F0779"/>
    <w:rsid w:val="004F0F58"/>
    <w:rsid w:val="004F1230"/>
    <w:rsid w:val="004F173F"/>
    <w:rsid w:val="004F177C"/>
    <w:rsid w:val="004F1DDF"/>
    <w:rsid w:val="004F2309"/>
    <w:rsid w:val="004F2DCE"/>
    <w:rsid w:val="004F380A"/>
    <w:rsid w:val="004F6D04"/>
    <w:rsid w:val="00500DD9"/>
    <w:rsid w:val="005039CB"/>
    <w:rsid w:val="0050558F"/>
    <w:rsid w:val="005057E0"/>
    <w:rsid w:val="00506286"/>
    <w:rsid w:val="0050722D"/>
    <w:rsid w:val="005077AB"/>
    <w:rsid w:val="00510813"/>
    <w:rsid w:val="005114ED"/>
    <w:rsid w:val="00511DE0"/>
    <w:rsid w:val="005121DF"/>
    <w:rsid w:val="00512B03"/>
    <w:rsid w:val="005171B0"/>
    <w:rsid w:val="00517F02"/>
    <w:rsid w:val="005205C4"/>
    <w:rsid w:val="005230D2"/>
    <w:rsid w:val="00524547"/>
    <w:rsid w:val="005258A2"/>
    <w:rsid w:val="00525BCA"/>
    <w:rsid w:val="0053011F"/>
    <w:rsid w:val="00530D5C"/>
    <w:rsid w:val="00530F7C"/>
    <w:rsid w:val="00534567"/>
    <w:rsid w:val="00534F43"/>
    <w:rsid w:val="00535A84"/>
    <w:rsid w:val="00535D46"/>
    <w:rsid w:val="00536889"/>
    <w:rsid w:val="00537032"/>
    <w:rsid w:val="00542E07"/>
    <w:rsid w:val="00543DE1"/>
    <w:rsid w:val="005444B3"/>
    <w:rsid w:val="00544D42"/>
    <w:rsid w:val="00546DD1"/>
    <w:rsid w:val="005476AB"/>
    <w:rsid w:val="00550915"/>
    <w:rsid w:val="00550CC1"/>
    <w:rsid w:val="005532C0"/>
    <w:rsid w:val="00554A7B"/>
    <w:rsid w:val="00555207"/>
    <w:rsid w:val="0055572C"/>
    <w:rsid w:val="005568F2"/>
    <w:rsid w:val="005605CB"/>
    <w:rsid w:val="0056064F"/>
    <w:rsid w:val="00561B84"/>
    <w:rsid w:val="005645B3"/>
    <w:rsid w:val="0056473D"/>
    <w:rsid w:val="00565179"/>
    <w:rsid w:val="00567512"/>
    <w:rsid w:val="00567844"/>
    <w:rsid w:val="00571D98"/>
    <w:rsid w:val="005720AE"/>
    <w:rsid w:val="00572555"/>
    <w:rsid w:val="005745C4"/>
    <w:rsid w:val="0057545A"/>
    <w:rsid w:val="00577E57"/>
    <w:rsid w:val="0058030D"/>
    <w:rsid w:val="00582045"/>
    <w:rsid w:val="00582386"/>
    <w:rsid w:val="00583957"/>
    <w:rsid w:val="00583AC9"/>
    <w:rsid w:val="00584190"/>
    <w:rsid w:val="005873A2"/>
    <w:rsid w:val="005909C3"/>
    <w:rsid w:val="00590AE3"/>
    <w:rsid w:val="00590D01"/>
    <w:rsid w:val="005918F1"/>
    <w:rsid w:val="0059212A"/>
    <w:rsid w:val="00594E6A"/>
    <w:rsid w:val="00597C07"/>
    <w:rsid w:val="005A014B"/>
    <w:rsid w:val="005A01C5"/>
    <w:rsid w:val="005A0255"/>
    <w:rsid w:val="005A06B7"/>
    <w:rsid w:val="005A0E16"/>
    <w:rsid w:val="005A1329"/>
    <w:rsid w:val="005A1759"/>
    <w:rsid w:val="005A3737"/>
    <w:rsid w:val="005A6B3E"/>
    <w:rsid w:val="005A78E5"/>
    <w:rsid w:val="005B0188"/>
    <w:rsid w:val="005B2A5C"/>
    <w:rsid w:val="005B3166"/>
    <w:rsid w:val="005B328B"/>
    <w:rsid w:val="005B4974"/>
    <w:rsid w:val="005B7C5E"/>
    <w:rsid w:val="005C0F38"/>
    <w:rsid w:val="005C5727"/>
    <w:rsid w:val="005D02AD"/>
    <w:rsid w:val="005D0369"/>
    <w:rsid w:val="005D1B96"/>
    <w:rsid w:val="005D4668"/>
    <w:rsid w:val="005D49DB"/>
    <w:rsid w:val="005D53FE"/>
    <w:rsid w:val="005D6570"/>
    <w:rsid w:val="005D6E54"/>
    <w:rsid w:val="005D7786"/>
    <w:rsid w:val="005D7A0F"/>
    <w:rsid w:val="005D7F82"/>
    <w:rsid w:val="005E0438"/>
    <w:rsid w:val="005E0F37"/>
    <w:rsid w:val="005E1791"/>
    <w:rsid w:val="005E25A4"/>
    <w:rsid w:val="005E2C30"/>
    <w:rsid w:val="005E2CE6"/>
    <w:rsid w:val="005E4C0B"/>
    <w:rsid w:val="005E6324"/>
    <w:rsid w:val="005E6B3F"/>
    <w:rsid w:val="005E6CCF"/>
    <w:rsid w:val="005E7359"/>
    <w:rsid w:val="005F1066"/>
    <w:rsid w:val="005F1134"/>
    <w:rsid w:val="005F228B"/>
    <w:rsid w:val="005F2464"/>
    <w:rsid w:val="005F24E4"/>
    <w:rsid w:val="005F29CD"/>
    <w:rsid w:val="005F2E5B"/>
    <w:rsid w:val="005F2F61"/>
    <w:rsid w:val="005F324F"/>
    <w:rsid w:val="005F3909"/>
    <w:rsid w:val="005F4DFB"/>
    <w:rsid w:val="005F6CC0"/>
    <w:rsid w:val="005F7565"/>
    <w:rsid w:val="006022A5"/>
    <w:rsid w:val="00603E5B"/>
    <w:rsid w:val="00604BC8"/>
    <w:rsid w:val="00605174"/>
    <w:rsid w:val="006068C6"/>
    <w:rsid w:val="0061219F"/>
    <w:rsid w:val="006121BC"/>
    <w:rsid w:val="00612A31"/>
    <w:rsid w:val="00612CFB"/>
    <w:rsid w:val="00614523"/>
    <w:rsid w:val="00615B4C"/>
    <w:rsid w:val="00615B5D"/>
    <w:rsid w:val="00617512"/>
    <w:rsid w:val="0062141E"/>
    <w:rsid w:val="0062146F"/>
    <w:rsid w:val="006232E5"/>
    <w:rsid w:val="006238A0"/>
    <w:rsid w:val="00623CBB"/>
    <w:rsid w:val="006252D8"/>
    <w:rsid w:val="00627631"/>
    <w:rsid w:val="006310C0"/>
    <w:rsid w:val="00631D85"/>
    <w:rsid w:val="0063320E"/>
    <w:rsid w:val="00633E25"/>
    <w:rsid w:val="006343AF"/>
    <w:rsid w:val="0063465A"/>
    <w:rsid w:val="00634936"/>
    <w:rsid w:val="00634E54"/>
    <w:rsid w:val="0063634A"/>
    <w:rsid w:val="006404AE"/>
    <w:rsid w:val="0064143B"/>
    <w:rsid w:val="00641C45"/>
    <w:rsid w:val="00641EF1"/>
    <w:rsid w:val="0064250D"/>
    <w:rsid w:val="00642E46"/>
    <w:rsid w:val="0064449F"/>
    <w:rsid w:val="00646C14"/>
    <w:rsid w:val="006514CA"/>
    <w:rsid w:val="00651CFC"/>
    <w:rsid w:val="006535EB"/>
    <w:rsid w:val="00655D73"/>
    <w:rsid w:val="006565DA"/>
    <w:rsid w:val="006575F8"/>
    <w:rsid w:val="00663016"/>
    <w:rsid w:val="00664A04"/>
    <w:rsid w:val="00664A07"/>
    <w:rsid w:val="00667197"/>
    <w:rsid w:val="00667F96"/>
    <w:rsid w:val="006701B8"/>
    <w:rsid w:val="00670288"/>
    <w:rsid w:val="00670363"/>
    <w:rsid w:val="00671C7F"/>
    <w:rsid w:val="00674605"/>
    <w:rsid w:val="006748B8"/>
    <w:rsid w:val="00675CC8"/>
    <w:rsid w:val="00676573"/>
    <w:rsid w:val="00677687"/>
    <w:rsid w:val="006776E8"/>
    <w:rsid w:val="00680439"/>
    <w:rsid w:val="006825E6"/>
    <w:rsid w:val="0068535B"/>
    <w:rsid w:val="006871EC"/>
    <w:rsid w:val="0068736E"/>
    <w:rsid w:val="00687CF9"/>
    <w:rsid w:val="0069290A"/>
    <w:rsid w:val="00692A61"/>
    <w:rsid w:val="00697032"/>
    <w:rsid w:val="006975AC"/>
    <w:rsid w:val="006A15FB"/>
    <w:rsid w:val="006A32BE"/>
    <w:rsid w:val="006A4A1B"/>
    <w:rsid w:val="006A561B"/>
    <w:rsid w:val="006A72BF"/>
    <w:rsid w:val="006B0318"/>
    <w:rsid w:val="006B332A"/>
    <w:rsid w:val="006B33BD"/>
    <w:rsid w:val="006B3439"/>
    <w:rsid w:val="006B3C22"/>
    <w:rsid w:val="006B73D3"/>
    <w:rsid w:val="006C069C"/>
    <w:rsid w:val="006C1B76"/>
    <w:rsid w:val="006C1F89"/>
    <w:rsid w:val="006C3F75"/>
    <w:rsid w:val="006C4429"/>
    <w:rsid w:val="006C4731"/>
    <w:rsid w:val="006C5B53"/>
    <w:rsid w:val="006C5E43"/>
    <w:rsid w:val="006C64CD"/>
    <w:rsid w:val="006D170E"/>
    <w:rsid w:val="006D2C03"/>
    <w:rsid w:val="006D3E8C"/>
    <w:rsid w:val="006D45F6"/>
    <w:rsid w:val="006D4F7C"/>
    <w:rsid w:val="006D6599"/>
    <w:rsid w:val="006E06AF"/>
    <w:rsid w:val="006E0C3C"/>
    <w:rsid w:val="006E1F33"/>
    <w:rsid w:val="006E353D"/>
    <w:rsid w:val="006E4570"/>
    <w:rsid w:val="006E634A"/>
    <w:rsid w:val="006E6A6E"/>
    <w:rsid w:val="006E711D"/>
    <w:rsid w:val="006E78D3"/>
    <w:rsid w:val="006E7D01"/>
    <w:rsid w:val="006F0412"/>
    <w:rsid w:val="006F0A03"/>
    <w:rsid w:val="006F1789"/>
    <w:rsid w:val="006F655E"/>
    <w:rsid w:val="006F7091"/>
    <w:rsid w:val="006F7794"/>
    <w:rsid w:val="006F7C06"/>
    <w:rsid w:val="0070051C"/>
    <w:rsid w:val="00701958"/>
    <w:rsid w:val="00702CDA"/>
    <w:rsid w:val="0070435D"/>
    <w:rsid w:val="00706C5D"/>
    <w:rsid w:val="007118E6"/>
    <w:rsid w:val="00711C29"/>
    <w:rsid w:val="007127F4"/>
    <w:rsid w:val="00713002"/>
    <w:rsid w:val="00713955"/>
    <w:rsid w:val="00713F99"/>
    <w:rsid w:val="0071544B"/>
    <w:rsid w:val="007176F9"/>
    <w:rsid w:val="00717C49"/>
    <w:rsid w:val="00720980"/>
    <w:rsid w:val="007225C9"/>
    <w:rsid w:val="00727103"/>
    <w:rsid w:val="00730E93"/>
    <w:rsid w:val="0073211F"/>
    <w:rsid w:val="007328FC"/>
    <w:rsid w:val="00732DA7"/>
    <w:rsid w:val="0073462D"/>
    <w:rsid w:val="00735CD7"/>
    <w:rsid w:val="00740951"/>
    <w:rsid w:val="00741695"/>
    <w:rsid w:val="00741EA8"/>
    <w:rsid w:val="00742C45"/>
    <w:rsid w:val="0074599D"/>
    <w:rsid w:val="00745CE6"/>
    <w:rsid w:val="00746594"/>
    <w:rsid w:val="00746842"/>
    <w:rsid w:val="007474F7"/>
    <w:rsid w:val="00751359"/>
    <w:rsid w:val="0075144E"/>
    <w:rsid w:val="007525D0"/>
    <w:rsid w:val="0075360B"/>
    <w:rsid w:val="00754034"/>
    <w:rsid w:val="00754335"/>
    <w:rsid w:val="00754951"/>
    <w:rsid w:val="00754BF1"/>
    <w:rsid w:val="00755A30"/>
    <w:rsid w:val="00755E1C"/>
    <w:rsid w:val="00756556"/>
    <w:rsid w:val="00757AE4"/>
    <w:rsid w:val="0076132B"/>
    <w:rsid w:val="007623AE"/>
    <w:rsid w:val="00763BCC"/>
    <w:rsid w:val="0076678C"/>
    <w:rsid w:val="00767B3F"/>
    <w:rsid w:val="00770B19"/>
    <w:rsid w:val="00770C68"/>
    <w:rsid w:val="0077382B"/>
    <w:rsid w:val="00774FA0"/>
    <w:rsid w:val="007750B9"/>
    <w:rsid w:val="00775D73"/>
    <w:rsid w:val="00776620"/>
    <w:rsid w:val="00776B35"/>
    <w:rsid w:val="007777EC"/>
    <w:rsid w:val="00777B6D"/>
    <w:rsid w:val="00781823"/>
    <w:rsid w:val="00784855"/>
    <w:rsid w:val="00784B11"/>
    <w:rsid w:val="00784F39"/>
    <w:rsid w:val="0078545C"/>
    <w:rsid w:val="007856C6"/>
    <w:rsid w:val="007863F3"/>
    <w:rsid w:val="00786687"/>
    <w:rsid w:val="007876B5"/>
    <w:rsid w:val="007878CF"/>
    <w:rsid w:val="00790375"/>
    <w:rsid w:val="007906C4"/>
    <w:rsid w:val="00793546"/>
    <w:rsid w:val="007940EA"/>
    <w:rsid w:val="00796314"/>
    <w:rsid w:val="007967E8"/>
    <w:rsid w:val="00797966"/>
    <w:rsid w:val="007A1CAC"/>
    <w:rsid w:val="007A5DF2"/>
    <w:rsid w:val="007A63F2"/>
    <w:rsid w:val="007B2865"/>
    <w:rsid w:val="007B2D30"/>
    <w:rsid w:val="007B68DE"/>
    <w:rsid w:val="007B7AE3"/>
    <w:rsid w:val="007C1857"/>
    <w:rsid w:val="007C3788"/>
    <w:rsid w:val="007C4514"/>
    <w:rsid w:val="007C4719"/>
    <w:rsid w:val="007C514F"/>
    <w:rsid w:val="007C69A1"/>
    <w:rsid w:val="007C7BD9"/>
    <w:rsid w:val="007D02D9"/>
    <w:rsid w:val="007D0F95"/>
    <w:rsid w:val="007D2D4A"/>
    <w:rsid w:val="007D4E30"/>
    <w:rsid w:val="007D4E42"/>
    <w:rsid w:val="007D762E"/>
    <w:rsid w:val="007D7A98"/>
    <w:rsid w:val="007D7ECB"/>
    <w:rsid w:val="007E01CA"/>
    <w:rsid w:val="007E1114"/>
    <w:rsid w:val="007E17E9"/>
    <w:rsid w:val="007E1B08"/>
    <w:rsid w:val="007E25A1"/>
    <w:rsid w:val="007E3B37"/>
    <w:rsid w:val="007E3C01"/>
    <w:rsid w:val="007E48C5"/>
    <w:rsid w:val="007E4BD2"/>
    <w:rsid w:val="007E6039"/>
    <w:rsid w:val="007E7145"/>
    <w:rsid w:val="007E7B93"/>
    <w:rsid w:val="007F2788"/>
    <w:rsid w:val="007F2D9D"/>
    <w:rsid w:val="007F3916"/>
    <w:rsid w:val="007F42AA"/>
    <w:rsid w:val="007F5CBE"/>
    <w:rsid w:val="007F5ED0"/>
    <w:rsid w:val="007F5F95"/>
    <w:rsid w:val="007F6F6B"/>
    <w:rsid w:val="00801179"/>
    <w:rsid w:val="00802479"/>
    <w:rsid w:val="00804E90"/>
    <w:rsid w:val="00805372"/>
    <w:rsid w:val="0080545A"/>
    <w:rsid w:val="00805B7B"/>
    <w:rsid w:val="00810CAB"/>
    <w:rsid w:val="00811597"/>
    <w:rsid w:val="0081293E"/>
    <w:rsid w:val="00813324"/>
    <w:rsid w:val="00813504"/>
    <w:rsid w:val="00814FFB"/>
    <w:rsid w:val="00815527"/>
    <w:rsid w:val="00815B12"/>
    <w:rsid w:val="0081620B"/>
    <w:rsid w:val="008164AD"/>
    <w:rsid w:val="00820568"/>
    <w:rsid w:val="008224B9"/>
    <w:rsid w:val="00822B1A"/>
    <w:rsid w:val="00822FB4"/>
    <w:rsid w:val="008232CC"/>
    <w:rsid w:val="00823B42"/>
    <w:rsid w:val="008263A4"/>
    <w:rsid w:val="00826914"/>
    <w:rsid w:val="00826BD9"/>
    <w:rsid w:val="00826D3D"/>
    <w:rsid w:val="00830189"/>
    <w:rsid w:val="0083107C"/>
    <w:rsid w:val="00831809"/>
    <w:rsid w:val="00831A80"/>
    <w:rsid w:val="008329D2"/>
    <w:rsid w:val="008332C8"/>
    <w:rsid w:val="00833743"/>
    <w:rsid w:val="00833A08"/>
    <w:rsid w:val="008340A4"/>
    <w:rsid w:val="00834310"/>
    <w:rsid w:val="00835663"/>
    <w:rsid w:val="00835899"/>
    <w:rsid w:val="00836799"/>
    <w:rsid w:val="00837028"/>
    <w:rsid w:val="00837131"/>
    <w:rsid w:val="0084126F"/>
    <w:rsid w:val="00841B7E"/>
    <w:rsid w:val="0084440E"/>
    <w:rsid w:val="00845B1B"/>
    <w:rsid w:val="00845F57"/>
    <w:rsid w:val="00847234"/>
    <w:rsid w:val="00850480"/>
    <w:rsid w:val="008511DB"/>
    <w:rsid w:val="008518F6"/>
    <w:rsid w:val="00851D9A"/>
    <w:rsid w:val="008521E0"/>
    <w:rsid w:val="008521F2"/>
    <w:rsid w:val="008525B0"/>
    <w:rsid w:val="00853E9A"/>
    <w:rsid w:val="00855462"/>
    <w:rsid w:val="00856740"/>
    <w:rsid w:val="00857D02"/>
    <w:rsid w:val="00867CBC"/>
    <w:rsid w:val="00870DF1"/>
    <w:rsid w:val="00870FA1"/>
    <w:rsid w:val="00873B58"/>
    <w:rsid w:val="0087423A"/>
    <w:rsid w:val="008769E7"/>
    <w:rsid w:val="00876C30"/>
    <w:rsid w:val="00877017"/>
    <w:rsid w:val="008773C0"/>
    <w:rsid w:val="00880225"/>
    <w:rsid w:val="00880364"/>
    <w:rsid w:val="00881878"/>
    <w:rsid w:val="008819F5"/>
    <w:rsid w:val="00883A26"/>
    <w:rsid w:val="008840F3"/>
    <w:rsid w:val="008848C2"/>
    <w:rsid w:val="0088572C"/>
    <w:rsid w:val="00886C4C"/>
    <w:rsid w:val="0088711C"/>
    <w:rsid w:val="0088714E"/>
    <w:rsid w:val="008872BF"/>
    <w:rsid w:val="00891309"/>
    <w:rsid w:val="008926FF"/>
    <w:rsid w:val="00892DF4"/>
    <w:rsid w:val="00892ECF"/>
    <w:rsid w:val="00892F06"/>
    <w:rsid w:val="00894285"/>
    <w:rsid w:val="008946B8"/>
    <w:rsid w:val="00895640"/>
    <w:rsid w:val="008A07D5"/>
    <w:rsid w:val="008A1A5B"/>
    <w:rsid w:val="008A2273"/>
    <w:rsid w:val="008A3E5A"/>
    <w:rsid w:val="008A40AE"/>
    <w:rsid w:val="008A43FC"/>
    <w:rsid w:val="008A4ADA"/>
    <w:rsid w:val="008A4E19"/>
    <w:rsid w:val="008A60B1"/>
    <w:rsid w:val="008A618E"/>
    <w:rsid w:val="008A67C5"/>
    <w:rsid w:val="008A75B1"/>
    <w:rsid w:val="008B1624"/>
    <w:rsid w:val="008B22E1"/>
    <w:rsid w:val="008B3C78"/>
    <w:rsid w:val="008B482F"/>
    <w:rsid w:val="008B4AE9"/>
    <w:rsid w:val="008C0028"/>
    <w:rsid w:val="008C1CF3"/>
    <w:rsid w:val="008C30AD"/>
    <w:rsid w:val="008C338F"/>
    <w:rsid w:val="008C498D"/>
    <w:rsid w:val="008C5A7D"/>
    <w:rsid w:val="008D068E"/>
    <w:rsid w:val="008D0F7A"/>
    <w:rsid w:val="008D3818"/>
    <w:rsid w:val="008D385E"/>
    <w:rsid w:val="008D63BE"/>
    <w:rsid w:val="008D73A2"/>
    <w:rsid w:val="008D7E3A"/>
    <w:rsid w:val="008E0CFF"/>
    <w:rsid w:val="008E105B"/>
    <w:rsid w:val="008E1BDF"/>
    <w:rsid w:val="008E4CC7"/>
    <w:rsid w:val="008E5D6B"/>
    <w:rsid w:val="008E689B"/>
    <w:rsid w:val="008E76F0"/>
    <w:rsid w:val="008F00E6"/>
    <w:rsid w:val="008F15FE"/>
    <w:rsid w:val="008F2A78"/>
    <w:rsid w:val="008F2A94"/>
    <w:rsid w:val="008F2A9C"/>
    <w:rsid w:val="008F3817"/>
    <w:rsid w:val="008F5187"/>
    <w:rsid w:val="008F5731"/>
    <w:rsid w:val="008F709C"/>
    <w:rsid w:val="00902362"/>
    <w:rsid w:val="0090312B"/>
    <w:rsid w:val="00904961"/>
    <w:rsid w:val="00906003"/>
    <w:rsid w:val="0091067B"/>
    <w:rsid w:val="00910B01"/>
    <w:rsid w:val="00911DE7"/>
    <w:rsid w:val="00913525"/>
    <w:rsid w:val="009136C2"/>
    <w:rsid w:val="00915179"/>
    <w:rsid w:val="0091736D"/>
    <w:rsid w:val="009178A5"/>
    <w:rsid w:val="00920FF6"/>
    <w:rsid w:val="00921636"/>
    <w:rsid w:val="009220CC"/>
    <w:rsid w:val="00922AD6"/>
    <w:rsid w:val="009262A1"/>
    <w:rsid w:val="00927ED2"/>
    <w:rsid w:val="00931001"/>
    <w:rsid w:val="00931863"/>
    <w:rsid w:val="0093269B"/>
    <w:rsid w:val="00932B7C"/>
    <w:rsid w:val="00933524"/>
    <w:rsid w:val="00933612"/>
    <w:rsid w:val="009374A9"/>
    <w:rsid w:val="0094278D"/>
    <w:rsid w:val="00945E02"/>
    <w:rsid w:val="00946D4C"/>
    <w:rsid w:val="00947B6E"/>
    <w:rsid w:val="00952085"/>
    <w:rsid w:val="009520BC"/>
    <w:rsid w:val="00952740"/>
    <w:rsid w:val="0095308A"/>
    <w:rsid w:val="00955AEE"/>
    <w:rsid w:val="00956F14"/>
    <w:rsid w:val="00961038"/>
    <w:rsid w:val="009620FD"/>
    <w:rsid w:val="00962253"/>
    <w:rsid w:val="0096247A"/>
    <w:rsid w:val="00965F4B"/>
    <w:rsid w:val="0097033D"/>
    <w:rsid w:val="00970F8A"/>
    <w:rsid w:val="00971FB5"/>
    <w:rsid w:val="0097258A"/>
    <w:rsid w:val="00972D2A"/>
    <w:rsid w:val="00972F9B"/>
    <w:rsid w:val="00975807"/>
    <w:rsid w:val="009758DF"/>
    <w:rsid w:val="00975CC5"/>
    <w:rsid w:val="00976328"/>
    <w:rsid w:val="00976361"/>
    <w:rsid w:val="00976841"/>
    <w:rsid w:val="00976B4E"/>
    <w:rsid w:val="00984458"/>
    <w:rsid w:val="00985283"/>
    <w:rsid w:val="009870D3"/>
    <w:rsid w:val="00987322"/>
    <w:rsid w:val="00991190"/>
    <w:rsid w:val="00994404"/>
    <w:rsid w:val="009947FB"/>
    <w:rsid w:val="00996531"/>
    <w:rsid w:val="00996A1F"/>
    <w:rsid w:val="009A01C0"/>
    <w:rsid w:val="009A09BE"/>
    <w:rsid w:val="009A0F3B"/>
    <w:rsid w:val="009A2791"/>
    <w:rsid w:val="009A28AD"/>
    <w:rsid w:val="009A48DF"/>
    <w:rsid w:val="009A5205"/>
    <w:rsid w:val="009A5B3C"/>
    <w:rsid w:val="009A72C7"/>
    <w:rsid w:val="009B0897"/>
    <w:rsid w:val="009B0D28"/>
    <w:rsid w:val="009B126A"/>
    <w:rsid w:val="009B379B"/>
    <w:rsid w:val="009C090C"/>
    <w:rsid w:val="009C1799"/>
    <w:rsid w:val="009C189D"/>
    <w:rsid w:val="009C2C12"/>
    <w:rsid w:val="009C532B"/>
    <w:rsid w:val="009C5E22"/>
    <w:rsid w:val="009C7549"/>
    <w:rsid w:val="009C7CC3"/>
    <w:rsid w:val="009D01B1"/>
    <w:rsid w:val="009D0852"/>
    <w:rsid w:val="009D1BE0"/>
    <w:rsid w:val="009D1FBF"/>
    <w:rsid w:val="009D26E5"/>
    <w:rsid w:val="009D3068"/>
    <w:rsid w:val="009D64F6"/>
    <w:rsid w:val="009D6733"/>
    <w:rsid w:val="009E1D59"/>
    <w:rsid w:val="009E247E"/>
    <w:rsid w:val="009E2614"/>
    <w:rsid w:val="009E2965"/>
    <w:rsid w:val="009E3437"/>
    <w:rsid w:val="009E3692"/>
    <w:rsid w:val="009E399C"/>
    <w:rsid w:val="009E3CD7"/>
    <w:rsid w:val="009E43C1"/>
    <w:rsid w:val="009E7E95"/>
    <w:rsid w:val="009F024F"/>
    <w:rsid w:val="009F05FF"/>
    <w:rsid w:val="009F116F"/>
    <w:rsid w:val="009F11A7"/>
    <w:rsid w:val="009F1E2A"/>
    <w:rsid w:val="009F2676"/>
    <w:rsid w:val="009F2C7A"/>
    <w:rsid w:val="009F329E"/>
    <w:rsid w:val="009F4DD1"/>
    <w:rsid w:val="009F6C1B"/>
    <w:rsid w:val="009F6E91"/>
    <w:rsid w:val="009F768E"/>
    <w:rsid w:val="009F7ED3"/>
    <w:rsid w:val="00A0114C"/>
    <w:rsid w:val="00A01D83"/>
    <w:rsid w:val="00A02A38"/>
    <w:rsid w:val="00A03607"/>
    <w:rsid w:val="00A03A2E"/>
    <w:rsid w:val="00A047FF"/>
    <w:rsid w:val="00A04FEF"/>
    <w:rsid w:val="00A11F49"/>
    <w:rsid w:val="00A122CD"/>
    <w:rsid w:val="00A12A32"/>
    <w:rsid w:val="00A14248"/>
    <w:rsid w:val="00A147A4"/>
    <w:rsid w:val="00A14947"/>
    <w:rsid w:val="00A232E7"/>
    <w:rsid w:val="00A23DC5"/>
    <w:rsid w:val="00A26B99"/>
    <w:rsid w:val="00A27634"/>
    <w:rsid w:val="00A328E2"/>
    <w:rsid w:val="00A34028"/>
    <w:rsid w:val="00A35568"/>
    <w:rsid w:val="00A35E4A"/>
    <w:rsid w:val="00A37056"/>
    <w:rsid w:val="00A40098"/>
    <w:rsid w:val="00A400AF"/>
    <w:rsid w:val="00A4064B"/>
    <w:rsid w:val="00A4358F"/>
    <w:rsid w:val="00A446F0"/>
    <w:rsid w:val="00A44801"/>
    <w:rsid w:val="00A44BD6"/>
    <w:rsid w:val="00A45079"/>
    <w:rsid w:val="00A45AE7"/>
    <w:rsid w:val="00A45E3A"/>
    <w:rsid w:val="00A4620C"/>
    <w:rsid w:val="00A467EA"/>
    <w:rsid w:val="00A468D9"/>
    <w:rsid w:val="00A46F67"/>
    <w:rsid w:val="00A47936"/>
    <w:rsid w:val="00A50FBE"/>
    <w:rsid w:val="00A51BCD"/>
    <w:rsid w:val="00A51C70"/>
    <w:rsid w:val="00A52A55"/>
    <w:rsid w:val="00A54AA1"/>
    <w:rsid w:val="00A550CC"/>
    <w:rsid w:val="00A568FF"/>
    <w:rsid w:val="00A61496"/>
    <w:rsid w:val="00A61827"/>
    <w:rsid w:val="00A61833"/>
    <w:rsid w:val="00A624C6"/>
    <w:rsid w:val="00A63CEC"/>
    <w:rsid w:val="00A640F3"/>
    <w:rsid w:val="00A67468"/>
    <w:rsid w:val="00A7031E"/>
    <w:rsid w:val="00A728B1"/>
    <w:rsid w:val="00A74389"/>
    <w:rsid w:val="00A748B8"/>
    <w:rsid w:val="00A763DE"/>
    <w:rsid w:val="00A76657"/>
    <w:rsid w:val="00A77F3D"/>
    <w:rsid w:val="00A803D6"/>
    <w:rsid w:val="00A806FD"/>
    <w:rsid w:val="00A81282"/>
    <w:rsid w:val="00A81CCC"/>
    <w:rsid w:val="00A83DDD"/>
    <w:rsid w:val="00A8623A"/>
    <w:rsid w:val="00A8713F"/>
    <w:rsid w:val="00A91167"/>
    <w:rsid w:val="00A91679"/>
    <w:rsid w:val="00A916C1"/>
    <w:rsid w:val="00A9171C"/>
    <w:rsid w:val="00A91E47"/>
    <w:rsid w:val="00A92497"/>
    <w:rsid w:val="00A92D8F"/>
    <w:rsid w:val="00A92FFD"/>
    <w:rsid w:val="00A9414F"/>
    <w:rsid w:val="00A94204"/>
    <w:rsid w:val="00A95975"/>
    <w:rsid w:val="00A959F6"/>
    <w:rsid w:val="00A9708D"/>
    <w:rsid w:val="00AA19E9"/>
    <w:rsid w:val="00AA1FBF"/>
    <w:rsid w:val="00AA2C17"/>
    <w:rsid w:val="00AA32B2"/>
    <w:rsid w:val="00AA39C6"/>
    <w:rsid w:val="00AA4172"/>
    <w:rsid w:val="00AB1914"/>
    <w:rsid w:val="00AB29F1"/>
    <w:rsid w:val="00AB5330"/>
    <w:rsid w:val="00AB5820"/>
    <w:rsid w:val="00AB5DDC"/>
    <w:rsid w:val="00AB7746"/>
    <w:rsid w:val="00AB7747"/>
    <w:rsid w:val="00AC24C5"/>
    <w:rsid w:val="00AC2532"/>
    <w:rsid w:val="00AC2786"/>
    <w:rsid w:val="00AC27CF"/>
    <w:rsid w:val="00AC320F"/>
    <w:rsid w:val="00AC56B9"/>
    <w:rsid w:val="00AD0950"/>
    <w:rsid w:val="00AD1507"/>
    <w:rsid w:val="00AD2CBC"/>
    <w:rsid w:val="00AD426E"/>
    <w:rsid w:val="00AD4EAB"/>
    <w:rsid w:val="00AD5093"/>
    <w:rsid w:val="00AD5A70"/>
    <w:rsid w:val="00AD738B"/>
    <w:rsid w:val="00AD7887"/>
    <w:rsid w:val="00AE0F34"/>
    <w:rsid w:val="00AE1BF4"/>
    <w:rsid w:val="00AE3A2F"/>
    <w:rsid w:val="00AE5266"/>
    <w:rsid w:val="00AE5276"/>
    <w:rsid w:val="00AE5772"/>
    <w:rsid w:val="00AE5D84"/>
    <w:rsid w:val="00AE5D97"/>
    <w:rsid w:val="00AE6048"/>
    <w:rsid w:val="00AE6794"/>
    <w:rsid w:val="00AE79F3"/>
    <w:rsid w:val="00AE7BF6"/>
    <w:rsid w:val="00AF129C"/>
    <w:rsid w:val="00AF1DEA"/>
    <w:rsid w:val="00AF1E6B"/>
    <w:rsid w:val="00AF3A2A"/>
    <w:rsid w:val="00AF4CB1"/>
    <w:rsid w:val="00B0011A"/>
    <w:rsid w:val="00B003CA"/>
    <w:rsid w:val="00B01110"/>
    <w:rsid w:val="00B02262"/>
    <w:rsid w:val="00B0377E"/>
    <w:rsid w:val="00B03A87"/>
    <w:rsid w:val="00B03CEC"/>
    <w:rsid w:val="00B06C23"/>
    <w:rsid w:val="00B0757C"/>
    <w:rsid w:val="00B1209F"/>
    <w:rsid w:val="00B12AD0"/>
    <w:rsid w:val="00B13A81"/>
    <w:rsid w:val="00B14D9B"/>
    <w:rsid w:val="00B1614C"/>
    <w:rsid w:val="00B1776C"/>
    <w:rsid w:val="00B21D2F"/>
    <w:rsid w:val="00B21D3D"/>
    <w:rsid w:val="00B22DAA"/>
    <w:rsid w:val="00B24F30"/>
    <w:rsid w:val="00B263D9"/>
    <w:rsid w:val="00B274B6"/>
    <w:rsid w:val="00B27535"/>
    <w:rsid w:val="00B27ACA"/>
    <w:rsid w:val="00B27DF6"/>
    <w:rsid w:val="00B31ABF"/>
    <w:rsid w:val="00B3287D"/>
    <w:rsid w:val="00B3335A"/>
    <w:rsid w:val="00B335AE"/>
    <w:rsid w:val="00B336DE"/>
    <w:rsid w:val="00B36376"/>
    <w:rsid w:val="00B3760E"/>
    <w:rsid w:val="00B37CE1"/>
    <w:rsid w:val="00B4086D"/>
    <w:rsid w:val="00B40ACF"/>
    <w:rsid w:val="00B41301"/>
    <w:rsid w:val="00B433D1"/>
    <w:rsid w:val="00B437A5"/>
    <w:rsid w:val="00B44B69"/>
    <w:rsid w:val="00B465A9"/>
    <w:rsid w:val="00B46A0A"/>
    <w:rsid w:val="00B46BAA"/>
    <w:rsid w:val="00B50529"/>
    <w:rsid w:val="00B50B5F"/>
    <w:rsid w:val="00B50D6C"/>
    <w:rsid w:val="00B51F79"/>
    <w:rsid w:val="00B5340D"/>
    <w:rsid w:val="00B54128"/>
    <w:rsid w:val="00B55826"/>
    <w:rsid w:val="00B55D11"/>
    <w:rsid w:val="00B60426"/>
    <w:rsid w:val="00B604C3"/>
    <w:rsid w:val="00B613DB"/>
    <w:rsid w:val="00B62243"/>
    <w:rsid w:val="00B622DD"/>
    <w:rsid w:val="00B63522"/>
    <w:rsid w:val="00B65100"/>
    <w:rsid w:val="00B6573B"/>
    <w:rsid w:val="00B664E2"/>
    <w:rsid w:val="00B67576"/>
    <w:rsid w:val="00B7032F"/>
    <w:rsid w:val="00B7069D"/>
    <w:rsid w:val="00B709E5"/>
    <w:rsid w:val="00B7559C"/>
    <w:rsid w:val="00B76F1D"/>
    <w:rsid w:val="00B80431"/>
    <w:rsid w:val="00B80826"/>
    <w:rsid w:val="00B81A6A"/>
    <w:rsid w:val="00B825B7"/>
    <w:rsid w:val="00B83BF9"/>
    <w:rsid w:val="00B84373"/>
    <w:rsid w:val="00B878AC"/>
    <w:rsid w:val="00B91727"/>
    <w:rsid w:val="00B91ABC"/>
    <w:rsid w:val="00B92A19"/>
    <w:rsid w:val="00B93222"/>
    <w:rsid w:val="00B9528D"/>
    <w:rsid w:val="00B9544C"/>
    <w:rsid w:val="00B95976"/>
    <w:rsid w:val="00B97E67"/>
    <w:rsid w:val="00BA0CB6"/>
    <w:rsid w:val="00BA29E9"/>
    <w:rsid w:val="00BA32A9"/>
    <w:rsid w:val="00BA51F3"/>
    <w:rsid w:val="00BA78F8"/>
    <w:rsid w:val="00BB05AC"/>
    <w:rsid w:val="00BB08B1"/>
    <w:rsid w:val="00BB22DB"/>
    <w:rsid w:val="00BB2498"/>
    <w:rsid w:val="00BB27B3"/>
    <w:rsid w:val="00BB2C3D"/>
    <w:rsid w:val="00BB3618"/>
    <w:rsid w:val="00BB6E10"/>
    <w:rsid w:val="00BB7084"/>
    <w:rsid w:val="00BC025C"/>
    <w:rsid w:val="00BC0C9E"/>
    <w:rsid w:val="00BC280B"/>
    <w:rsid w:val="00BC32DC"/>
    <w:rsid w:val="00BC508F"/>
    <w:rsid w:val="00BC555A"/>
    <w:rsid w:val="00BD1A42"/>
    <w:rsid w:val="00BD1B51"/>
    <w:rsid w:val="00BD3A80"/>
    <w:rsid w:val="00BD47F6"/>
    <w:rsid w:val="00BD7849"/>
    <w:rsid w:val="00BE312D"/>
    <w:rsid w:val="00BE3FCA"/>
    <w:rsid w:val="00BE4B73"/>
    <w:rsid w:val="00BF0AC5"/>
    <w:rsid w:val="00BF414E"/>
    <w:rsid w:val="00BF6AAB"/>
    <w:rsid w:val="00BF729B"/>
    <w:rsid w:val="00C0024F"/>
    <w:rsid w:val="00C01ABE"/>
    <w:rsid w:val="00C01BE5"/>
    <w:rsid w:val="00C04E88"/>
    <w:rsid w:val="00C054A8"/>
    <w:rsid w:val="00C05719"/>
    <w:rsid w:val="00C05AD8"/>
    <w:rsid w:val="00C07BF6"/>
    <w:rsid w:val="00C1002A"/>
    <w:rsid w:val="00C10578"/>
    <w:rsid w:val="00C10BE9"/>
    <w:rsid w:val="00C159B4"/>
    <w:rsid w:val="00C17D62"/>
    <w:rsid w:val="00C201D9"/>
    <w:rsid w:val="00C20785"/>
    <w:rsid w:val="00C20DCD"/>
    <w:rsid w:val="00C21026"/>
    <w:rsid w:val="00C218B9"/>
    <w:rsid w:val="00C21FDC"/>
    <w:rsid w:val="00C22150"/>
    <w:rsid w:val="00C22575"/>
    <w:rsid w:val="00C234EC"/>
    <w:rsid w:val="00C237B9"/>
    <w:rsid w:val="00C23C69"/>
    <w:rsid w:val="00C24EE7"/>
    <w:rsid w:val="00C2596A"/>
    <w:rsid w:val="00C271BE"/>
    <w:rsid w:val="00C27425"/>
    <w:rsid w:val="00C275B2"/>
    <w:rsid w:val="00C3094D"/>
    <w:rsid w:val="00C31CE6"/>
    <w:rsid w:val="00C328FE"/>
    <w:rsid w:val="00C33A05"/>
    <w:rsid w:val="00C36E9D"/>
    <w:rsid w:val="00C41190"/>
    <w:rsid w:val="00C417CB"/>
    <w:rsid w:val="00C42500"/>
    <w:rsid w:val="00C4409D"/>
    <w:rsid w:val="00C455BE"/>
    <w:rsid w:val="00C4618A"/>
    <w:rsid w:val="00C51E5F"/>
    <w:rsid w:val="00C521E0"/>
    <w:rsid w:val="00C52393"/>
    <w:rsid w:val="00C52DDA"/>
    <w:rsid w:val="00C52EF2"/>
    <w:rsid w:val="00C53C05"/>
    <w:rsid w:val="00C54D81"/>
    <w:rsid w:val="00C57480"/>
    <w:rsid w:val="00C57FB1"/>
    <w:rsid w:val="00C60CC4"/>
    <w:rsid w:val="00C61E4B"/>
    <w:rsid w:val="00C62C8A"/>
    <w:rsid w:val="00C62E3A"/>
    <w:rsid w:val="00C63691"/>
    <w:rsid w:val="00C63BFB"/>
    <w:rsid w:val="00C64503"/>
    <w:rsid w:val="00C64A1F"/>
    <w:rsid w:val="00C64BFF"/>
    <w:rsid w:val="00C65DFD"/>
    <w:rsid w:val="00C66085"/>
    <w:rsid w:val="00C705B8"/>
    <w:rsid w:val="00C71DCC"/>
    <w:rsid w:val="00C73110"/>
    <w:rsid w:val="00C746C8"/>
    <w:rsid w:val="00C75327"/>
    <w:rsid w:val="00C75580"/>
    <w:rsid w:val="00C763C9"/>
    <w:rsid w:val="00C765BE"/>
    <w:rsid w:val="00C77629"/>
    <w:rsid w:val="00C80057"/>
    <w:rsid w:val="00C80CFD"/>
    <w:rsid w:val="00C818C5"/>
    <w:rsid w:val="00C82827"/>
    <w:rsid w:val="00C82C79"/>
    <w:rsid w:val="00C84753"/>
    <w:rsid w:val="00C84D9C"/>
    <w:rsid w:val="00C904F4"/>
    <w:rsid w:val="00C90755"/>
    <w:rsid w:val="00C91611"/>
    <w:rsid w:val="00C92A59"/>
    <w:rsid w:val="00C94B7E"/>
    <w:rsid w:val="00C96CD2"/>
    <w:rsid w:val="00C974F4"/>
    <w:rsid w:val="00C9753C"/>
    <w:rsid w:val="00CA1EAF"/>
    <w:rsid w:val="00CA263D"/>
    <w:rsid w:val="00CA3585"/>
    <w:rsid w:val="00CA3D5A"/>
    <w:rsid w:val="00CA4A7B"/>
    <w:rsid w:val="00CA4C7C"/>
    <w:rsid w:val="00CB0183"/>
    <w:rsid w:val="00CB118E"/>
    <w:rsid w:val="00CB1CC2"/>
    <w:rsid w:val="00CB1EA3"/>
    <w:rsid w:val="00CB3BC9"/>
    <w:rsid w:val="00CB52C3"/>
    <w:rsid w:val="00CB552C"/>
    <w:rsid w:val="00CB5B5D"/>
    <w:rsid w:val="00CB6A9E"/>
    <w:rsid w:val="00CB7C50"/>
    <w:rsid w:val="00CC0D0C"/>
    <w:rsid w:val="00CC2087"/>
    <w:rsid w:val="00CC28B2"/>
    <w:rsid w:val="00CC5269"/>
    <w:rsid w:val="00CC5CC1"/>
    <w:rsid w:val="00CC6181"/>
    <w:rsid w:val="00CC6AF3"/>
    <w:rsid w:val="00CC75F7"/>
    <w:rsid w:val="00CD047F"/>
    <w:rsid w:val="00CD2BCD"/>
    <w:rsid w:val="00CD3428"/>
    <w:rsid w:val="00CD34B9"/>
    <w:rsid w:val="00CD36AA"/>
    <w:rsid w:val="00CD3791"/>
    <w:rsid w:val="00CD5D16"/>
    <w:rsid w:val="00CD61A8"/>
    <w:rsid w:val="00CD65B0"/>
    <w:rsid w:val="00CD6A10"/>
    <w:rsid w:val="00CE02CD"/>
    <w:rsid w:val="00CE10E9"/>
    <w:rsid w:val="00CE35C4"/>
    <w:rsid w:val="00CE4913"/>
    <w:rsid w:val="00CF1F9A"/>
    <w:rsid w:val="00CF26C7"/>
    <w:rsid w:val="00CF34B9"/>
    <w:rsid w:val="00CF59F9"/>
    <w:rsid w:val="00CF5DDD"/>
    <w:rsid w:val="00D0072E"/>
    <w:rsid w:val="00D043C7"/>
    <w:rsid w:val="00D04699"/>
    <w:rsid w:val="00D05892"/>
    <w:rsid w:val="00D05F5C"/>
    <w:rsid w:val="00D077E5"/>
    <w:rsid w:val="00D128C3"/>
    <w:rsid w:val="00D13812"/>
    <w:rsid w:val="00D13D96"/>
    <w:rsid w:val="00D15727"/>
    <w:rsid w:val="00D16332"/>
    <w:rsid w:val="00D1665D"/>
    <w:rsid w:val="00D171B1"/>
    <w:rsid w:val="00D17719"/>
    <w:rsid w:val="00D2140F"/>
    <w:rsid w:val="00D221F2"/>
    <w:rsid w:val="00D23D92"/>
    <w:rsid w:val="00D24972"/>
    <w:rsid w:val="00D2515E"/>
    <w:rsid w:val="00D26E17"/>
    <w:rsid w:val="00D2778F"/>
    <w:rsid w:val="00D2799A"/>
    <w:rsid w:val="00D27D1A"/>
    <w:rsid w:val="00D307C7"/>
    <w:rsid w:val="00D308ED"/>
    <w:rsid w:val="00D3123A"/>
    <w:rsid w:val="00D31F83"/>
    <w:rsid w:val="00D32153"/>
    <w:rsid w:val="00D3223F"/>
    <w:rsid w:val="00D3279A"/>
    <w:rsid w:val="00D3595A"/>
    <w:rsid w:val="00D35D2E"/>
    <w:rsid w:val="00D36273"/>
    <w:rsid w:val="00D3664E"/>
    <w:rsid w:val="00D41453"/>
    <w:rsid w:val="00D41F78"/>
    <w:rsid w:val="00D4466C"/>
    <w:rsid w:val="00D46E87"/>
    <w:rsid w:val="00D47050"/>
    <w:rsid w:val="00D47711"/>
    <w:rsid w:val="00D501A1"/>
    <w:rsid w:val="00D51A55"/>
    <w:rsid w:val="00D5388A"/>
    <w:rsid w:val="00D544E9"/>
    <w:rsid w:val="00D549E7"/>
    <w:rsid w:val="00D54F13"/>
    <w:rsid w:val="00D56178"/>
    <w:rsid w:val="00D56CF0"/>
    <w:rsid w:val="00D56F5C"/>
    <w:rsid w:val="00D60CA3"/>
    <w:rsid w:val="00D6613E"/>
    <w:rsid w:val="00D66D2B"/>
    <w:rsid w:val="00D704A0"/>
    <w:rsid w:val="00D704B1"/>
    <w:rsid w:val="00D70B63"/>
    <w:rsid w:val="00D72483"/>
    <w:rsid w:val="00D72B92"/>
    <w:rsid w:val="00D72ED4"/>
    <w:rsid w:val="00D735EC"/>
    <w:rsid w:val="00D73F61"/>
    <w:rsid w:val="00D754C0"/>
    <w:rsid w:val="00D7641D"/>
    <w:rsid w:val="00D7653F"/>
    <w:rsid w:val="00D776A2"/>
    <w:rsid w:val="00D801C4"/>
    <w:rsid w:val="00D858AD"/>
    <w:rsid w:val="00D85D21"/>
    <w:rsid w:val="00D86E07"/>
    <w:rsid w:val="00D8777B"/>
    <w:rsid w:val="00D90836"/>
    <w:rsid w:val="00D92108"/>
    <w:rsid w:val="00D92587"/>
    <w:rsid w:val="00D934C7"/>
    <w:rsid w:val="00D956B3"/>
    <w:rsid w:val="00D95896"/>
    <w:rsid w:val="00D95CC6"/>
    <w:rsid w:val="00D95D2F"/>
    <w:rsid w:val="00DA11B1"/>
    <w:rsid w:val="00DA2DA3"/>
    <w:rsid w:val="00DA40BA"/>
    <w:rsid w:val="00DA6615"/>
    <w:rsid w:val="00DA76AE"/>
    <w:rsid w:val="00DB181E"/>
    <w:rsid w:val="00DB1C7A"/>
    <w:rsid w:val="00DB2983"/>
    <w:rsid w:val="00DB343D"/>
    <w:rsid w:val="00DB52CC"/>
    <w:rsid w:val="00DB5579"/>
    <w:rsid w:val="00DB5CFE"/>
    <w:rsid w:val="00DB6699"/>
    <w:rsid w:val="00DB720B"/>
    <w:rsid w:val="00DC0164"/>
    <w:rsid w:val="00DC12DE"/>
    <w:rsid w:val="00DC2C4A"/>
    <w:rsid w:val="00DC2FD6"/>
    <w:rsid w:val="00DC3079"/>
    <w:rsid w:val="00DC33E7"/>
    <w:rsid w:val="00DC5AF9"/>
    <w:rsid w:val="00DC72A6"/>
    <w:rsid w:val="00DD0B90"/>
    <w:rsid w:val="00DD123C"/>
    <w:rsid w:val="00DD2113"/>
    <w:rsid w:val="00DD265E"/>
    <w:rsid w:val="00DD59B6"/>
    <w:rsid w:val="00DD7755"/>
    <w:rsid w:val="00DE43CD"/>
    <w:rsid w:val="00DE50E5"/>
    <w:rsid w:val="00DF1118"/>
    <w:rsid w:val="00DF1930"/>
    <w:rsid w:val="00DF35E3"/>
    <w:rsid w:val="00DF3DE1"/>
    <w:rsid w:val="00DF514A"/>
    <w:rsid w:val="00DF7119"/>
    <w:rsid w:val="00E009A3"/>
    <w:rsid w:val="00E01033"/>
    <w:rsid w:val="00E02FE3"/>
    <w:rsid w:val="00E0338B"/>
    <w:rsid w:val="00E0358D"/>
    <w:rsid w:val="00E0501A"/>
    <w:rsid w:val="00E054C4"/>
    <w:rsid w:val="00E06327"/>
    <w:rsid w:val="00E0637F"/>
    <w:rsid w:val="00E10AD6"/>
    <w:rsid w:val="00E10F77"/>
    <w:rsid w:val="00E11EFF"/>
    <w:rsid w:val="00E121E6"/>
    <w:rsid w:val="00E12B0E"/>
    <w:rsid w:val="00E152C6"/>
    <w:rsid w:val="00E2064B"/>
    <w:rsid w:val="00E20DE9"/>
    <w:rsid w:val="00E22970"/>
    <w:rsid w:val="00E2478C"/>
    <w:rsid w:val="00E25239"/>
    <w:rsid w:val="00E265B1"/>
    <w:rsid w:val="00E275A6"/>
    <w:rsid w:val="00E275B0"/>
    <w:rsid w:val="00E30517"/>
    <w:rsid w:val="00E33BC1"/>
    <w:rsid w:val="00E34491"/>
    <w:rsid w:val="00E34A12"/>
    <w:rsid w:val="00E35BA7"/>
    <w:rsid w:val="00E35FAF"/>
    <w:rsid w:val="00E412D0"/>
    <w:rsid w:val="00E41424"/>
    <w:rsid w:val="00E4471A"/>
    <w:rsid w:val="00E45B3B"/>
    <w:rsid w:val="00E4600B"/>
    <w:rsid w:val="00E46D5A"/>
    <w:rsid w:val="00E47CDB"/>
    <w:rsid w:val="00E47F5F"/>
    <w:rsid w:val="00E505C5"/>
    <w:rsid w:val="00E50E1D"/>
    <w:rsid w:val="00E518CB"/>
    <w:rsid w:val="00E532F3"/>
    <w:rsid w:val="00E5354A"/>
    <w:rsid w:val="00E5368B"/>
    <w:rsid w:val="00E540EA"/>
    <w:rsid w:val="00E54758"/>
    <w:rsid w:val="00E54A00"/>
    <w:rsid w:val="00E55181"/>
    <w:rsid w:val="00E558EE"/>
    <w:rsid w:val="00E566BC"/>
    <w:rsid w:val="00E57D27"/>
    <w:rsid w:val="00E60982"/>
    <w:rsid w:val="00E60C8D"/>
    <w:rsid w:val="00E6162F"/>
    <w:rsid w:val="00E6252D"/>
    <w:rsid w:val="00E6311B"/>
    <w:rsid w:val="00E65D97"/>
    <w:rsid w:val="00E67EFD"/>
    <w:rsid w:val="00E702DC"/>
    <w:rsid w:val="00E70E2C"/>
    <w:rsid w:val="00E71332"/>
    <w:rsid w:val="00E71FFB"/>
    <w:rsid w:val="00E7278A"/>
    <w:rsid w:val="00E72837"/>
    <w:rsid w:val="00E72A2C"/>
    <w:rsid w:val="00E72DEE"/>
    <w:rsid w:val="00E72EFF"/>
    <w:rsid w:val="00E73EF0"/>
    <w:rsid w:val="00E7484A"/>
    <w:rsid w:val="00E76314"/>
    <w:rsid w:val="00E76D1D"/>
    <w:rsid w:val="00E806F8"/>
    <w:rsid w:val="00E80748"/>
    <w:rsid w:val="00E807A8"/>
    <w:rsid w:val="00E820B9"/>
    <w:rsid w:val="00E8255A"/>
    <w:rsid w:val="00E87752"/>
    <w:rsid w:val="00E8793B"/>
    <w:rsid w:val="00E9053E"/>
    <w:rsid w:val="00E90F81"/>
    <w:rsid w:val="00E91A6D"/>
    <w:rsid w:val="00E91A89"/>
    <w:rsid w:val="00E9242D"/>
    <w:rsid w:val="00E973C0"/>
    <w:rsid w:val="00E97E39"/>
    <w:rsid w:val="00EA063D"/>
    <w:rsid w:val="00EA1F8E"/>
    <w:rsid w:val="00EA4D38"/>
    <w:rsid w:val="00EA710C"/>
    <w:rsid w:val="00EA7EE5"/>
    <w:rsid w:val="00EB041C"/>
    <w:rsid w:val="00EB0A82"/>
    <w:rsid w:val="00EB22A8"/>
    <w:rsid w:val="00EB309F"/>
    <w:rsid w:val="00EB5891"/>
    <w:rsid w:val="00EB64A6"/>
    <w:rsid w:val="00EB6792"/>
    <w:rsid w:val="00EB7820"/>
    <w:rsid w:val="00EC0429"/>
    <w:rsid w:val="00EC04A2"/>
    <w:rsid w:val="00EC26E6"/>
    <w:rsid w:val="00EC3741"/>
    <w:rsid w:val="00EC5874"/>
    <w:rsid w:val="00EC6135"/>
    <w:rsid w:val="00EC6648"/>
    <w:rsid w:val="00ED08D3"/>
    <w:rsid w:val="00ED0C82"/>
    <w:rsid w:val="00ED192D"/>
    <w:rsid w:val="00ED30B4"/>
    <w:rsid w:val="00ED31F5"/>
    <w:rsid w:val="00ED3EC9"/>
    <w:rsid w:val="00ED63B2"/>
    <w:rsid w:val="00ED6ACD"/>
    <w:rsid w:val="00EE1138"/>
    <w:rsid w:val="00EE17A4"/>
    <w:rsid w:val="00EE25F3"/>
    <w:rsid w:val="00EE3E41"/>
    <w:rsid w:val="00EE3F45"/>
    <w:rsid w:val="00EF008E"/>
    <w:rsid w:val="00EF0C4B"/>
    <w:rsid w:val="00EF134F"/>
    <w:rsid w:val="00EF26D9"/>
    <w:rsid w:val="00EF2759"/>
    <w:rsid w:val="00EF45EB"/>
    <w:rsid w:val="00EF4C71"/>
    <w:rsid w:val="00EF5099"/>
    <w:rsid w:val="00EF5E33"/>
    <w:rsid w:val="00EF6115"/>
    <w:rsid w:val="00F00075"/>
    <w:rsid w:val="00F01060"/>
    <w:rsid w:val="00F01E48"/>
    <w:rsid w:val="00F024C2"/>
    <w:rsid w:val="00F025A2"/>
    <w:rsid w:val="00F03151"/>
    <w:rsid w:val="00F06C87"/>
    <w:rsid w:val="00F07822"/>
    <w:rsid w:val="00F10D39"/>
    <w:rsid w:val="00F11F0F"/>
    <w:rsid w:val="00F12B1F"/>
    <w:rsid w:val="00F15C95"/>
    <w:rsid w:val="00F1653F"/>
    <w:rsid w:val="00F21F50"/>
    <w:rsid w:val="00F22985"/>
    <w:rsid w:val="00F2345F"/>
    <w:rsid w:val="00F236A3"/>
    <w:rsid w:val="00F23FB4"/>
    <w:rsid w:val="00F24071"/>
    <w:rsid w:val="00F241AB"/>
    <w:rsid w:val="00F24BFB"/>
    <w:rsid w:val="00F25CFF"/>
    <w:rsid w:val="00F2614B"/>
    <w:rsid w:val="00F27F6B"/>
    <w:rsid w:val="00F30497"/>
    <w:rsid w:val="00F30D8D"/>
    <w:rsid w:val="00F31382"/>
    <w:rsid w:val="00F320A8"/>
    <w:rsid w:val="00F33378"/>
    <w:rsid w:val="00F33384"/>
    <w:rsid w:val="00F34E66"/>
    <w:rsid w:val="00F35829"/>
    <w:rsid w:val="00F361E9"/>
    <w:rsid w:val="00F36D70"/>
    <w:rsid w:val="00F404A9"/>
    <w:rsid w:val="00F40FFD"/>
    <w:rsid w:val="00F415A5"/>
    <w:rsid w:val="00F42868"/>
    <w:rsid w:val="00F441F9"/>
    <w:rsid w:val="00F44FE0"/>
    <w:rsid w:val="00F465A7"/>
    <w:rsid w:val="00F47B58"/>
    <w:rsid w:val="00F50274"/>
    <w:rsid w:val="00F50B7C"/>
    <w:rsid w:val="00F51BB5"/>
    <w:rsid w:val="00F5202D"/>
    <w:rsid w:val="00F52173"/>
    <w:rsid w:val="00F52CF6"/>
    <w:rsid w:val="00F5302F"/>
    <w:rsid w:val="00F53A34"/>
    <w:rsid w:val="00F54496"/>
    <w:rsid w:val="00F55BF2"/>
    <w:rsid w:val="00F55C9B"/>
    <w:rsid w:val="00F61097"/>
    <w:rsid w:val="00F61E79"/>
    <w:rsid w:val="00F6436F"/>
    <w:rsid w:val="00F671E9"/>
    <w:rsid w:val="00F674FA"/>
    <w:rsid w:val="00F71B74"/>
    <w:rsid w:val="00F74345"/>
    <w:rsid w:val="00F74441"/>
    <w:rsid w:val="00F74558"/>
    <w:rsid w:val="00F753F6"/>
    <w:rsid w:val="00F75C43"/>
    <w:rsid w:val="00F75E84"/>
    <w:rsid w:val="00F7612C"/>
    <w:rsid w:val="00F77F30"/>
    <w:rsid w:val="00F803AD"/>
    <w:rsid w:val="00F82589"/>
    <w:rsid w:val="00F82B19"/>
    <w:rsid w:val="00F83CDE"/>
    <w:rsid w:val="00F8433B"/>
    <w:rsid w:val="00F84855"/>
    <w:rsid w:val="00F859CA"/>
    <w:rsid w:val="00F870C3"/>
    <w:rsid w:val="00F90AA7"/>
    <w:rsid w:val="00F911C2"/>
    <w:rsid w:val="00F91829"/>
    <w:rsid w:val="00F9212D"/>
    <w:rsid w:val="00F94219"/>
    <w:rsid w:val="00F9490A"/>
    <w:rsid w:val="00F94B10"/>
    <w:rsid w:val="00F94CDF"/>
    <w:rsid w:val="00F95610"/>
    <w:rsid w:val="00F959AA"/>
    <w:rsid w:val="00F96464"/>
    <w:rsid w:val="00F96EA0"/>
    <w:rsid w:val="00FA1A04"/>
    <w:rsid w:val="00FA1CE7"/>
    <w:rsid w:val="00FA2A43"/>
    <w:rsid w:val="00FA301A"/>
    <w:rsid w:val="00FA406A"/>
    <w:rsid w:val="00FA5CB6"/>
    <w:rsid w:val="00FA6A9E"/>
    <w:rsid w:val="00FB04F7"/>
    <w:rsid w:val="00FB07C3"/>
    <w:rsid w:val="00FB122F"/>
    <w:rsid w:val="00FB3E4C"/>
    <w:rsid w:val="00FB7A6D"/>
    <w:rsid w:val="00FC3CCA"/>
    <w:rsid w:val="00FC4103"/>
    <w:rsid w:val="00FC4EC4"/>
    <w:rsid w:val="00FC62EA"/>
    <w:rsid w:val="00FC66AC"/>
    <w:rsid w:val="00FC6A4B"/>
    <w:rsid w:val="00FC727C"/>
    <w:rsid w:val="00FD109B"/>
    <w:rsid w:val="00FD18F4"/>
    <w:rsid w:val="00FD6E7B"/>
    <w:rsid w:val="00FD74B4"/>
    <w:rsid w:val="00FD7CD8"/>
    <w:rsid w:val="00FE18AE"/>
    <w:rsid w:val="00FE4630"/>
    <w:rsid w:val="00FE7354"/>
    <w:rsid w:val="00FE7BE2"/>
    <w:rsid w:val="00FF08DF"/>
    <w:rsid w:val="00FF3E43"/>
    <w:rsid w:val="00FF4638"/>
    <w:rsid w:val="00FF6FCE"/>
    <w:rsid w:val="00FF7079"/>
    <w:rsid w:val="00FF7518"/>
    <w:rsid w:val="00FF7FD8"/>
    <w:rsid w:val="02745631"/>
    <w:rsid w:val="027E56FE"/>
    <w:rsid w:val="02A91D81"/>
    <w:rsid w:val="02ED37B8"/>
    <w:rsid w:val="04DF45E6"/>
    <w:rsid w:val="05742AC8"/>
    <w:rsid w:val="05DD225F"/>
    <w:rsid w:val="05E72D62"/>
    <w:rsid w:val="06352F05"/>
    <w:rsid w:val="063E7D85"/>
    <w:rsid w:val="069725FB"/>
    <w:rsid w:val="06FA3B4C"/>
    <w:rsid w:val="07001D02"/>
    <w:rsid w:val="070875E0"/>
    <w:rsid w:val="07293586"/>
    <w:rsid w:val="07295285"/>
    <w:rsid w:val="07770C56"/>
    <w:rsid w:val="08544613"/>
    <w:rsid w:val="092217DD"/>
    <w:rsid w:val="093A7294"/>
    <w:rsid w:val="0A222BEF"/>
    <w:rsid w:val="0B391613"/>
    <w:rsid w:val="0BD27BF6"/>
    <w:rsid w:val="0C061617"/>
    <w:rsid w:val="0C865399"/>
    <w:rsid w:val="0C872568"/>
    <w:rsid w:val="0D641F9C"/>
    <w:rsid w:val="0E110D06"/>
    <w:rsid w:val="0E44014C"/>
    <w:rsid w:val="0E821C25"/>
    <w:rsid w:val="0F13775A"/>
    <w:rsid w:val="0F9A112B"/>
    <w:rsid w:val="0FE61225"/>
    <w:rsid w:val="106D2F64"/>
    <w:rsid w:val="10B63710"/>
    <w:rsid w:val="111C2F7A"/>
    <w:rsid w:val="113013DE"/>
    <w:rsid w:val="118C2822"/>
    <w:rsid w:val="122B06C2"/>
    <w:rsid w:val="13951726"/>
    <w:rsid w:val="14396509"/>
    <w:rsid w:val="143F7C7F"/>
    <w:rsid w:val="1447165C"/>
    <w:rsid w:val="155B1A00"/>
    <w:rsid w:val="16090716"/>
    <w:rsid w:val="17735226"/>
    <w:rsid w:val="187458CD"/>
    <w:rsid w:val="191C2E55"/>
    <w:rsid w:val="1A1C66C0"/>
    <w:rsid w:val="1A337711"/>
    <w:rsid w:val="1A42393B"/>
    <w:rsid w:val="1A5B7879"/>
    <w:rsid w:val="1AB5530F"/>
    <w:rsid w:val="1B046F80"/>
    <w:rsid w:val="1B3267B5"/>
    <w:rsid w:val="1BC25DC8"/>
    <w:rsid w:val="1C033E57"/>
    <w:rsid w:val="1C1509F0"/>
    <w:rsid w:val="1C5E7925"/>
    <w:rsid w:val="1C887FC8"/>
    <w:rsid w:val="1CB56D37"/>
    <w:rsid w:val="1D5F6196"/>
    <w:rsid w:val="1D6132A5"/>
    <w:rsid w:val="1D8E56D5"/>
    <w:rsid w:val="1DB3328C"/>
    <w:rsid w:val="1E7A43DA"/>
    <w:rsid w:val="1EB277FE"/>
    <w:rsid w:val="1FCC4285"/>
    <w:rsid w:val="1FE7539E"/>
    <w:rsid w:val="207C624C"/>
    <w:rsid w:val="20963CB8"/>
    <w:rsid w:val="20B07FB6"/>
    <w:rsid w:val="213B74B1"/>
    <w:rsid w:val="215A2310"/>
    <w:rsid w:val="21D14B1B"/>
    <w:rsid w:val="21DE318A"/>
    <w:rsid w:val="21EF5B80"/>
    <w:rsid w:val="22576990"/>
    <w:rsid w:val="229C4EAB"/>
    <w:rsid w:val="245F444F"/>
    <w:rsid w:val="247A489C"/>
    <w:rsid w:val="252D53FE"/>
    <w:rsid w:val="255667CB"/>
    <w:rsid w:val="25C01EC4"/>
    <w:rsid w:val="25EC2D81"/>
    <w:rsid w:val="262A6FEA"/>
    <w:rsid w:val="264528BD"/>
    <w:rsid w:val="26AE5870"/>
    <w:rsid w:val="27D15DD1"/>
    <w:rsid w:val="28836A4D"/>
    <w:rsid w:val="28A76295"/>
    <w:rsid w:val="29206EB8"/>
    <w:rsid w:val="29560C2F"/>
    <w:rsid w:val="29D839AB"/>
    <w:rsid w:val="29E325E0"/>
    <w:rsid w:val="2A3E0017"/>
    <w:rsid w:val="2A452503"/>
    <w:rsid w:val="2B667A96"/>
    <w:rsid w:val="2BA936A8"/>
    <w:rsid w:val="2C315A5A"/>
    <w:rsid w:val="2D9E56F5"/>
    <w:rsid w:val="2E667F96"/>
    <w:rsid w:val="2E8226AB"/>
    <w:rsid w:val="2F832C79"/>
    <w:rsid w:val="2FEF2D58"/>
    <w:rsid w:val="30580BC9"/>
    <w:rsid w:val="311E2ED7"/>
    <w:rsid w:val="315C449C"/>
    <w:rsid w:val="31B82709"/>
    <w:rsid w:val="32400B34"/>
    <w:rsid w:val="329E6876"/>
    <w:rsid w:val="33D934D4"/>
    <w:rsid w:val="33FE2F6A"/>
    <w:rsid w:val="34DD1293"/>
    <w:rsid w:val="35377728"/>
    <w:rsid w:val="355C6BC2"/>
    <w:rsid w:val="36074A7F"/>
    <w:rsid w:val="36923549"/>
    <w:rsid w:val="36B75FBF"/>
    <w:rsid w:val="36FB4891"/>
    <w:rsid w:val="37AC319E"/>
    <w:rsid w:val="3813515A"/>
    <w:rsid w:val="38F12CD3"/>
    <w:rsid w:val="38F94775"/>
    <w:rsid w:val="392971ED"/>
    <w:rsid w:val="3A4A7902"/>
    <w:rsid w:val="3A8E3609"/>
    <w:rsid w:val="3B2A6968"/>
    <w:rsid w:val="3B3763D1"/>
    <w:rsid w:val="3CDA245A"/>
    <w:rsid w:val="3CEE0A37"/>
    <w:rsid w:val="3EF06066"/>
    <w:rsid w:val="3F660E74"/>
    <w:rsid w:val="3FB45ECF"/>
    <w:rsid w:val="407A6407"/>
    <w:rsid w:val="409C4993"/>
    <w:rsid w:val="41AB76F3"/>
    <w:rsid w:val="41D91B88"/>
    <w:rsid w:val="41FE69FA"/>
    <w:rsid w:val="423A3BCC"/>
    <w:rsid w:val="428D3284"/>
    <w:rsid w:val="433A6FE6"/>
    <w:rsid w:val="4350713C"/>
    <w:rsid w:val="436653E0"/>
    <w:rsid w:val="442E1816"/>
    <w:rsid w:val="44CD14E0"/>
    <w:rsid w:val="44E23A1D"/>
    <w:rsid w:val="450D7972"/>
    <w:rsid w:val="451D6674"/>
    <w:rsid w:val="458946E9"/>
    <w:rsid w:val="46D955A7"/>
    <w:rsid w:val="47133957"/>
    <w:rsid w:val="475D2192"/>
    <w:rsid w:val="4779329E"/>
    <w:rsid w:val="47A07E0C"/>
    <w:rsid w:val="47B647A1"/>
    <w:rsid w:val="47E27D87"/>
    <w:rsid w:val="47F17E95"/>
    <w:rsid w:val="484326E5"/>
    <w:rsid w:val="4870272E"/>
    <w:rsid w:val="49DC7715"/>
    <w:rsid w:val="4A023139"/>
    <w:rsid w:val="4A7B576F"/>
    <w:rsid w:val="4B2A04CC"/>
    <w:rsid w:val="4C1E7AD2"/>
    <w:rsid w:val="4C2757BD"/>
    <w:rsid w:val="4C4A0649"/>
    <w:rsid w:val="4CE470D3"/>
    <w:rsid w:val="4DEC4FB0"/>
    <w:rsid w:val="4E075D8A"/>
    <w:rsid w:val="4ED30D0E"/>
    <w:rsid w:val="4F251AAB"/>
    <w:rsid w:val="4F3A6B88"/>
    <w:rsid w:val="4FC62A8C"/>
    <w:rsid w:val="4FE20F0D"/>
    <w:rsid w:val="50504C4B"/>
    <w:rsid w:val="507C61ED"/>
    <w:rsid w:val="509C6E7C"/>
    <w:rsid w:val="50F64040"/>
    <w:rsid w:val="51037268"/>
    <w:rsid w:val="510C01F5"/>
    <w:rsid w:val="5162104E"/>
    <w:rsid w:val="53A039CC"/>
    <w:rsid w:val="53A1505A"/>
    <w:rsid w:val="54063E08"/>
    <w:rsid w:val="543437E8"/>
    <w:rsid w:val="559B174B"/>
    <w:rsid w:val="55CE0CF4"/>
    <w:rsid w:val="56941CA1"/>
    <w:rsid w:val="56B22A9C"/>
    <w:rsid w:val="575C6B76"/>
    <w:rsid w:val="57B72A76"/>
    <w:rsid w:val="58E660B8"/>
    <w:rsid w:val="599D71ED"/>
    <w:rsid w:val="59EB235E"/>
    <w:rsid w:val="5A3C747D"/>
    <w:rsid w:val="5ABE2233"/>
    <w:rsid w:val="5B276D18"/>
    <w:rsid w:val="5BDF5D95"/>
    <w:rsid w:val="5C2206CD"/>
    <w:rsid w:val="5D8B2D00"/>
    <w:rsid w:val="5DED6F98"/>
    <w:rsid w:val="5DF87A0F"/>
    <w:rsid w:val="5F1A2B43"/>
    <w:rsid w:val="5FB837BB"/>
    <w:rsid w:val="5FD631DF"/>
    <w:rsid w:val="616B1851"/>
    <w:rsid w:val="61E57D0B"/>
    <w:rsid w:val="62001A5F"/>
    <w:rsid w:val="62364782"/>
    <w:rsid w:val="62C66E5C"/>
    <w:rsid w:val="63D40BE9"/>
    <w:rsid w:val="63E0211F"/>
    <w:rsid w:val="65373578"/>
    <w:rsid w:val="673F2C7A"/>
    <w:rsid w:val="681F6961"/>
    <w:rsid w:val="68610A2F"/>
    <w:rsid w:val="68805514"/>
    <w:rsid w:val="689174E9"/>
    <w:rsid w:val="694E2071"/>
    <w:rsid w:val="697A3B33"/>
    <w:rsid w:val="699E2456"/>
    <w:rsid w:val="6A5172A3"/>
    <w:rsid w:val="6AD364F9"/>
    <w:rsid w:val="6AD36DBC"/>
    <w:rsid w:val="6B1A2B49"/>
    <w:rsid w:val="6B322639"/>
    <w:rsid w:val="6C0222FF"/>
    <w:rsid w:val="6C604859"/>
    <w:rsid w:val="6C636C38"/>
    <w:rsid w:val="6CEF6CDA"/>
    <w:rsid w:val="6DB34098"/>
    <w:rsid w:val="6DB545B6"/>
    <w:rsid w:val="6E4375A0"/>
    <w:rsid w:val="6E514CED"/>
    <w:rsid w:val="6E79491A"/>
    <w:rsid w:val="6EB563D5"/>
    <w:rsid w:val="6F225983"/>
    <w:rsid w:val="6F285225"/>
    <w:rsid w:val="6FFC5590"/>
    <w:rsid w:val="70301DA3"/>
    <w:rsid w:val="706D1DD0"/>
    <w:rsid w:val="70856B87"/>
    <w:rsid w:val="70A46B2D"/>
    <w:rsid w:val="70D527EE"/>
    <w:rsid w:val="70E16D1A"/>
    <w:rsid w:val="715B5300"/>
    <w:rsid w:val="715F4BD7"/>
    <w:rsid w:val="71D27F8A"/>
    <w:rsid w:val="71F744C6"/>
    <w:rsid w:val="71F960CF"/>
    <w:rsid w:val="725120F0"/>
    <w:rsid w:val="73137392"/>
    <w:rsid w:val="73187573"/>
    <w:rsid w:val="731F5D5E"/>
    <w:rsid w:val="741E793C"/>
    <w:rsid w:val="7523379C"/>
    <w:rsid w:val="758D75E2"/>
    <w:rsid w:val="769A4897"/>
    <w:rsid w:val="76CC5704"/>
    <w:rsid w:val="773356EE"/>
    <w:rsid w:val="774E6976"/>
    <w:rsid w:val="775046BF"/>
    <w:rsid w:val="77586803"/>
    <w:rsid w:val="77762421"/>
    <w:rsid w:val="77A57B5D"/>
    <w:rsid w:val="780F09F4"/>
    <w:rsid w:val="78647565"/>
    <w:rsid w:val="789C4F47"/>
    <w:rsid w:val="78A90480"/>
    <w:rsid w:val="78AF1BD2"/>
    <w:rsid w:val="79811327"/>
    <w:rsid w:val="799C480C"/>
    <w:rsid w:val="7A0B3779"/>
    <w:rsid w:val="7A364017"/>
    <w:rsid w:val="7A8265E1"/>
    <w:rsid w:val="7AFD1901"/>
    <w:rsid w:val="7B686D42"/>
    <w:rsid w:val="7B841746"/>
    <w:rsid w:val="7B914152"/>
    <w:rsid w:val="7C5226F2"/>
    <w:rsid w:val="7C5331B5"/>
    <w:rsid w:val="7D0239FF"/>
    <w:rsid w:val="7D0E663A"/>
    <w:rsid w:val="7D5E40CD"/>
    <w:rsid w:val="7D693BED"/>
    <w:rsid w:val="7DE41134"/>
    <w:rsid w:val="7F390D88"/>
    <w:rsid w:val="7F654C31"/>
    <w:rsid w:val="7F9814B2"/>
    <w:rsid w:val="7FC23E85"/>
    <w:rsid w:val="7FE47E50"/>
    <w:rsid w:val="DF9FC8D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00"/>
    <w:qFormat/>
    <w:uiPriority w:val="0"/>
    <w:pPr>
      <w:keepNext/>
      <w:keepLines/>
      <w:widowControl/>
      <w:spacing w:before="260" w:after="260" w:line="413" w:lineRule="auto"/>
      <w:jc w:val="left"/>
      <w:outlineLvl w:val="1"/>
    </w:pPr>
    <w:rPr>
      <w:rFonts w:ascii="Arial" w:hAnsi="Arial" w:eastAsia="黑体"/>
      <w:b/>
      <w:bCs/>
      <w:sz w:val="32"/>
      <w:szCs w:val="32"/>
    </w:rPr>
  </w:style>
  <w:style w:type="paragraph" w:styleId="4">
    <w:name w:val="heading 3"/>
    <w:basedOn w:val="1"/>
    <w:next w:val="1"/>
    <w:link w:val="75"/>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76"/>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101"/>
    <w:semiHidden/>
    <w:unhideWhenUsed/>
    <w:qFormat/>
    <w:uiPriority w:val="0"/>
    <w:pPr>
      <w:keepNext/>
      <w:keepLines/>
      <w:widowControl/>
      <w:spacing w:before="280" w:after="290" w:line="376" w:lineRule="auto"/>
      <w:jc w:val="left"/>
      <w:outlineLvl w:val="4"/>
    </w:pPr>
    <w:rPr>
      <w:b/>
      <w:bCs/>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77"/>
    <w:qFormat/>
    <w:uiPriority w:val="0"/>
    <w:pPr>
      <w:widowControl/>
      <w:ind w:firstLine="420"/>
      <w:jc w:val="left"/>
    </w:pPr>
    <w:rPr>
      <w:rFonts w:ascii="Arial" w:hAnsi="Arial" w:eastAsia="仿宋_GB2312"/>
      <w:kern w:val="0"/>
      <w:sz w:val="24"/>
      <w:szCs w:val="20"/>
    </w:rPr>
  </w:style>
  <w:style w:type="paragraph" w:styleId="8">
    <w:name w:val="caption"/>
    <w:basedOn w:val="1"/>
    <w:next w:val="1"/>
    <w:link w:val="64"/>
    <w:unhideWhenUsed/>
    <w:qFormat/>
    <w:uiPriority w:val="0"/>
    <w:rPr>
      <w:rFonts w:ascii="Cambria" w:hAnsi="Cambria" w:eastAsia="黑体"/>
      <w:sz w:val="20"/>
      <w:szCs w:val="20"/>
    </w:rPr>
  </w:style>
  <w:style w:type="paragraph" w:styleId="9">
    <w:name w:val="Document Map"/>
    <w:basedOn w:val="1"/>
    <w:link w:val="140"/>
    <w:qFormat/>
    <w:uiPriority w:val="0"/>
    <w:pPr>
      <w:widowControl/>
      <w:shd w:val="clear" w:color="auto" w:fill="000080"/>
      <w:jc w:val="left"/>
    </w:pPr>
    <w:rPr>
      <w:sz w:val="24"/>
    </w:rPr>
  </w:style>
  <w:style w:type="paragraph" w:styleId="10">
    <w:name w:val="annotation text"/>
    <w:basedOn w:val="1"/>
    <w:next w:val="11"/>
    <w:link w:val="59"/>
    <w:qFormat/>
    <w:uiPriority w:val="99"/>
    <w:pPr>
      <w:jc w:val="left"/>
    </w:pPr>
    <w:rPr>
      <w:kern w:val="0"/>
      <w:sz w:val="20"/>
    </w:rPr>
  </w:style>
  <w:style w:type="paragraph" w:customStyle="1" w:styleId="11">
    <w:name w:val="0正文"/>
    <w:basedOn w:val="1"/>
    <w:qFormat/>
    <w:uiPriority w:val="0"/>
    <w:pPr>
      <w:spacing w:line="360" w:lineRule="auto"/>
      <w:ind w:firstLine="480"/>
    </w:pPr>
    <w:rPr>
      <w:kern w:val="0"/>
      <w:szCs w:val="21"/>
    </w:rPr>
  </w:style>
  <w:style w:type="paragraph" w:styleId="12">
    <w:name w:val="Body Text"/>
    <w:basedOn w:val="1"/>
    <w:next w:val="1"/>
    <w:link w:val="48"/>
    <w:qFormat/>
    <w:uiPriority w:val="0"/>
    <w:pPr>
      <w:widowControl/>
      <w:snapToGrid w:val="0"/>
      <w:spacing w:line="360" w:lineRule="auto"/>
      <w:ind w:firstLine="200" w:firstLineChars="200"/>
    </w:pPr>
    <w:rPr>
      <w:kern w:val="0"/>
      <w:sz w:val="24"/>
      <w:szCs w:val="18"/>
    </w:rPr>
  </w:style>
  <w:style w:type="paragraph" w:styleId="13">
    <w:name w:val="Body Text Indent"/>
    <w:basedOn w:val="1"/>
    <w:link w:val="61"/>
    <w:qFormat/>
    <w:uiPriority w:val="0"/>
    <w:pPr>
      <w:spacing w:after="120"/>
      <w:ind w:left="420" w:leftChars="200"/>
    </w:pPr>
  </w:style>
  <w:style w:type="paragraph" w:styleId="14">
    <w:name w:val="List Continue"/>
    <w:basedOn w:val="1"/>
    <w:qFormat/>
    <w:uiPriority w:val="0"/>
    <w:pPr>
      <w:widowControl/>
      <w:spacing w:after="120"/>
      <w:ind w:left="420" w:leftChars="200"/>
      <w:jc w:val="left"/>
    </w:pPr>
    <w:rPr>
      <w:sz w:val="24"/>
    </w:rPr>
  </w:style>
  <w:style w:type="paragraph" w:styleId="15">
    <w:name w:val="Block Text"/>
    <w:basedOn w:val="1"/>
    <w:qFormat/>
    <w:uiPriority w:val="0"/>
    <w:pPr>
      <w:adjustRightInd w:val="0"/>
      <w:ind w:firstLine="1446"/>
      <w:textAlignment w:val="baseline"/>
    </w:pPr>
    <w:rPr>
      <w:spacing w:val="-2"/>
      <w:sz w:val="24"/>
    </w:rPr>
  </w:style>
  <w:style w:type="paragraph" w:styleId="16">
    <w:name w:val="toc 3"/>
    <w:basedOn w:val="1"/>
    <w:next w:val="1"/>
    <w:qFormat/>
    <w:uiPriority w:val="0"/>
    <w:pPr>
      <w:widowControl/>
      <w:ind w:left="840" w:leftChars="400"/>
      <w:jc w:val="left"/>
    </w:pPr>
    <w:rPr>
      <w:sz w:val="24"/>
    </w:rPr>
  </w:style>
  <w:style w:type="paragraph" w:styleId="17">
    <w:name w:val="Plain Text"/>
    <w:basedOn w:val="1"/>
    <w:link w:val="106"/>
    <w:qFormat/>
    <w:uiPriority w:val="0"/>
    <w:pPr>
      <w:widowControl/>
      <w:jc w:val="left"/>
    </w:pPr>
    <w:rPr>
      <w:rFonts w:ascii="宋体" w:hAnsi="Courier New"/>
      <w:szCs w:val="20"/>
    </w:rPr>
  </w:style>
  <w:style w:type="paragraph" w:styleId="18">
    <w:name w:val="List Bullet 5"/>
    <w:basedOn w:val="1"/>
    <w:unhideWhenUsed/>
    <w:qFormat/>
    <w:uiPriority w:val="0"/>
    <w:pPr>
      <w:numPr>
        <w:ilvl w:val="0"/>
        <w:numId w:val="1"/>
      </w:numPr>
    </w:pPr>
  </w:style>
  <w:style w:type="paragraph" w:styleId="19">
    <w:name w:val="Date"/>
    <w:basedOn w:val="1"/>
    <w:next w:val="1"/>
    <w:link w:val="50"/>
    <w:qFormat/>
    <w:uiPriority w:val="0"/>
    <w:pPr>
      <w:ind w:left="100" w:leftChars="2500"/>
    </w:pPr>
    <w:rPr>
      <w:kern w:val="0"/>
      <w:sz w:val="20"/>
    </w:rPr>
  </w:style>
  <w:style w:type="paragraph" w:styleId="20">
    <w:name w:val="Body Text Indent 2"/>
    <w:basedOn w:val="1"/>
    <w:link w:val="141"/>
    <w:qFormat/>
    <w:uiPriority w:val="0"/>
    <w:pPr>
      <w:widowControl/>
      <w:spacing w:after="120" w:line="480" w:lineRule="auto"/>
      <w:ind w:left="420" w:leftChars="200"/>
      <w:jc w:val="left"/>
    </w:pPr>
    <w:rPr>
      <w:sz w:val="24"/>
    </w:rPr>
  </w:style>
  <w:style w:type="paragraph" w:styleId="21">
    <w:name w:val="Balloon Text"/>
    <w:basedOn w:val="1"/>
    <w:link w:val="58"/>
    <w:qFormat/>
    <w:uiPriority w:val="0"/>
    <w:rPr>
      <w:sz w:val="18"/>
      <w:szCs w:val="18"/>
    </w:rPr>
  </w:style>
  <w:style w:type="paragraph" w:styleId="22">
    <w:name w:val="footer"/>
    <w:basedOn w:val="1"/>
    <w:link w:val="47"/>
    <w:qFormat/>
    <w:uiPriority w:val="99"/>
    <w:pPr>
      <w:tabs>
        <w:tab w:val="center" w:pos="4153"/>
        <w:tab w:val="right" w:pos="8306"/>
      </w:tabs>
      <w:snapToGrid w:val="0"/>
      <w:jc w:val="left"/>
    </w:pPr>
    <w:rPr>
      <w:sz w:val="18"/>
      <w:szCs w:val="18"/>
    </w:rPr>
  </w:style>
  <w:style w:type="paragraph" w:styleId="23">
    <w:name w:val="header"/>
    <w:basedOn w:val="1"/>
    <w:next w:val="1"/>
    <w:link w:val="46"/>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0"/>
    <w:pPr>
      <w:widowControl/>
      <w:jc w:val="left"/>
    </w:pPr>
    <w:rPr>
      <w:sz w:val="24"/>
    </w:rPr>
  </w:style>
  <w:style w:type="paragraph" w:styleId="25">
    <w:name w:val="toc 4"/>
    <w:basedOn w:val="1"/>
    <w:next w:val="1"/>
    <w:qFormat/>
    <w:uiPriority w:val="0"/>
    <w:pPr>
      <w:widowControl/>
      <w:ind w:left="1260" w:leftChars="600"/>
      <w:jc w:val="left"/>
    </w:pPr>
    <w:rPr>
      <w:sz w:val="24"/>
    </w:rPr>
  </w:style>
  <w:style w:type="paragraph" w:styleId="26">
    <w:name w:val="Subtitle"/>
    <w:basedOn w:val="1"/>
    <w:next w:val="1"/>
    <w:link w:val="135"/>
    <w:qFormat/>
    <w:uiPriority w:val="0"/>
    <w:pPr>
      <w:widowControl/>
      <w:spacing w:before="240" w:after="60" w:line="312" w:lineRule="auto"/>
      <w:jc w:val="center"/>
      <w:outlineLvl w:val="1"/>
    </w:pPr>
    <w:rPr>
      <w:rFonts w:ascii="Cambria" w:hAnsi="Cambria"/>
      <w:b/>
      <w:bCs/>
      <w:kern w:val="28"/>
      <w:sz w:val="32"/>
      <w:szCs w:val="32"/>
    </w:rPr>
  </w:style>
  <w:style w:type="paragraph" w:styleId="27">
    <w:name w:val="List"/>
    <w:basedOn w:val="1"/>
    <w:qFormat/>
    <w:uiPriority w:val="0"/>
    <w:pPr>
      <w:widowControl/>
      <w:ind w:left="200" w:hanging="200" w:hangingChars="200"/>
      <w:jc w:val="left"/>
    </w:pPr>
    <w:rPr>
      <w:sz w:val="24"/>
    </w:rPr>
  </w:style>
  <w:style w:type="paragraph" w:styleId="28">
    <w:name w:val="Body Text Indent 3"/>
    <w:basedOn w:val="1"/>
    <w:link w:val="138"/>
    <w:qFormat/>
    <w:uiPriority w:val="0"/>
    <w:pPr>
      <w:widowControl/>
      <w:spacing w:after="120"/>
      <w:ind w:left="420" w:leftChars="200"/>
      <w:jc w:val="left"/>
    </w:pPr>
    <w:rPr>
      <w:sz w:val="16"/>
      <w:szCs w:val="16"/>
    </w:rPr>
  </w:style>
  <w:style w:type="paragraph" w:styleId="29">
    <w:name w:val="toc 2"/>
    <w:basedOn w:val="1"/>
    <w:next w:val="1"/>
    <w:qFormat/>
    <w:uiPriority w:val="0"/>
    <w:pPr>
      <w:widowControl/>
      <w:ind w:left="420" w:leftChars="200"/>
      <w:jc w:val="left"/>
    </w:pPr>
    <w:rPr>
      <w:sz w:val="24"/>
    </w:rPr>
  </w:style>
  <w:style w:type="paragraph" w:styleId="30">
    <w:name w:val="Message Header"/>
    <w:basedOn w:val="1"/>
    <w:link w:val="134"/>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Cambria" w:hAnsi="Cambria"/>
      <w:sz w:val="24"/>
      <w:shd w:val="pct20" w:color="auto" w:fill="auto"/>
    </w:rPr>
  </w:style>
  <w:style w:type="paragraph" w:styleId="31">
    <w:name w:val="HTML Preformatted"/>
    <w:basedOn w:val="1"/>
    <w:link w:val="195"/>
    <w:unhideWhenUsed/>
    <w:qFormat/>
    <w:uiPriority w:val="99"/>
    <w:pPr>
      <w:widowControl/>
      <w:jc w:val="left"/>
    </w:pPr>
    <w:rPr>
      <w:rFonts w:ascii="Courier New" w:hAnsi="Courier New" w:cs="Courier New"/>
      <w:sz w:val="20"/>
      <w:szCs w:val="20"/>
    </w:rPr>
  </w:style>
  <w:style w:type="paragraph" w:styleId="32">
    <w:name w:val="Normal (Web)"/>
    <w:basedOn w:val="1"/>
    <w:link w:val="49"/>
    <w:qFormat/>
    <w:uiPriority w:val="99"/>
    <w:pPr>
      <w:widowControl/>
      <w:spacing w:before="100" w:beforeAutospacing="1" w:after="100" w:afterAutospacing="1"/>
      <w:jc w:val="left"/>
    </w:pPr>
    <w:rPr>
      <w:rFonts w:ascii="宋体" w:hAnsi="宋体"/>
      <w:kern w:val="0"/>
      <w:sz w:val="24"/>
    </w:rPr>
  </w:style>
  <w:style w:type="paragraph" w:styleId="33">
    <w:name w:val="Title"/>
    <w:basedOn w:val="1"/>
    <w:next w:val="1"/>
    <w:link w:val="216"/>
    <w:qFormat/>
    <w:uiPriority w:val="10"/>
    <w:pPr>
      <w:spacing w:before="240" w:after="60"/>
      <w:jc w:val="center"/>
      <w:outlineLvl w:val="0"/>
    </w:pPr>
    <w:rPr>
      <w:rFonts w:ascii="Cambria" w:hAnsi="Cambria"/>
      <w:b/>
      <w:bCs/>
      <w:sz w:val="32"/>
      <w:szCs w:val="32"/>
    </w:rPr>
  </w:style>
  <w:style w:type="paragraph" w:styleId="34">
    <w:name w:val="annotation subject"/>
    <w:basedOn w:val="10"/>
    <w:next w:val="10"/>
    <w:link w:val="62"/>
    <w:qFormat/>
    <w:uiPriority w:val="0"/>
    <w:rPr>
      <w:b/>
      <w:bCs/>
    </w:rPr>
  </w:style>
  <w:style w:type="paragraph" w:styleId="35">
    <w:name w:val="Body Text First Indent"/>
    <w:basedOn w:val="12"/>
    <w:link w:val="66"/>
    <w:qFormat/>
    <w:uiPriority w:val="0"/>
    <w:pPr>
      <w:ind w:firstLine="510"/>
    </w:pPr>
    <w:rPr>
      <w:rFonts w:eastAsia="方正仿宋_GBK"/>
      <w:sz w:val="28"/>
      <w:lang w:val="zh-CN"/>
    </w:rPr>
  </w:style>
  <w:style w:type="paragraph" w:styleId="36">
    <w:name w:val="Body Text First Indent 2"/>
    <w:basedOn w:val="13"/>
    <w:link w:val="202"/>
    <w:unhideWhenUsed/>
    <w:qFormat/>
    <w:uiPriority w:val="0"/>
    <w:pPr>
      <w:widowControl/>
      <w:spacing w:line="360" w:lineRule="auto"/>
      <w:ind w:firstLine="420"/>
      <w:jc w:val="left"/>
    </w:pPr>
    <w:rPr>
      <w:sz w:val="24"/>
    </w:rPr>
  </w:style>
  <w:style w:type="table" w:styleId="38">
    <w:name w:val="Table Grid"/>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bCs/>
    </w:rPr>
  </w:style>
  <w:style w:type="character" w:styleId="41">
    <w:name w:val="page number"/>
    <w:basedOn w:val="39"/>
    <w:qFormat/>
    <w:uiPriority w:val="0"/>
  </w:style>
  <w:style w:type="character" w:styleId="42">
    <w:name w:val="Emphasis"/>
    <w:qFormat/>
    <w:uiPriority w:val="0"/>
    <w:rPr>
      <w:color w:val="CC0000"/>
    </w:rPr>
  </w:style>
  <w:style w:type="character" w:styleId="43">
    <w:name w:val="Hyperlink"/>
    <w:qFormat/>
    <w:uiPriority w:val="0"/>
    <w:rPr>
      <w:color w:val="0000FF"/>
      <w:u w:val="single"/>
    </w:rPr>
  </w:style>
  <w:style w:type="character" w:styleId="44">
    <w:name w:val="annotation reference"/>
    <w:basedOn w:val="39"/>
    <w:qFormat/>
    <w:uiPriority w:val="0"/>
    <w:rPr>
      <w:sz w:val="21"/>
    </w:rPr>
  </w:style>
  <w:style w:type="paragraph" w:customStyle="1" w:styleId="45">
    <w:name w:val="标准正文"/>
    <w:basedOn w:val="1"/>
    <w:qFormat/>
    <w:uiPriority w:val="0"/>
    <w:pPr>
      <w:widowControl/>
      <w:adjustRightInd w:val="0"/>
      <w:spacing w:line="460" w:lineRule="atLeast"/>
      <w:ind w:firstLine="567"/>
      <w:jc w:val="left"/>
    </w:pPr>
    <w:rPr>
      <w:kern w:val="28"/>
      <w:sz w:val="28"/>
      <w:szCs w:val="20"/>
    </w:rPr>
  </w:style>
  <w:style w:type="character" w:customStyle="1" w:styleId="46">
    <w:name w:val="页眉 字符"/>
    <w:basedOn w:val="39"/>
    <w:link w:val="23"/>
    <w:qFormat/>
    <w:uiPriority w:val="0"/>
    <w:rPr>
      <w:rFonts w:cs="Times New Roman"/>
      <w:sz w:val="18"/>
      <w:szCs w:val="18"/>
    </w:rPr>
  </w:style>
  <w:style w:type="character" w:customStyle="1" w:styleId="47">
    <w:name w:val="页脚 字符"/>
    <w:basedOn w:val="39"/>
    <w:link w:val="22"/>
    <w:qFormat/>
    <w:uiPriority w:val="99"/>
    <w:rPr>
      <w:rFonts w:cs="Times New Roman"/>
      <w:sz w:val="18"/>
      <w:szCs w:val="18"/>
    </w:rPr>
  </w:style>
  <w:style w:type="character" w:customStyle="1" w:styleId="48">
    <w:name w:val="正文文本 字符"/>
    <w:link w:val="12"/>
    <w:qFormat/>
    <w:uiPriority w:val="0"/>
    <w:rPr>
      <w:sz w:val="24"/>
      <w:szCs w:val="18"/>
    </w:rPr>
  </w:style>
  <w:style w:type="character" w:customStyle="1" w:styleId="49">
    <w:name w:val="普通(网站) 字符"/>
    <w:link w:val="32"/>
    <w:qFormat/>
    <w:uiPriority w:val="0"/>
    <w:rPr>
      <w:rFonts w:ascii="宋体" w:hAnsi="宋体" w:eastAsia="宋体"/>
      <w:sz w:val="24"/>
    </w:rPr>
  </w:style>
  <w:style w:type="character" w:customStyle="1" w:styleId="50">
    <w:name w:val="日期 字符1"/>
    <w:link w:val="19"/>
    <w:qFormat/>
    <w:uiPriority w:val="0"/>
    <w:rPr>
      <w:rFonts w:ascii="Times New Roman" w:hAnsi="Times New Roman" w:eastAsia="宋体"/>
      <w:sz w:val="24"/>
    </w:rPr>
  </w:style>
  <w:style w:type="character" w:customStyle="1" w:styleId="51">
    <w:name w:val="日期 字符"/>
    <w:basedOn w:val="39"/>
    <w:semiHidden/>
    <w:qFormat/>
    <w:uiPriority w:val="0"/>
    <w:rPr>
      <w:rFonts w:ascii="Times New Roman" w:hAnsi="Times New Roman" w:eastAsia="宋体" w:cs="Times New Roman"/>
      <w:sz w:val="24"/>
      <w:szCs w:val="24"/>
    </w:rPr>
  </w:style>
  <w:style w:type="character" w:customStyle="1" w:styleId="52">
    <w:name w:val="正文文本 字符1"/>
    <w:basedOn w:val="39"/>
    <w:semiHidden/>
    <w:qFormat/>
    <w:uiPriority w:val="0"/>
    <w:rPr>
      <w:rFonts w:ascii="Times New Roman" w:hAnsi="Times New Roman" w:eastAsia="宋体" w:cs="Times New Roman"/>
      <w:sz w:val="24"/>
      <w:szCs w:val="24"/>
    </w:rPr>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4">
    <w:name w:val="表格 Char"/>
    <w:link w:val="55"/>
    <w:qFormat/>
    <w:uiPriority w:val="0"/>
    <w:rPr>
      <w:sz w:val="21"/>
      <w:szCs w:val="21"/>
    </w:rPr>
  </w:style>
  <w:style w:type="paragraph" w:customStyle="1" w:styleId="55">
    <w:name w:val="表格"/>
    <w:basedOn w:val="56"/>
    <w:next w:val="1"/>
    <w:link w:val="54"/>
    <w:qFormat/>
    <w:uiPriority w:val="0"/>
    <w:pPr>
      <w:adjustRightInd w:val="0"/>
      <w:snapToGrid w:val="0"/>
    </w:pPr>
    <w:rPr>
      <w:kern w:val="0"/>
      <w:szCs w:val="21"/>
    </w:rPr>
  </w:style>
  <w:style w:type="paragraph" w:customStyle="1" w:styleId="56">
    <w:name w:val="正正正文"/>
    <w:basedOn w:val="1"/>
    <w:qFormat/>
    <w:uiPriority w:val="0"/>
    <w:pPr>
      <w:spacing w:line="360" w:lineRule="auto"/>
    </w:pPr>
    <w:rPr>
      <w:rFonts w:eastAsia="华文中宋"/>
      <w:szCs w:val="28"/>
    </w:rPr>
  </w:style>
  <w:style w:type="paragraph" w:customStyle="1" w:styleId="57">
    <w:name w:val="表格样式1"/>
    <w:basedOn w:val="1"/>
    <w:qFormat/>
    <w:uiPriority w:val="99"/>
    <w:pPr>
      <w:autoSpaceDE w:val="0"/>
      <w:autoSpaceDN w:val="0"/>
      <w:spacing w:line="20" w:lineRule="atLeast"/>
      <w:jc w:val="center"/>
      <w:textAlignment w:val="baseline"/>
    </w:pPr>
    <w:rPr>
      <w:szCs w:val="20"/>
    </w:rPr>
  </w:style>
  <w:style w:type="character" w:customStyle="1" w:styleId="58">
    <w:name w:val="批注框文本 字符"/>
    <w:basedOn w:val="39"/>
    <w:link w:val="21"/>
    <w:semiHidden/>
    <w:qFormat/>
    <w:uiPriority w:val="0"/>
    <w:rPr>
      <w:rFonts w:ascii="Times New Roman" w:hAnsi="Times New Roman" w:eastAsia="宋体" w:cs="Times New Roman"/>
      <w:sz w:val="18"/>
      <w:szCs w:val="18"/>
    </w:rPr>
  </w:style>
  <w:style w:type="character" w:customStyle="1" w:styleId="59">
    <w:name w:val="批注文字 字符"/>
    <w:link w:val="10"/>
    <w:qFormat/>
    <w:uiPriority w:val="99"/>
    <w:rPr>
      <w:rFonts w:ascii="Times New Roman" w:hAnsi="Times New Roman" w:eastAsia="宋体"/>
      <w:sz w:val="24"/>
    </w:rPr>
  </w:style>
  <w:style w:type="character" w:customStyle="1" w:styleId="60">
    <w:name w:val="批注文字 字符1"/>
    <w:basedOn w:val="39"/>
    <w:semiHidden/>
    <w:qFormat/>
    <w:uiPriority w:val="0"/>
    <w:rPr>
      <w:rFonts w:ascii="Times New Roman" w:hAnsi="Times New Roman" w:eastAsia="宋体" w:cs="Times New Roman"/>
      <w:sz w:val="24"/>
      <w:szCs w:val="24"/>
    </w:rPr>
  </w:style>
  <w:style w:type="character" w:customStyle="1" w:styleId="61">
    <w:name w:val="正文文本缩进 字符"/>
    <w:basedOn w:val="39"/>
    <w:link w:val="13"/>
    <w:qFormat/>
    <w:uiPriority w:val="0"/>
    <w:rPr>
      <w:rFonts w:ascii="Times New Roman" w:hAnsi="Times New Roman" w:eastAsia="宋体" w:cs="Times New Roman"/>
      <w:sz w:val="24"/>
      <w:szCs w:val="24"/>
    </w:rPr>
  </w:style>
  <w:style w:type="character" w:customStyle="1" w:styleId="62">
    <w:name w:val="批注主题 字符"/>
    <w:basedOn w:val="59"/>
    <w:link w:val="34"/>
    <w:qFormat/>
    <w:uiPriority w:val="0"/>
    <w:rPr>
      <w:rFonts w:ascii="Times New Roman" w:hAnsi="Times New Roman" w:eastAsia="宋体" w:cs="Times New Roman"/>
      <w:b/>
      <w:bCs/>
      <w:kern w:val="2"/>
      <w:sz w:val="24"/>
      <w:szCs w:val="24"/>
    </w:rPr>
  </w:style>
  <w:style w:type="character" w:customStyle="1" w:styleId="63">
    <w:name w:val="普通(网站) Char"/>
    <w:qFormat/>
    <w:uiPriority w:val="0"/>
    <w:rPr>
      <w:rFonts w:ascii="宋体" w:hAnsi="宋体" w:eastAsia="宋体"/>
      <w:sz w:val="24"/>
    </w:rPr>
  </w:style>
  <w:style w:type="character" w:customStyle="1" w:styleId="64">
    <w:name w:val="题注 字符"/>
    <w:link w:val="8"/>
    <w:qFormat/>
    <w:uiPriority w:val="99"/>
    <w:rPr>
      <w:rFonts w:ascii="Cambria" w:hAnsi="Cambria" w:eastAsia="黑体"/>
      <w:kern w:val="2"/>
    </w:rPr>
  </w:style>
  <w:style w:type="paragraph" w:styleId="65">
    <w:name w:val="List Paragraph"/>
    <w:basedOn w:val="1"/>
    <w:link w:val="94"/>
    <w:qFormat/>
    <w:uiPriority w:val="0"/>
    <w:pPr>
      <w:widowControl/>
      <w:jc w:val="center"/>
    </w:pPr>
    <w:rPr>
      <w:bCs/>
      <w:kern w:val="0"/>
      <w:szCs w:val="20"/>
    </w:rPr>
  </w:style>
  <w:style w:type="character" w:customStyle="1" w:styleId="66">
    <w:name w:val="正文文本首行缩进 字符"/>
    <w:basedOn w:val="48"/>
    <w:link w:val="35"/>
    <w:qFormat/>
    <w:uiPriority w:val="0"/>
    <w:rPr>
      <w:rFonts w:eastAsia="方正仿宋_GBK"/>
      <w:kern w:val="2"/>
      <w:sz w:val="28"/>
      <w:szCs w:val="24"/>
      <w:lang w:val="zh-CN"/>
    </w:rPr>
  </w:style>
  <w:style w:type="character" w:customStyle="1" w:styleId="67">
    <w:name w:val="正文首行缩进 Char"/>
    <w:basedOn w:val="48"/>
    <w:semiHidden/>
    <w:qFormat/>
    <w:uiPriority w:val="99"/>
    <w:rPr>
      <w:rFonts w:ascii="Times New Roman" w:hAnsi="Times New Roman" w:eastAsia="宋体" w:cs="Times New Roman"/>
      <w:sz w:val="18"/>
      <w:szCs w:val="24"/>
    </w:rPr>
  </w:style>
  <w:style w:type="paragraph" w:customStyle="1" w:styleId="68">
    <w:name w:val="调查表正文"/>
    <w:basedOn w:val="1"/>
    <w:link w:val="69"/>
    <w:qFormat/>
    <w:uiPriority w:val="0"/>
    <w:pPr>
      <w:adjustRightInd w:val="0"/>
      <w:snapToGrid w:val="0"/>
      <w:spacing w:line="360" w:lineRule="auto"/>
      <w:ind w:firstLine="200" w:firstLineChars="200"/>
    </w:pPr>
    <w:rPr>
      <w:bCs/>
      <w:color w:val="000000"/>
      <w:sz w:val="24"/>
    </w:rPr>
  </w:style>
  <w:style w:type="character" w:customStyle="1" w:styleId="69">
    <w:name w:val="调查表正文 Char"/>
    <w:basedOn w:val="39"/>
    <w:link w:val="68"/>
    <w:qFormat/>
    <w:uiPriority w:val="0"/>
    <w:rPr>
      <w:bCs/>
      <w:color w:val="000000"/>
      <w:kern w:val="2"/>
      <w:sz w:val="24"/>
      <w:szCs w:val="24"/>
    </w:rPr>
  </w:style>
  <w:style w:type="table" w:customStyle="1" w:styleId="70">
    <w:name w:val="网格型刘1"/>
    <w:basedOn w:val="3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1">
    <w:name w:val="A正文"/>
    <w:basedOn w:val="1"/>
    <w:link w:val="72"/>
    <w:qFormat/>
    <w:uiPriority w:val="0"/>
    <w:pPr>
      <w:adjustRightInd w:val="0"/>
      <w:snapToGrid w:val="0"/>
      <w:spacing w:line="360" w:lineRule="auto"/>
      <w:ind w:firstLine="200" w:firstLineChars="200"/>
    </w:pPr>
    <w:rPr>
      <w:kern w:val="0"/>
      <w:sz w:val="24"/>
    </w:rPr>
  </w:style>
  <w:style w:type="character" w:customStyle="1" w:styleId="72">
    <w:name w:val="A正文 字符"/>
    <w:basedOn w:val="39"/>
    <w:link w:val="71"/>
    <w:qFormat/>
    <w:uiPriority w:val="0"/>
    <w:rPr>
      <w:sz w:val="24"/>
      <w:szCs w:val="24"/>
    </w:rPr>
  </w:style>
  <w:style w:type="paragraph" w:customStyle="1" w:styleId="73">
    <w:name w:val="A宋体新罗马小四"/>
    <w:basedOn w:val="1"/>
    <w:link w:val="74"/>
    <w:qFormat/>
    <w:uiPriority w:val="0"/>
    <w:pPr>
      <w:widowControl/>
      <w:spacing w:line="360" w:lineRule="auto"/>
      <w:ind w:firstLine="200" w:firstLineChars="200"/>
    </w:pPr>
    <w:rPr>
      <w:rFonts w:cs="宋体"/>
      <w:bCs/>
      <w:color w:val="000000"/>
      <w:kern w:val="0"/>
      <w:sz w:val="24"/>
    </w:rPr>
  </w:style>
  <w:style w:type="character" w:customStyle="1" w:styleId="74">
    <w:name w:val="A宋体新罗马小四 字符"/>
    <w:basedOn w:val="39"/>
    <w:link w:val="73"/>
    <w:qFormat/>
    <w:uiPriority w:val="0"/>
    <w:rPr>
      <w:rFonts w:cs="宋体"/>
      <w:bCs/>
      <w:color w:val="000000"/>
      <w:sz w:val="24"/>
      <w:szCs w:val="24"/>
    </w:rPr>
  </w:style>
  <w:style w:type="character" w:customStyle="1" w:styleId="75">
    <w:name w:val="标题 3 字符"/>
    <w:basedOn w:val="39"/>
    <w:link w:val="4"/>
    <w:qFormat/>
    <w:uiPriority w:val="0"/>
    <w:rPr>
      <w:b/>
      <w:bCs/>
      <w:kern w:val="2"/>
      <w:sz w:val="32"/>
      <w:szCs w:val="32"/>
    </w:rPr>
  </w:style>
  <w:style w:type="character" w:customStyle="1" w:styleId="76">
    <w:name w:val="标题 4 字符"/>
    <w:basedOn w:val="39"/>
    <w:link w:val="5"/>
    <w:qFormat/>
    <w:uiPriority w:val="0"/>
    <w:rPr>
      <w:rFonts w:asciiTheme="majorHAnsi" w:hAnsiTheme="majorHAnsi" w:eastAsiaTheme="majorEastAsia" w:cstheme="majorBidi"/>
      <w:b/>
      <w:bCs/>
      <w:kern w:val="2"/>
      <w:sz w:val="28"/>
      <w:szCs w:val="28"/>
    </w:rPr>
  </w:style>
  <w:style w:type="character" w:customStyle="1" w:styleId="77">
    <w:name w:val="正文缩进 字符"/>
    <w:link w:val="7"/>
    <w:qFormat/>
    <w:uiPriority w:val="0"/>
    <w:rPr>
      <w:rFonts w:ascii="Arial" w:hAnsi="Arial" w:eastAsia="仿宋_GB2312"/>
      <w:sz w:val="24"/>
    </w:rPr>
  </w:style>
  <w:style w:type="paragraph" w:customStyle="1" w:styleId="78">
    <w:name w:val="Default"/>
    <w:qFormat/>
    <w:uiPriority w:val="0"/>
    <w:pPr>
      <w:widowControl w:val="0"/>
      <w:autoSpaceDE w:val="0"/>
      <w:autoSpaceDN w:val="0"/>
      <w:adjustRightInd w:val="0"/>
    </w:pPr>
    <w:rPr>
      <w:rFonts w:ascii="宋体..輀." w:hAnsi="Times New Roman" w:eastAsia="宋体..輀." w:cs="宋体..輀."/>
      <w:color w:val="000000"/>
      <w:sz w:val="24"/>
      <w:szCs w:val="24"/>
      <w:lang w:val="en-US" w:eastAsia="zh-CN" w:bidi="ar-SA"/>
    </w:rPr>
  </w:style>
  <w:style w:type="character" w:customStyle="1" w:styleId="79">
    <w:name w:val="font11"/>
    <w:basedOn w:val="39"/>
    <w:qFormat/>
    <w:uiPriority w:val="0"/>
    <w:rPr>
      <w:rFonts w:hint="default" w:ascii="Times New Roman" w:hAnsi="Times New Roman" w:cs="Times New Roman"/>
      <w:color w:val="000000"/>
      <w:sz w:val="21"/>
      <w:szCs w:val="21"/>
      <w:u w:val="none"/>
    </w:rPr>
  </w:style>
  <w:style w:type="character" w:customStyle="1" w:styleId="80">
    <w:name w:val="font21"/>
    <w:basedOn w:val="39"/>
    <w:qFormat/>
    <w:uiPriority w:val="0"/>
    <w:rPr>
      <w:rFonts w:hint="default" w:ascii="Times New Roman" w:hAnsi="Times New Roman" w:cs="Times New Roman"/>
      <w:color w:val="000000"/>
      <w:sz w:val="21"/>
      <w:szCs w:val="21"/>
      <w:u w:val="none"/>
      <w:vertAlign w:val="subscript"/>
    </w:rPr>
  </w:style>
  <w:style w:type="paragraph" w:customStyle="1" w:styleId="81">
    <w:name w:val="糖正文"/>
    <w:basedOn w:val="1"/>
    <w:qFormat/>
    <w:uiPriority w:val="0"/>
    <w:pPr>
      <w:widowControl/>
      <w:autoSpaceDE w:val="0"/>
      <w:autoSpaceDN w:val="0"/>
      <w:spacing w:line="360" w:lineRule="auto"/>
      <w:ind w:firstLine="200" w:firstLineChars="200"/>
      <w:jc w:val="left"/>
    </w:pPr>
    <w:rPr>
      <w:sz w:val="24"/>
    </w:rPr>
  </w:style>
  <w:style w:type="paragraph" w:customStyle="1" w:styleId="82">
    <w:name w:val="表格内容"/>
    <w:basedOn w:val="83"/>
    <w:next w:val="2"/>
    <w:qFormat/>
    <w:uiPriority w:val="0"/>
    <w:pPr>
      <w:widowControl w:val="0"/>
      <w:jc w:val="center"/>
    </w:pPr>
    <w:rPr>
      <w:rFonts w:ascii="Times New Roman" w:hAnsi="Times New Roman" w:eastAsia="宋体" w:cs="Times New Roman"/>
      <w:b/>
      <w:kern w:val="2"/>
      <w:sz w:val="18"/>
      <w:szCs w:val="22"/>
      <w:lang w:val="en-US" w:eastAsia="zh-CN" w:bidi="ar-SA"/>
    </w:rPr>
  </w:style>
  <w:style w:type="paragraph" w:customStyle="1" w:styleId="83">
    <w:name w:val="表格标题"/>
    <w:basedOn w:val="8"/>
    <w:next w:val="1"/>
    <w:qFormat/>
    <w:uiPriority w:val="0"/>
    <w:pPr>
      <w:widowControl/>
      <w:adjustRightInd w:val="0"/>
      <w:snapToGrid w:val="0"/>
      <w:jc w:val="center"/>
    </w:pPr>
    <w:rPr>
      <w:sz w:val="24"/>
    </w:rPr>
  </w:style>
  <w:style w:type="paragraph" w:customStyle="1" w:styleId="84">
    <w:name w:val="报告表格"/>
    <w:basedOn w:val="1"/>
    <w:qFormat/>
    <w:uiPriority w:val="0"/>
    <w:pPr>
      <w:autoSpaceDE w:val="0"/>
      <w:autoSpaceDN w:val="0"/>
      <w:adjustRightInd w:val="0"/>
      <w:jc w:val="center"/>
      <w:textAlignment w:val="baseline"/>
    </w:pPr>
    <w:rPr>
      <w:kern w:val="0"/>
      <w:szCs w:val="20"/>
      <w:lang w:val="zh-CN"/>
    </w:rPr>
  </w:style>
  <w:style w:type="paragraph" w:customStyle="1" w:styleId="85">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6">
    <w:name w:val="图片标注样式"/>
    <w:basedOn w:val="1"/>
    <w:link w:val="87"/>
    <w:qFormat/>
    <w:uiPriority w:val="0"/>
    <w:pPr>
      <w:jc w:val="left"/>
    </w:pPr>
    <w:rPr>
      <w:color w:val="FF0000"/>
      <w:sz w:val="13"/>
    </w:rPr>
  </w:style>
  <w:style w:type="character" w:customStyle="1" w:styleId="87">
    <w:name w:val="图片标注样式 字符"/>
    <w:basedOn w:val="39"/>
    <w:link w:val="86"/>
    <w:qFormat/>
    <w:uiPriority w:val="0"/>
    <w:rPr>
      <w:color w:val="FF0000"/>
      <w:kern w:val="2"/>
      <w:sz w:val="13"/>
      <w:szCs w:val="24"/>
    </w:rPr>
  </w:style>
  <w:style w:type="paragraph" w:customStyle="1" w:styleId="88">
    <w:name w:val="G-表正文"/>
    <w:basedOn w:val="1"/>
    <w:link w:val="89"/>
    <w:qFormat/>
    <w:uiPriority w:val="0"/>
    <w:pPr>
      <w:adjustRightInd w:val="0"/>
      <w:snapToGrid w:val="0"/>
      <w:spacing w:line="360" w:lineRule="auto"/>
      <w:ind w:firstLine="200" w:firstLineChars="200"/>
    </w:pPr>
    <w:rPr>
      <w:color w:val="4472C4" w:themeColor="accent1"/>
      <w:kern w:val="0"/>
      <w:sz w:val="24"/>
      <w14:textFill>
        <w14:solidFill>
          <w14:schemeClr w14:val="accent1"/>
        </w14:solidFill>
      </w14:textFill>
    </w:rPr>
  </w:style>
  <w:style w:type="character" w:customStyle="1" w:styleId="89">
    <w:name w:val="G-表正文 字符"/>
    <w:basedOn w:val="39"/>
    <w:link w:val="88"/>
    <w:qFormat/>
    <w:uiPriority w:val="0"/>
    <w:rPr>
      <w:color w:val="4472C4" w:themeColor="accent1"/>
      <w:sz w:val="24"/>
      <w:szCs w:val="24"/>
      <w14:textFill>
        <w14:solidFill>
          <w14:schemeClr w14:val="accent1"/>
        </w14:solidFill>
      </w14:textFill>
    </w:rPr>
  </w:style>
  <w:style w:type="character" w:customStyle="1" w:styleId="90">
    <w:name w:val="font61"/>
    <w:basedOn w:val="39"/>
    <w:qFormat/>
    <w:uiPriority w:val="0"/>
    <w:rPr>
      <w:rFonts w:hint="default" w:ascii="Times New Roman" w:hAnsi="Times New Roman" w:cs="Times New Roman"/>
      <w:b/>
      <w:bCs/>
      <w:color w:val="FF0000"/>
      <w:sz w:val="21"/>
      <w:szCs w:val="21"/>
      <w:u w:val="none"/>
      <w:vertAlign w:val="superscript"/>
    </w:rPr>
  </w:style>
  <w:style w:type="character" w:customStyle="1" w:styleId="91">
    <w:name w:val="font01"/>
    <w:basedOn w:val="39"/>
    <w:qFormat/>
    <w:uiPriority w:val="0"/>
    <w:rPr>
      <w:rFonts w:hint="default" w:ascii="Times New Roman" w:hAnsi="Times New Roman" w:cs="Times New Roman"/>
      <w:color w:val="FF0000"/>
      <w:sz w:val="21"/>
      <w:szCs w:val="21"/>
      <w:u w:val="none"/>
    </w:rPr>
  </w:style>
  <w:style w:type="character" w:customStyle="1" w:styleId="92">
    <w:name w:val="font51"/>
    <w:basedOn w:val="39"/>
    <w:qFormat/>
    <w:uiPriority w:val="0"/>
    <w:rPr>
      <w:rFonts w:hint="default" w:ascii="Times New Roman" w:hAnsi="Times New Roman" w:cs="Times New Roman"/>
      <w:color w:val="FF0000"/>
      <w:sz w:val="21"/>
      <w:szCs w:val="21"/>
      <w:u w:val="none"/>
      <w:vertAlign w:val="superscript"/>
    </w:rPr>
  </w:style>
  <w:style w:type="paragraph" w:customStyle="1" w:styleId="93">
    <w:name w:val="样式1"/>
    <w:basedOn w:val="65"/>
    <w:link w:val="95"/>
    <w:qFormat/>
    <w:uiPriority w:val="0"/>
    <w:pPr>
      <w:numPr>
        <w:ilvl w:val="0"/>
        <w:numId w:val="2"/>
      </w:numPr>
      <w:adjustRightInd w:val="0"/>
      <w:snapToGrid w:val="0"/>
    </w:pPr>
    <w:rPr>
      <w:b/>
      <w:bCs w:val="0"/>
      <w:color w:val="4472C4" w:themeColor="accent1"/>
      <w14:textFill>
        <w14:solidFill>
          <w14:schemeClr w14:val="accent1"/>
        </w14:solidFill>
      </w14:textFill>
    </w:rPr>
  </w:style>
  <w:style w:type="character" w:customStyle="1" w:styleId="94">
    <w:name w:val="列表段落 字符"/>
    <w:basedOn w:val="39"/>
    <w:link w:val="65"/>
    <w:qFormat/>
    <w:uiPriority w:val="0"/>
    <w:rPr>
      <w:bCs/>
      <w:sz w:val="21"/>
    </w:rPr>
  </w:style>
  <w:style w:type="character" w:customStyle="1" w:styleId="95">
    <w:name w:val="样式1 字符"/>
    <w:basedOn w:val="94"/>
    <w:link w:val="93"/>
    <w:qFormat/>
    <w:uiPriority w:val="0"/>
    <w:rPr>
      <w:b/>
      <w:bCs w:val="0"/>
      <w:color w:val="4472C4" w:themeColor="accent1"/>
      <w:sz w:val="21"/>
      <w14:textFill>
        <w14:solidFill>
          <w14:schemeClr w14:val="accent1"/>
        </w14:solidFill>
      </w14:textFill>
    </w:rPr>
  </w:style>
  <w:style w:type="paragraph" w:customStyle="1" w:styleId="96">
    <w:name w:val="三线一单正文"/>
    <w:basedOn w:val="65"/>
    <w:link w:val="97"/>
    <w:qFormat/>
    <w:uiPriority w:val="0"/>
    <w:pPr>
      <w:numPr>
        <w:ilvl w:val="0"/>
        <w:numId w:val="3"/>
      </w:numPr>
      <w:jc w:val="both"/>
    </w:pPr>
    <w:rPr>
      <w:szCs w:val="21"/>
    </w:rPr>
  </w:style>
  <w:style w:type="character" w:customStyle="1" w:styleId="97">
    <w:name w:val="三线一单正文 字符"/>
    <w:basedOn w:val="94"/>
    <w:link w:val="96"/>
    <w:qFormat/>
    <w:uiPriority w:val="0"/>
    <w:rPr>
      <w:sz w:val="21"/>
      <w:szCs w:val="21"/>
    </w:rPr>
  </w:style>
  <w:style w:type="paragraph" w:customStyle="1" w:styleId="98">
    <w:name w:val="Other|1"/>
    <w:basedOn w:val="1"/>
    <w:link w:val="99"/>
    <w:qFormat/>
    <w:uiPriority w:val="0"/>
    <w:pPr>
      <w:spacing w:line="360" w:lineRule="auto"/>
      <w:ind w:firstLine="200" w:firstLineChars="200"/>
      <w:jc w:val="center"/>
    </w:pPr>
    <w:rPr>
      <w:rFonts w:ascii="宋体" w:hAnsi="宋体" w:cs="宋体"/>
      <w:sz w:val="19"/>
      <w:szCs w:val="19"/>
      <w:lang w:val="zh-TW" w:eastAsia="zh-TW" w:bidi="zh-TW"/>
    </w:rPr>
  </w:style>
  <w:style w:type="character" w:customStyle="1" w:styleId="99">
    <w:name w:val="Other|1_"/>
    <w:link w:val="98"/>
    <w:qFormat/>
    <w:uiPriority w:val="0"/>
    <w:rPr>
      <w:rFonts w:ascii="宋体" w:hAnsi="宋体" w:cs="宋体"/>
      <w:kern w:val="2"/>
      <w:sz w:val="19"/>
      <w:szCs w:val="19"/>
      <w:lang w:val="zh-TW" w:eastAsia="zh-TW" w:bidi="zh-TW"/>
    </w:rPr>
  </w:style>
  <w:style w:type="character" w:customStyle="1" w:styleId="100">
    <w:name w:val="标题 2 字符"/>
    <w:basedOn w:val="39"/>
    <w:link w:val="3"/>
    <w:qFormat/>
    <w:uiPriority w:val="0"/>
    <w:rPr>
      <w:rFonts w:ascii="Arial" w:hAnsi="Arial" w:eastAsia="黑体"/>
      <w:b/>
      <w:bCs/>
      <w:kern w:val="2"/>
      <w:sz w:val="32"/>
      <w:szCs w:val="32"/>
    </w:rPr>
  </w:style>
  <w:style w:type="character" w:customStyle="1" w:styleId="101">
    <w:name w:val="标题 5 字符"/>
    <w:basedOn w:val="39"/>
    <w:link w:val="6"/>
    <w:semiHidden/>
    <w:qFormat/>
    <w:uiPriority w:val="0"/>
    <w:rPr>
      <w:b/>
      <w:bCs/>
      <w:kern w:val="2"/>
      <w:sz w:val="28"/>
      <w:szCs w:val="28"/>
    </w:rPr>
  </w:style>
  <w:style w:type="character" w:customStyle="1" w:styleId="102">
    <w:name w:val="我的正文 Char Char"/>
    <w:link w:val="103"/>
    <w:qFormat/>
    <w:uiPriority w:val="0"/>
    <w:rPr>
      <w:rFonts w:ascii="宋体" w:hAnsi="宋体" w:cs="宋体"/>
      <w:kern w:val="2"/>
      <w:sz w:val="24"/>
    </w:rPr>
  </w:style>
  <w:style w:type="paragraph" w:customStyle="1" w:styleId="103">
    <w:name w:val="我的正文"/>
    <w:basedOn w:val="1"/>
    <w:link w:val="102"/>
    <w:qFormat/>
    <w:uiPriority w:val="0"/>
    <w:pPr>
      <w:widowControl/>
      <w:ind w:firstLine="420"/>
      <w:jc w:val="left"/>
    </w:pPr>
    <w:rPr>
      <w:rFonts w:ascii="宋体" w:hAnsi="宋体" w:cs="宋体"/>
      <w:sz w:val="24"/>
      <w:szCs w:val="20"/>
    </w:rPr>
  </w:style>
  <w:style w:type="character" w:customStyle="1" w:styleId="104">
    <w:name w:val="主要文字 Char Char Char"/>
    <w:qFormat/>
    <w:uiPriority w:val="0"/>
    <w:rPr>
      <w:rFonts w:ascii="宋体" w:hAnsi="宋体" w:eastAsia="宋体" w:cs="宋体"/>
      <w:kern w:val="2"/>
      <w:sz w:val="28"/>
      <w:lang w:val="en-US" w:eastAsia="zh-CN" w:bidi="ar-SA"/>
    </w:rPr>
  </w:style>
  <w:style w:type="character" w:customStyle="1" w:styleId="105">
    <w:name w:val="正文缩进 Char1"/>
    <w:qFormat/>
    <w:uiPriority w:val="0"/>
    <w:rPr>
      <w:rFonts w:ascii="宋体" w:hAnsi="宋体" w:eastAsia="宋体" w:cs="宋体"/>
      <w:kern w:val="2"/>
      <w:sz w:val="28"/>
      <w:lang w:val="en-US" w:eastAsia="zh-CN" w:bidi="ar-SA"/>
    </w:rPr>
  </w:style>
  <w:style w:type="character" w:customStyle="1" w:styleId="106">
    <w:name w:val="纯文本 字符"/>
    <w:link w:val="17"/>
    <w:qFormat/>
    <w:uiPriority w:val="0"/>
    <w:rPr>
      <w:rFonts w:ascii="宋体" w:hAnsi="Courier New"/>
      <w:kern w:val="2"/>
      <w:sz w:val="21"/>
    </w:rPr>
  </w:style>
  <w:style w:type="character" w:customStyle="1" w:styleId="107">
    <w:name w:val="特点 Char1"/>
    <w:qFormat/>
    <w:uiPriority w:val="0"/>
    <w:rPr>
      <w:rFonts w:ascii="宋体" w:hAnsi="宋体" w:eastAsia="宋体" w:cs="宋体"/>
      <w:kern w:val="2"/>
      <w:sz w:val="28"/>
      <w:lang w:val="en-US" w:eastAsia="zh-CN" w:bidi="ar-SA"/>
    </w:rPr>
  </w:style>
  <w:style w:type="character" w:customStyle="1" w:styleId="108">
    <w:name w:val="主要文字 Char Char"/>
    <w:link w:val="109"/>
    <w:qFormat/>
    <w:uiPriority w:val="0"/>
    <w:rPr>
      <w:rFonts w:cs="宋体"/>
      <w:kern w:val="24"/>
      <w:sz w:val="28"/>
      <w:szCs w:val="24"/>
    </w:rPr>
  </w:style>
  <w:style w:type="paragraph" w:customStyle="1" w:styleId="109">
    <w:name w:val="主要文字"/>
    <w:basedOn w:val="1"/>
    <w:link w:val="108"/>
    <w:qFormat/>
    <w:uiPriority w:val="0"/>
    <w:pPr>
      <w:widowControl/>
      <w:spacing w:line="560" w:lineRule="exact"/>
      <w:jc w:val="left"/>
    </w:pPr>
    <w:rPr>
      <w:rFonts w:cs="宋体"/>
      <w:kern w:val="24"/>
      <w:sz w:val="28"/>
    </w:rPr>
  </w:style>
  <w:style w:type="character" w:customStyle="1" w:styleId="110">
    <w:name w:val="样式 正文文本缩进 + Times New Roman Char Char"/>
    <w:link w:val="111"/>
    <w:qFormat/>
    <w:uiPriority w:val="0"/>
    <w:rPr>
      <w:rFonts w:ascii="宋体" w:hAnsi="宋体" w:cs="宋体"/>
      <w:kern w:val="2"/>
      <w:sz w:val="24"/>
      <w:szCs w:val="24"/>
    </w:rPr>
  </w:style>
  <w:style w:type="paragraph" w:customStyle="1" w:styleId="111">
    <w:name w:val="样式 正文文本缩进 + Times New Roman"/>
    <w:basedOn w:val="13"/>
    <w:link w:val="110"/>
    <w:qFormat/>
    <w:uiPriority w:val="0"/>
    <w:pPr>
      <w:widowControl/>
      <w:tabs>
        <w:tab w:val="left" w:pos="7654"/>
      </w:tabs>
      <w:autoSpaceDE w:val="0"/>
      <w:autoSpaceDN w:val="0"/>
      <w:adjustRightInd w:val="0"/>
      <w:snapToGrid w:val="0"/>
      <w:spacing w:after="0" w:line="360" w:lineRule="auto"/>
      <w:ind w:left="0" w:leftChars="0" w:firstLine="480"/>
      <w:jc w:val="left"/>
    </w:pPr>
    <w:rPr>
      <w:rFonts w:ascii="宋体" w:hAnsi="宋体" w:cs="宋体"/>
      <w:sz w:val="24"/>
    </w:rPr>
  </w:style>
  <w:style w:type="character" w:customStyle="1" w:styleId="112">
    <w:name w:val="表格字体（科宏） Char Char"/>
    <w:link w:val="113"/>
    <w:qFormat/>
    <w:uiPriority w:val="0"/>
    <w:rPr>
      <w:rFonts w:ascii="Arial" w:hAnsi="Arial" w:eastAsia="仿宋_GB2312"/>
      <w:sz w:val="28"/>
    </w:rPr>
  </w:style>
  <w:style w:type="paragraph" w:customStyle="1" w:styleId="113">
    <w:name w:val="表格字体（科宏）"/>
    <w:basedOn w:val="1"/>
    <w:link w:val="112"/>
    <w:qFormat/>
    <w:uiPriority w:val="0"/>
    <w:pPr>
      <w:widowControl/>
      <w:jc w:val="center"/>
    </w:pPr>
    <w:rPr>
      <w:rFonts w:ascii="Arial" w:hAnsi="Arial" w:eastAsia="仿宋_GB2312"/>
      <w:kern w:val="0"/>
      <w:sz w:val="28"/>
      <w:szCs w:val="20"/>
    </w:rPr>
  </w:style>
  <w:style w:type="character" w:customStyle="1" w:styleId="114">
    <w:name w:val="正文(首缩进) Char Char"/>
    <w:link w:val="115"/>
    <w:qFormat/>
    <w:uiPriority w:val="0"/>
    <w:rPr>
      <w:rFonts w:ascii="宋体" w:hAnsi="宋体" w:cs="宋体"/>
      <w:kern w:val="2"/>
      <w:sz w:val="28"/>
    </w:rPr>
  </w:style>
  <w:style w:type="paragraph" w:customStyle="1" w:styleId="115">
    <w:name w:val="正文(首缩进)"/>
    <w:basedOn w:val="1"/>
    <w:link w:val="114"/>
    <w:qFormat/>
    <w:uiPriority w:val="0"/>
    <w:pPr>
      <w:widowControl/>
      <w:spacing w:beforeLines="25" w:afterLines="25" w:line="420" w:lineRule="auto"/>
      <w:jc w:val="left"/>
    </w:pPr>
    <w:rPr>
      <w:rFonts w:ascii="宋体" w:hAnsi="宋体" w:cs="宋体"/>
      <w:sz w:val="28"/>
      <w:szCs w:val="20"/>
    </w:rPr>
  </w:style>
  <w:style w:type="character" w:customStyle="1" w:styleId="116">
    <w:name w:val="zw1"/>
    <w:qFormat/>
    <w:uiPriority w:val="0"/>
    <w:rPr>
      <w:rFonts w:hint="eastAsia" w:ascii="宋体" w:hAnsi="宋体" w:eastAsia="宋体"/>
      <w:sz w:val="22"/>
      <w:szCs w:val="22"/>
    </w:rPr>
  </w:style>
  <w:style w:type="character" w:customStyle="1" w:styleId="117">
    <w:name w:val="表内文字 Char"/>
    <w:qFormat/>
    <w:uiPriority w:val="0"/>
    <w:rPr>
      <w:rFonts w:ascii="宋体" w:hAnsi="Courier New" w:eastAsia="宋体" w:cs="Courier New"/>
      <w:kern w:val="2"/>
      <w:sz w:val="21"/>
      <w:szCs w:val="21"/>
      <w:lang w:val="en-US" w:eastAsia="zh-CN" w:bidi="ar-SA"/>
    </w:rPr>
  </w:style>
  <w:style w:type="character" w:customStyle="1" w:styleId="118">
    <w:name w:val="报告 Char Char"/>
    <w:link w:val="119"/>
    <w:qFormat/>
    <w:uiPriority w:val="0"/>
    <w:rPr>
      <w:rFonts w:ascii="宋体" w:hAnsi="宋体" w:cs="宋体"/>
      <w:sz w:val="24"/>
    </w:rPr>
  </w:style>
  <w:style w:type="paragraph" w:customStyle="1" w:styleId="119">
    <w:name w:val="报告"/>
    <w:basedOn w:val="1"/>
    <w:link w:val="118"/>
    <w:qFormat/>
    <w:uiPriority w:val="0"/>
    <w:pPr>
      <w:widowControl/>
      <w:adjustRightInd w:val="0"/>
      <w:ind w:firstLine="505"/>
      <w:jc w:val="left"/>
      <w:textAlignment w:val="baseline"/>
    </w:pPr>
    <w:rPr>
      <w:rFonts w:ascii="宋体" w:hAnsi="宋体" w:cs="宋体"/>
      <w:kern w:val="0"/>
      <w:sz w:val="24"/>
      <w:szCs w:val="20"/>
    </w:rPr>
  </w:style>
  <w:style w:type="character" w:customStyle="1" w:styleId="120">
    <w:name w:val="eofkuan"/>
    <w:basedOn w:val="39"/>
    <w:qFormat/>
    <w:uiPriority w:val="0"/>
  </w:style>
  <w:style w:type="character" w:customStyle="1" w:styleId="121">
    <w:name w:val="1.1.1级标题 Char Char"/>
    <w:link w:val="122"/>
    <w:qFormat/>
    <w:uiPriority w:val="0"/>
    <w:rPr>
      <w:rFonts w:ascii="宋体" w:hAnsi="宋体" w:cs="宋体"/>
      <w:b/>
      <w:kern w:val="2"/>
      <w:sz w:val="28"/>
      <w:szCs w:val="28"/>
    </w:rPr>
  </w:style>
  <w:style w:type="paragraph" w:customStyle="1" w:styleId="122">
    <w:name w:val="1.1.1级标题"/>
    <w:basedOn w:val="1"/>
    <w:link w:val="121"/>
    <w:qFormat/>
    <w:uiPriority w:val="0"/>
    <w:pPr>
      <w:widowControl/>
      <w:tabs>
        <w:tab w:val="left" w:pos="851"/>
      </w:tabs>
      <w:spacing w:beforeLines="50" w:afterLines="50" w:line="540" w:lineRule="exact"/>
      <w:ind w:left="1129" w:hanging="1129"/>
      <w:jc w:val="left"/>
      <w:outlineLvl w:val="2"/>
    </w:pPr>
    <w:rPr>
      <w:rFonts w:ascii="宋体" w:hAnsi="宋体" w:cs="宋体"/>
      <w:b/>
      <w:sz w:val="28"/>
      <w:szCs w:val="28"/>
    </w:rPr>
  </w:style>
  <w:style w:type="character" w:customStyle="1" w:styleId="123">
    <w:name w:val="条标题（科宏） Char Char Char"/>
    <w:link w:val="124"/>
    <w:qFormat/>
    <w:uiPriority w:val="0"/>
    <w:rPr>
      <w:rFonts w:ascii="Arial" w:hAnsi="Arial" w:eastAsia="仿宋_GB2312"/>
      <w:kern w:val="2"/>
      <w:sz w:val="28"/>
      <w:szCs w:val="24"/>
    </w:rPr>
  </w:style>
  <w:style w:type="paragraph" w:customStyle="1" w:styleId="124">
    <w:name w:val="条标题（科宏）"/>
    <w:next w:val="1"/>
    <w:link w:val="123"/>
    <w:qFormat/>
    <w:uiPriority w:val="0"/>
    <w:pPr>
      <w:widowControl w:val="0"/>
      <w:spacing w:line="360" w:lineRule="auto"/>
      <w:jc w:val="both"/>
      <w:outlineLvl w:val="2"/>
    </w:pPr>
    <w:rPr>
      <w:rFonts w:ascii="Arial" w:hAnsi="Arial" w:eastAsia="仿宋_GB2312" w:cs="Times New Roman"/>
      <w:kern w:val="2"/>
      <w:sz w:val="28"/>
      <w:szCs w:val="24"/>
      <w:lang w:val="en-US" w:eastAsia="zh-CN" w:bidi="ar-SA"/>
    </w:rPr>
  </w:style>
  <w:style w:type="character" w:customStyle="1" w:styleId="125">
    <w:name w:val="1.1级标题 Char Char"/>
    <w:link w:val="126"/>
    <w:qFormat/>
    <w:uiPriority w:val="0"/>
    <w:rPr>
      <w:rFonts w:ascii="宋体" w:hAnsi="宋体" w:cs="宋体"/>
      <w:b/>
      <w:kern w:val="2"/>
      <w:sz w:val="28"/>
      <w:szCs w:val="28"/>
    </w:rPr>
  </w:style>
  <w:style w:type="paragraph" w:customStyle="1" w:styleId="126">
    <w:name w:val="1.1级标题"/>
    <w:basedOn w:val="1"/>
    <w:link w:val="125"/>
    <w:qFormat/>
    <w:uiPriority w:val="0"/>
    <w:pPr>
      <w:widowControl/>
      <w:tabs>
        <w:tab w:val="left" w:pos="567"/>
      </w:tabs>
      <w:spacing w:beforeLines="50" w:afterLines="50" w:line="540" w:lineRule="atLeast"/>
      <w:ind w:left="567" w:hanging="567"/>
      <w:jc w:val="left"/>
      <w:outlineLvl w:val="1"/>
    </w:pPr>
    <w:rPr>
      <w:rFonts w:ascii="宋体" w:hAnsi="宋体" w:cs="宋体"/>
      <w:b/>
      <w:sz w:val="28"/>
      <w:szCs w:val="28"/>
    </w:rPr>
  </w:style>
  <w:style w:type="character" w:customStyle="1" w:styleId="127">
    <w:name w:val="文本正文3 Char"/>
    <w:link w:val="128"/>
    <w:qFormat/>
    <w:uiPriority w:val="0"/>
    <w:rPr>
      <w:kern w:val="2"/>
      <w:szCs w:val="21"/>
    </w:rPr>
  </w:style>
  <w:style w:type="paragraph" w:customStyle="1" w:styleId="128">
    <w:name w:val="文本正文3"/>
    <w:link w:val="127"/>
    <w:qFormat/>
    <w:uiPriority w:val="0"/>
    <w:pPr>
      <w:spacing w:line="360" w:lineRule="auto"/>
      <w:ind w:firstLine="177" w:firstLineChars="177"/>
    </w:pPr>
    <w:rPr>
      <w:rFonts w:ascii="Times New Roman" w:hAnsi="Times New Roman" w:eastAsia="宋体" w:cs="Times New Roman"/>
      <w:kern w:val="2"/>
      <w:szCs w:val="21"/>
      <w:lang w:val="en-US" w:eastAsia="zh-CN" w:bidi="ar-SA"/>
    </w:rPr>
  </w:style>
  <w:style w:type="character" w:customStyle="1" w:styleId="129">
    <w:name w:val="表内容 Char"/>
    <w:link w:val="130"/>
    <w:qFormat/>
    <w:uiPriority w:val="0"/>
    <w:rPr>
      <w:rFonts w:ascii="宋体" w:hAnsi="宋体" w:cs="宋体"/>
      <w:kern w:val="2"/>
      <w:sz w:val="21"/>
      <w:szCs w:val="21"/>
    </w:rPr>
  </w:style>
  <w:style w:type="paragraph" w:customStyle="1" w:styleId="130">
    <w:name w:val="表内容"/>
    <w:basedOn w:val="1"/>
    <w:link w:val="129"/>
    <w:qFormat/>
    <w:uiPriority w:val="0"/>
    <w:pPr>
      <w:widowControl/>
      <w:jc w:val="center"/>
    </w:pPr>
    <w:rPr>
      <w:rFonts w:ascii="宋体" w:hAnsi="宋体" w:cs="宋体"/>
      <w:szCs w:val="21"/>
    </w:rPr>
  </w:style>
  <w:style w:type="character" w:customStyle="1" w:styleId="131">
    <w:name w:val="表标题 Char"/>
    <w:link w:val="132"/>
    <w:qFormat/>
    <w:uiPriority w:val="0"/>
    <w:rPr>
      <w:rFonts w:ascii="黑体" w:hAnsi="Gloucester MT Extra Condensed" w:eastAsia="黑体" w:cs="Arial"/>
      <w:bCs/>
      <w:kern w:val="2"/>
      <w:sz w:val="24"/>
      <w:szCs w:val="21"/>
    </w:rPr>
  </w:style>
  <w:style w:type="paragraph" w:customStyle="1" w:styleId="132">
    <w:name w:val="表标题"/>
    <w:basedOn w:val="1"/>
    <w:next w:val="55"/>
    <w:link w:val="131"/>
    <w:qFormat/>
    <w:uiPriority w:val="0"/>
    <w:pPr>
      <w:widowControl/>
      <w:snapToGrid w:val="0"/>
      <w:spacing w:before="120" w:afterLines="50"/>
      <w:ind w:firstLine="482"/>
      <w:jc w:val="center"/>
    </w:pPr>
    <w:rPr>
      <w:rFonts w:ascii="黑体" w:hAnsi="Gloucester MT Extra Condensed" w:eastAsia="黑体" w:cs="Arial"/>
      <w:bCs/>
      <w:sz w:val="24"/>
      <w:szCs w:val="21"/>
    </w:rPr>
  </w:style>
  <w:style w:type="character" w:customStyle="1" w:styleId="133">
    <w:name w:val="书籍标题1"/>
    <w:qFormat/>
    <w:uiPriority w:val="0"/>
    <w:rPr>
      <w:rFonts w:ascii="宋体" w:hAnsi="宋体" w:cs="宋体"/>
      <w:b/>
      <w:smallCaps/>
      <w:spacing w:val="5"/>
      <w:sz w:val="24"/>
    </w:rPr>
  </w:style>
  <w:style w:type="character" w:customStyle="1" w:styleId="134">
    <w:name w:val="信息标题 字符"/>
    <w:link w:val="30"/>
    <w:qFormat/>
    <w:uiPriority w:val="0"/>
    <w:rPr>
      <w:rFonts w:ascii="Cambria" w:hAnsi="Cambria"/>
      <w:kern w:val="2"/>
      <w:sz w:val="24"/>
      <w:szCs w:val="24"/>
      <w:shd w:val="pct20" w:color="auto" w:fill="auto"/>
    </w:rPr>
  </w:style>
  <w:style w:type="character" w:customStyle="1" w:styleId="135">
    <w:name w:val="副标题 字符"/>
    <w:link w:val="26"/>
    <w:qFormat/>
    <w:uiPriority w:val="0"/>
    <w:rPr>
      <w:rFonts w:ascii="Cambria" w:hAnsi="Cambria"/>
      <w:b/>
      <w:bCs/>
      <w:kern w:val="28"/>
      <w:sz w:val="32"/>
      <w:szCs w:val="32"/>
    </w:rPr>
  </w:style>
  <w:style w:type="character" w:customStyle="1" w:styleId="136">
    <w:name w:val="报告 Char"/>
    <w:qFormat/>
    <w:uiPriority w:val="0"/>
    <w:rPr>
      <w:rFonts w:ascii="宋体" w:hAnsi="宋体" w:eastAsia="宋体" w:cs="宋体"/>
      <w:sz w:val="24"/>
      <w:lang w:val="en-US" w:eastAsia="zh-CN" w:bidi="ar-SA"/>
    </w:rPr>
  </w:style>
  <w:style w:type="character" w:customStyle="1" w:styleId="137">
    <w:name w:val="sc3"/>
    <w:basedOn w:val="39"/>
    <w:qFormat/>
    <w:uiPriority w:val="0"/>
  </w:style>
  <w:style w:type="character" w:customStyle="1" w:styleId="138">
    <w:name w:val="正文文本缩进 3 字符"/>
    <w:basedOn w:val="39"/>
    <w:link w:val="28"/>
    <w:qFormat/>
    <w:uiPriority w:val="0"/>
    <w:rPr>
      <w:kern w:val="2"/>
      <w:sz w:val="16"/>
      <w:szCs w:val="16"/>
    </w:rPr>
  </w:style>
  <w:style w:type="character" w:customStyle="1" w:styleId="139">
    <w:name w:val="副标题 字符1"/>
    <w:basedOn w:val="39"/>
    <w:qFormat/>
    <w:uiPriority w:val="0"/>
    <w:rPr>
      <w:rFonts w:asciiTheme="minorHAnsi" w:hAnsiTheme="minorHAnsi" w:eastAsiaTheme="minorEastAsia" w:cstheme="minorBidi"/>
      <w:b/>
      <w:bCs/>
      <w:kern w:val="28"/>
      <w:sz w:val="32"/>
      <w:szCs w:val="32"/>
    </w:rPr>
  </w:style>
  <w:style w:type="character" w:customStyle="1" w:styleId="140">
    <w:name w:val="文档结构图 字符"/>
    <w:basedOn w:val="39"/>
    <w:link w:val="9"/>
    <w:qFormat/>
    <w:uiPriority w:val="0"/>
    <w:rPr>
      <w:kern w:val="2"/>
      <w:sz w:val="24"/>
      <w:szCs w:val="24"/>
      <w:shd w:val="clear" w:color="auto" w:fill="000080"/>
    </w:rPr>
  </w:style>
  <w:style w:type="character" w:customStyle="1" w:styleId="141">
    <w:name w:val="正文文本缩进 2 字符"/>
    <w:basedOn w:val="39"/>
    <w:link w:val="20"/>
    <w:qFormat/>
    <w:uiPriority w:val="0"/>
    <w:rPr>
      <w:kern w:val="2"/>
      <w:sz w:val="24"/>
      <w:szCs w:val="24"/>
    </w:rPr>
  </w:style>
  <w:style w:type="character" w:customStyle="1" w:styleId="142">
    <w:name w:val="信息标题 字符1"/>
    <w:basedOn w:val="39"/>
    <w:qFormat/>
    <w:uiPriority w:val="0"/>
    <w:rPr>
      <w:rFonts w:asciiTheme="majorHAnsi" w:hAnsiTheme="majorHAnsi" w:eastAsiaTheme="majorEastAsia" w:cstheme="majorBidi"/>
      <w:kern w:val="2"/>
      <w:sz w:val="24"/>
      <w:szCs w:val="24"/>
      <w:shd w:val="pct20" w:color="auto" w:fill="auto"/>
    </w:rPr>
  </w:style>
  <w:style w:type="character" w:customStyle="1" w:styleId="143">
    <w:name w:val="纯文本 字符1"/>
    <w:basedOn w:val="39"/>
    <w:qFormat/>
    <w:uiPriority w:val="0"/>
    <w:rPr>
      <w:rFonts w:hAnsi="Courier New" w:cs="Courier New" w:asciiTheme="minorEastAsia" w:eastAsiaTheme="minorEastAsia"/>
      <w:kern w:val="2"/>
      <w:sz w:val="21"/>
      <w:szCs w:val="24"/>
    </w:rPr>
  </w:style>
  <w:style w:type="paragraph" w:customStyle="1" w:styleId="144">
    <w:name w:val="1.1.1.1.1级标题"/>
    <w:basedOn w:val="145"/>
    <w:next w:val="109"/>
    <w:qFormat/>
    <w:uiPriority w:val="0"/>
    <w:pPr>
      <w:tabs>
        <w:tab w:val="left" w:pos="851"/>
        <w:tab w:val="left" w:pos="992"/>
      </w:tabs>
      <w:ind w:left="992" w:hanging="992"/>
      <w:outlineLvl w:val="4"/>
    </w:pPr>
  </w:style>
  <w:style w:type="paragraph" w:customStyle="1" w:styleId="145">
    <w:name w:val="1.1.1.1级标题"/>
    <w:next w:val="1"/>
    <w:qFormat/>
    <w:uiPriority w:val="0"/>
    <w:pPr>
      <w:tabs>
        <w:tab w:val="left" w:pos="851"/>
      </w:tabs>
      <w:spacing w:beforeLines="50" w:afterLines="50" w:line="540" w:lineRule="exact"/>
      <w:ind w:left="851" w:hanging="851"/>
      <w:outlineLvl w:val="3"/>
    </w:pPr>
    <w:rPr>
      <w:rFonts w:ascii="Times New Roman" w:hAnsi="Times New Roman" w:eastAsia="宋体" w:cs="Times New Roman"/>
      <w:b/>
      <w:bCs/>
      <w:kern w:val="2"/>
      <w:sz w:val="28"/>
      <w:szCs w:val="28"/>
      <w:lang w:val="en-US" w:eastAsia="zh-CN" w:bidi="ar-SA"/>
    </w:rPr>
  </w:style>
  <w:style w:type="paragraph" w:customStyle="1" w:styleId="146">
    <w:name w:val="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47">
    <w:name w:val="我的正文 Char Char Char"/>
    <w:basedOn w:val="1"/>
    <w:qFormat/>
    <w:uiPriority w:val="0"/>
    <w:pPr>
      <w:widowControl/>
      <w:jc w:val="left"/>
    </w:pPr>
    <w:rPr>
      <w:sz w:val="24"/>
    </w:rPr>
  </w:style>
  <w:style w:type="paragraph" w:customStyle="1" w:styleId="148">
    <w:name w:val="样式 样式 (中文) 楷体_GB2312 四号 行距: 固定值 26 磅 +"/>
    <w:basedOn w:val="1"/>
    <w:qFormat/>
    <w:uiPriority w:val="0"/>
    <w:pPr>
      <w:widowControl/>
      <w:ind w:firstLine="480"/>
      <w:jc w:val="left"/>
    </w:pPr>
    <w:rPr>
      <w:bCs/>
      <w:kern w:val="0"/>
      <w:sz w:val="24"/>
      <w:szCs w:val="20"/>
    </w:rPr>
  </w:style>
  <w:style w:type="paragraph" w:customStyle="1" w:styleId="149">
    <w:name w:val="正文01"/>
    <w:basedOn w:val="1"/>
    <w:qFormat/>
    <w:uiPriority w:val="0"/>
    <w:pPr>
      <w:widowControl/>
      <w:ind w:firstLine="482"/>
      <w:jc w:val="left"/>
    </w:pPr>
    <w:rPr>
      <w:sz w:val="24"/>
      <w:szCs w:val="20"/>
    </w:rPr>
  </w:style>
  <w:style w:type="paragraph" w:customStyle="1" w:styleId="150">
    <w:name w:val="p16"/>
    <w:basedOn w:val="1"/>
    <w:qFormat/>
    <w:uiPriority w:val="0"/>
    <w:pPr>
      <w:widowControl/>
      <w:ind w:firstLine="420"/>
      <w:jc w:val="left"/>
    </w:pPr>
    <w:rPr>
      <w:rFonts w:ascii="宋体" w:hAnsi="宋体" w:cs="宋体"/>
      <w:kern w:val="0"/>
      <w:sz w:val="24"/>
    </w:rPr>
  </w:style>
  <w:style w:type="paragraph" w:customStyle="1" w:styleId="151">
    <w:name w:val="Char4 Char Char Char"/>
    <w:basedOn w:val="1"/>
    <w:qFormat/>
    <w:uiPriority w:val="0"/>
    <w:pPr>
      <w:widowControl/>
      <w:adjustRightInd w:val="0"/>
      <w:snapToGrid w:val="0"/>
      <w:jc w:val="left"/>
    </w:pPr>
    <w:rPr>
      <w:sz w:val="24"/>
      <w:szCs w:val="20"/>
    </w:rPr>
  </w:style>
  <w:style w:type="paragraph" w:customStyle="1" w:styleId="152">
    <w:name w:val="Char Char Char Char Char Char"/>
    <w:basedOn w:val="1"/>
    <w:qFormat/>
    <w:uiPriority w:val="0"/>
    <w:pPr>
      <w:widowControl/>
      <w:jc w:val="left"/>
    </w:pPr>
    <w:rPr>
      <w:rFonts w:eastAsia="仿宋_GB2312"/>
      <w:sz w:val="24"/>
    </w:rPr>
  </w:style>
  <w:style w:type="paragraph" w:customStyle="1" w:styleId="153">
    <w:name w:val="表格2"/>
    <w:basedOn w:val="1"/>
    <w:next w:val="1"/>
    <w:qFormat/>
    <w:uiPriority w:val="0"/>
    <w:pPr>
      <w:widowControl/>
      <w:topLinePunct/>
      <w:autoSpaceDE w:val="0"/>
      <w:autoSpaceDN w:val="0"/>
      <w:adjustRightInd w:val="0"/>
      <w:jc w:val="center"/>
      <w:textAlignment w:val="baseline"/>
    </w:pPr>
    <w:rPr>
      <w:rFonts w:ascii="宋体" w:hAnsi="Impact"/>
      <w:kern w:val="24"/>
      <w:position w:val="-28"/>
      <w:sz w:val="24"/>
      <w:szCs w:val="20"/>
    </w:rPr>
  </w:style>
  <w:style w:type="paragraph" w:customStyle="1" w:styleId="154">
    <w:name w:val="1级标题"/>
    <w:basedOn w:val="1"/>
    <w:qFormat/>
    <w:uiPriority w:val="0"/>
    <w:pPr>
      <w:widowControl/>
      <w:tabs>
        <w:tab w:val="left" w:pos="425"/>
      </w:tabs>
      <w:spacing w:beforeLines="50" w:afterLines="50" w:line="540" w:lineRule="exact"/>
      <w:ind w:left="425" w:hanging="425"/>
      <w:jc w:val="left"/>
      <w:outlineLvl w:val="0"/>
    </w:pPr>
    <w:rPr>
      <w:b/>
      <w:sz w:val="28"/>
      <w:szCs w:val="30"/>
    </w:rPr>
  </w:style>
  <w:style w:type="paragraph" w:customStyle="1" w:styleId="155">
    <w:name w:val="Char"/>
    <w:basedOn w:val="1"/>
    <w:qFormat/>
    <w:uiPriority w:val="0"/>
    <w:pPr>
      <w:widowControl/>
      <w:jc w:val="left"/>
    </w:pPr>
    <w:rPr>
      <w:sz w:val="24"/>
    </w:rPr>
  </w:style>
  <w:style w:type="paragraph" w:customStyle="1" w:styleId="156">
    <w:name w:val="1表格"/>
    <w:basedOn w:val="1"/>
    <w:qFormat/>
    <w:uiPriority w:val="0"/>
    <w:pPr>
      <w:widowControl/>
      <w:snapToGrid w:val="0"/>
      <w:spacing w:line="160" w:lineRule="atLeast"/>
      <w:jc w:val="center"/>
    </w:pPr>
    <w:rPr>
      <w:rFonts w:eastAsia="仿宋_GB2312"/>
      <w:sz w:val="24"/>
      <w:szCs w:val="20"/>
    </w:rPr>
  </w:style>
  <w:style w:type="paragraph" w:customStyle="1" w:styleId="157">
    <w:name w:val="方框"/>
    <w:basedOn w:val="1"/>
    <w:qFormat/>
    <w:uiPriority w:val="0"/>
    <w:pPr>
      <w:widowControl/>
      <w:spacing w:line="0" w:lineRule="atLeast"/>
      <w:jc w:val="left"/>
    </w:pPr>
    <w:rPr>
      <w:rFonts w:ascii="宋体"/>
      <w:kern w:val="0"/>
      <w:sz w:val="24"/>
      <w:szCs w:val="20"/>
    </w:rPr>
  </w:style>
  <w:style w:type="paragraph" w:customStyle="1" w:styleId="158">
    <w:name w:val="xl59"/>
    <w:basedOn w:val="1"/>
    <w:qFormat/>
    <w:uiPriority w:val="0"/>
    <w:pPr>
      <w:widowControl/>
      <w:pBdr>
        <w:bottom w:val="single" w:color="auto" w:sz="8" w:space="0"/>
        <w:right w:val="single" w:color="000000" w:sz="8" w:space="0"/>
      </w:pBdr>
      <w:spacing w:before="100" w:beforeAutospacing="1" w:after="100" w:afterAutospacing="1"/>
      <w:jc w:val="left"/>
      <w:textAlignment w:val="top"/>
    </w:pPr>
    <w:rPr>
      <w:rFonts w:ascii="Arial Unicode MS" w:hAnsi="Arial Unicode MS" w:eastAsia="Arial Unicode MS" w:cs="Arial Unicode MS"/>
      <w:kern w:val="0"/>
      <w:sz w:val="24"/>
      <w:szCs w:val="21"/>
    </w:rPr>
  </w:style>
  <w:style w:type="paragraph" w:customStyle="1" w:styleId="159">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60">
    <w:name w:val="样式 左侧:  1.11 厘米"/>
    <w:basedOn w:val="1"/>
    <w:qFormat/>
    <w:uiPriority w:val="0"/>
    <w:pPr>
      <w:widowControl/>
      <w:tabs>
        <w:tab w:val="left" w:pos="0"/>
      </w:tabs>
      <w:ind w:left="629"/>
      <w:jc w:val="left"/>
    </w:pPr>
    <w:rPr>
      <w:rFonts w:cs="宋体"/>
      <w:sz w:val="24"/>
      <w:szCs w:val="20"/>
    </w:rPr>
  </w:style>
  <w:style w:type="paragraph" w:customStyle="1" w:styleId="161">
    <w:name w:val="表头"/>
    <w:basedOn w:val="7"/>
    <w:qFormat/>
    <w:uiPriority w:val="0"/>
    <w:pPr>
      <w:widowControl w:val="0"/>
      <w:spacing w:before="240" w:line="480" w:lineRule="exact"/>
      <w:ind w:firstLine="0"/>
      <w:jc w:val="center"/>
    </w:pPr>
    <w:rPr>
      <w:rFonts w:ascii="宋体" w:hAnsi="Times New Roman" w:eastAsia="黑体"/>
      <w:spacing w:val="6"/>
      <w:kern w:val="2"/>
      <w:position w:val="10"/>
      <w:sz w:val="21"/>
    </w:rPr>
  </w:style>
  <w:style w:type="paragraph" w:customStyle="1" w:styleId="162">
    <w:name w:val="p0"/>
    <w:basedOn w:val="1"/>
    <w:qFormat/>
    <w:uiPriority w:val="99"/>
    <w:pPr>
      <w:widowControl/>
      <w:jc w:val="left"/>
    </w:pPr>
    <w:rPr>
      <w:kern w:val="0"/>
      <w:sz w:val="24"/>
      <w:szCs w:val="21"/>
    </w:rPr>
  </w:style>
  <w:style w:type="paragraph" w:customStyle="1" w:styleId="163">
    <w:name w:val="样式 (中文) 华文中宋 (符号) 华文中宋 行距: 1.5 倍行距 首行缩进:  2 字符"/>
    <w:basedOn w:val="1"/>
    <w:qFormat/>
    <w:uiPriority w:val="0"/>
    <w:pPr>
      <w:widowControl/>
      <w:adjustRightInd w:val="0"/>
      <w:snapToGrid w:val="0"/>
      <w:spacing w:beforeLines="25" w:afterLines="25"/>
      <w:jc w:val="left"/>
    </w:pPr>
    <w:rPr>
      <w:rFonts w:ascii="Arial" w:hAnsi="Arial" w:eastAsia="仿宋_GB2312" w:cs="宋体"/>
      <w:sz w:val="28"/>
      <w:szCs w:val="28"/>
    </w:rPr>
  </w:style>
  <w:style w:type="paragraph" w:customStyle="1" w:styleId="164">
    <w:name w:val="表格文字（科宏）"/>
    <w:basedOn w:val="1"/>
    <w:qFormat/>
    <w:uiPriority w:val="0"/>
    <w:pPr>
      <w:widowControl/>
      <w:jc w:val="center"/>
    </w:pPr>
    <w:rPr>
      <w:rFonts w:ascii="Arial" w:hAnsi="Arial" w:eastAsia="仿宋_GB2312"/>
      <w:kern w:val="0"/>
      <w:sz w:val="24"/>
      <w:szCs w:val="20"/>
    </w:rPr>
  </w:style>
  <w:style w:type="paragraph" w:customStyle="1" w:styleId="165">
    <w:name w:val="表文"/>
    <w:next w:val="1"/>
    <w:qFormat/>
    <w:uiPriority w:val="0"/>
    <w:pPr>
      <w:spacing w:line="340" w:lineRule="exact"/>
      <w:jc w:val="center"/>
    </w:pPr>
    <w:rPr>
      <w:rFonts w:ascii="宋体" w:hAnsi="宋体" w:eastAsia="宋体" w:cs="Times New Roman"/>
      <w:kern w:val="2"/>
      <w:sz w:val="21"/>
      <w:szCs w:val="24"/>
      <w:lang w:val="en-US" w:eastAsia="zh-CN" w:bidi="ar-SA"/>
    </w:rPr>
  </w:style>
  <w:style w:type="paragraph" w:customStyle="1" w:styleId="166">
    <w:name w:val="Char1 Char Char Char Char Char Char2 Char Char Char Char Char Char Char Char Char Char Char Char Char Char Char Char Char Char"/>
    <w:basedOn w:val="1"/>
    <w:qFormat/>
    <w:uiPriority w:val="0"/>
    <w:pPr>
      <w:widowControl/>
      <w:jc w:val="left"/>
    </w:pPr>
    <w:rPr>
      <w:sz w:val="24"/>
    </w:rPr>
  </w:style>
  <w:style w:type="paragraph" w:customStyle="1" w:styleId="167">
    <w:name w:val="字元 字元2"/>
    <w:basedOn w:val="1"/>
    <w:qFormat/>
    <w:uiPriority w:val="0"/>
    <w:pPr>
      <w:widowControl/>
      <w:tabs>
        <w:tab w:val="left" w:pos="360"/>
      </w:tabs>
      <w:jc w:val="left"/>
    </w:pPr>
    <w:rPr>
      <w:sz w:val="24"/>
    </w:rPr>
  </w:style>
  <w:style w:type="paragraph" w:customStyle="1" w:styleId="168">
    <w:name w:val="默认段落字体 Para Char"/>
    <w:basedOn w:val="1"/>
    <w:qFormat/>
    <w:uiPriority w:val="0"/>
    <w:pPr>
      <w:widowControl/>
      <w:ind w:left="150" w:leftChars="150"/>
      <w:jc w:val="left"/>
    </w:pPr>
    <w:rPr>
      <w:rFonts w:ascii="宋体" w:hAnsi="宋体" w:cs="宋体"/>
      <w:sz w:val="24"/>
    </w:rPr>
  </w:style>
  <w:style w:type="paragraph" w:customStyle="1" w:styleId="169">
    <w:name w:val="表格式"/>
    <w:basedOn w:val="27"/>
    <w:qFormat/>
    <w:uiPriority w:val="0"/>
    <w:pPr>
      <w:spacing w:line="400" w:lineRule="exact"/>
      <w:ind w:left="0" w:firstLine="0" w:firstLineChars="0"/>
      <w:jc w:val="center"/>
    </w:pPr>
    <w:rPr>
      <w:rFonts w:ascii="宋体"/>
      <w:szCs w:val="20"/>
    </w:rPr>
  </w:style>
  <w:style w:type="paragraph" w:customStyle="1" w:styleId="170">
    <w:name w:val="Char Char Char"/>
    <w:basedOn w:val="1"/>
    <w:qFormat/>
    <w:uiPriority w:val="0"/>
    <w:pPr>
      <w:widowControl/>
      <w:spacing w:line="357" w:lineRule="atLeast"/>
      <w:jc w:val="left"/>
      <w:textAlignment w:val="baseline"/>
    </w:pPr>
    <w:rPr>
      <w:color w:val="000000"/>
      <w:kern w:val="0"/>
      <w:sz w:val="24"/>
      <w:szCs w:val="20"/>
      <w:u w:color="000000"/>
    </w:rPr>
  </w:style>
  <w:style w:type="paragraph" w:customStyle="1" w:styleId="171">
    <w:name w:val="报告书正文"/>
    <w:basedOn w:val="1"/>
    <w:qFormat/>
    <w:uiPriority w:val="0"/>
    <w:pPr>
      <w:widowControl/>
      <w:spacing w:line="400" w:lineRule="exact"/>
      <w:jc w:val="left"/>
    </w:pPr>
    <w:rPr>
      <w:sz w:val="24"/>
    </w:rPr>
  </w:style>
  <w:style w:type="paragraph" w:customStyle="1" w:styleId="172">
    <w:name w:val="表格文字"/>
    <w:basedOn w:val="1"/>
    <w:link w:val="198"/>
    <w:qFormat/>
    <w:uiPriority w:val="0"/>
    <w:pPr>
      <w:widowControl/>
      <w:adjustRightInd w:val="0"/>
      <w:snapToGrid w:val="0"/>
      <w:jc w:val="center"/>
    </w:pPr>
    <w:rPr>
      <w:rFonts w:ascii="Arial" w:hAnsi="Arial" w:eastAsia="仿宋_GB2312" w:cs="Arial"/>
      <w:color w:val="000000"/>
      <w:spacing w:val="-20"/>
      <w:sz w:val="24"/>
      <w:szCs w:val="20"/>
    </w:rPr>
  </w:style>
  <w:style w:type="paragraph" w:customStyle="1" w:styleId="173">
    <w:name w:val="Char1 Char Char Char"/>
    <w:basedOn w:val="1"/>
    <w:qFormat/>
    <w:uiPriority w:val="0"/>
    <w:pPr>
      <w:widowControl/>
      <w:jc w:val="left"/>
    </w:pPr>
    <w:rPr>
      <w:sz w:val="24"/>
    </w:rPr>
  </w:style>
  <w:style w:type="paragraph" w:customStyle="1" w:styleId="174">
    <w:name w:val="节标题（科宏）"/>
    <w:next w:val="1"/>
    <w:qFormat/>
    <w:uiPriority w:val="0"/>
    <w:pPr>
      <w:widowControl w:val="0"/>
      <w:spacing w:beforeLines="50" w:afterLines="50" w:line="360" w:lineRule="auto"/>
      <w:ind w:left="426"/>
      <w:jc w:val="center"/>
      <w:outlineLvl w:val="1"/>
    </w:pPr>
    <w:rPr>
      <w:rFonts w:ascii="Arial" w:hAnsi="Arial" w:eastAsia="仿宋_GB2312" w:cs="Times New Roman"/>
      <w:b/>
      <w:kern w:val="2"/>
      <w:sz w:val="30"/>
      <w:szCs w:val="24"/>
      <w:lang w:val="en-US" w:eastAsia="zh-CN" w:bidi="ar-SA"/>
    </w:rPr>
  </w:style>
  <w:style w:type="paragraph" w:customStyle="1" w:styleId="175">
    <w:name w:val="图表文字"/>
    <w:basedOn w:val="1"/>
    <w:qFormat/>
    <w:uiPriority w:val="0"/>
    <w:pPr>
      <w:widowControl/>
      <w:jc w:val="left"/>
    </w:pPr>
    <w:rPr>
      <w:rFonts w:hAnsi="宋体"/>
      <w:spacing w:val="-6"/>
      <w:sz w:val="24"/>
    </w:rPr>
  </w:style>
  <w:style w:type="paragraph" w:customStyle="1" w:styleId="176">
    <w:name w:val="正文2"/>
    <w:basedOn w:val="1"/>
    <w:qFormat/>
    <w:uiPriority w:val="0"/>
    <w:pPr>
      <w:widowControl/>
      <w:adjustRightInd w:val="0"/>
      <w:snapToGrid w:val="0"/>
      <w:spacing w:line="440" w:lineRule="atLeast"/>
      <w:ind w:firstLine="567"/>
      <w:jc w:val="left"/>
    </w:pPr>
    <w:rPr>
      <w:sz w:val="24"/>
      <w:szCs w:val="20"/>
    </w:rPr>
  </w:style>
  <w:style w:type="paragraph" w:customStyle="1" w:styleId="177">
    <w:name w:val="xl39"/>
    <w:basedOn w:val="1"/>
    <w:qFormat/>
    <w:uiPriority w:val="0"/>
    <w:pPr>
      <w:widowControl/>
      <w:spacing w:before="100" w:beforeAutospacing="1" w:after="100" w:afterAutospacing="1"/>
      <w:jc w:val="center"/>
    </w:pPr>
    <w:rPr>
      <w:rFonts w:hint="eastAsia" w:ascii="Arial Unicode MS" w:hAnsi="Arial Unicode MS" w:eastAsia="Arial Unicode MS"/>
      <w:kern w:val="0"/>
      <w:sz w:val="28"/>
      <w:szCs w:val="28"/>
    </w:rPr>
  </w:style>
  <w:style w:type="paragraph" w:customStyle="1" w:styleId="178">
    <w:name w:val="Char Char1"/>
    <w:basedOn w:val="1"/>
    <w:qFormat/>
    <w:uiPriority w:val="0"/>
    <w:pPr>
      <w:widowControl/>
      <w:spacing w:before="100" w:beforeAutospacing="1" w:after="100" w:afterAutospacing="1"/>
      <w:jc w:val="left"/>
    </w:pPr>
    <w:rPr>
      <w:rFonts w:ascii="Verdana" w:hAnsi="Verdana" w:eastAsia="仿宋_GB2312"/>
      <w:kern w:val="0"/>
      <w:sz w:val="20"/>
      <w:szCs w:val="21"/>
      <w:lang w:eastAsia="en-US"/>
    </w:rPr>
  </w:style>
  <w:style w:type="paragraph" w:customStyle="1" w:styleId="179">
    <w:name w:val="xl24"/>
    <w:basedOn w:val="1"/>
    <w:qFormat/>
    <w:uiPriority w:val="0"/>
    <w:pPr>
      <w:widowControl/>
      <w:spacing w:before="100" w:beforeAutospacing="1" w:after="100" w:afterAutospacing="1"/>
      <w:jc w:val="center"/>
    </w:pPr>
    <w:rPr>
      <w:rFonts w:ascii="宋体" w:hAnsi="宋体"/>
      <w:kern w:val="0"/>
      <w:sz w:val="24"/>
    </w:rPr>
  </w:style>
  <w:style w:type="paragraph" w:customStyle="1" w:styleId="180">
    <w:name w:val="xl26"/>
    <w:basedOn w:val="1"/>
    <w:qFormat/>
    <w:uiPriority w:val="0"/>
    <w:pPr>
      <w:widowControl/>
      <w:pBdr>
        <w:left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rPr>
  </w:style>
  <w:style w:type="paragraph" w:customStyle="1" w:styleId="181">
    <w:name w:val="表格文字2"/>
    <w:basedOn w:val="1"/>
    <w:qFormat/>
    <w:uiPriority w:val="0"/>
    <w:pPr>
      <w:widowControl/>
      <w:adjustRightInd w:val="0"/>
      <w:spacing w:before="60"/>
      <w:jc w:val="center"/>
      <w:textAlignment w:val="baseline"/>
    </w:pPr>
    <w:rPr>
      <w:rFonts w:ascii="宋体"/>
      <w:kern w:val="0"/>
      <w:sz w:val="24"/>
      <w:szCs w:val="20"/>
    </w:rPr>
  </w:style>
  <w:style w:type="paragraph" w:customStyle="1" w:styleId="182">
    <w:name w:val="正文文字2"/>
    <w:basedOn w:val="1"/>
    <w:qFormat/>
    <w:uiPriority w:val="0"/>
    <w:pPr>
      <w:widowControl/>
      <w:adjustRightInd w:val="0"/>
      <w:snapToGrid w:val="0"/>
      <w:ind w:firstLine="480"/>
      <w:jc w:val="left"/>
    </w:pPr>
    <w:rPr>
      <w:rFonts w:cs="宋体"/>
      <w:color w:val="000000"/>
      <w:kern w:val="0"/>
      <w:sz w:val="24"/>
      <w:szCs w:val="20"/>
    </w:rPr>
  </w:style>
  <w:style w:type="paragraph" w:customStyle="1" w:styleId="183">
    <w:name w:val="图表标题"/>
    <w:basedOn w:val="119"/>
    <w:next w:val="84"/>
    <w:link w:val="213"/>
    <w:qFormat/>
    <w:uiPriority w:val="0"/>
    <w:pPr>
      <w:snapToGrid w:val="0"/>
      <w:ind w:firstLine="0"/>
      <w:jc w:val="center"/>
    </w:pPr>
    <w:rPr>
      <w:rFonts w:ascii="Times New Roman" w:hAnsi="Times New Roman"/>
      <w:b/>
      <w:kern w:val="2"/>
      <w:szCs w:val="24"/>
    </w:rPr>
  </w:style>
  <w:style w:type="paragraph" w:customStyle="1" w:styleId="184">
    <w:name w:val="+正文"/>
    <w:basedOn w:val="1"/>
    <w:qFormat/>
    <w:uiPriority w:val="0"/>
    <w:pPr>
      <w:widowControl/>
      <w:jc w:val="left"/>
    </w:pPr>
    <w:rPr>
      <w:sz w:val="24"/>
      <w:szCs w:val="28"/>
    </w:rPr>
  </w:style>
  <w:style w:type="table" w:customStyle="1" w:styleId="185">
    <w:name w:val="浅色底纹1"/>
    <w:basedOn w:val="37"/>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C0C0C0"/>
      </w:tcPr>
    </w:tblStylePr>
    <w:tblStylePr w:type="band1Horz">
      <w:tcPr>
        <w:tcBorders>
          <w:left w:val="nil"/>
          <w:right w:val="nil"/>
          <w:insideH w:val="nil"/>
          <w:insideV w:val="nil"/>
        </w:tcBorders>
        <w:shd w:val="clear" w:color="auto" w:fill="C0C0C0"/>
      </w:tcPr>
    </w:tblStylePr>
  </w:style>
  <w:style w:type="paragraph" w:customStyle="1" w:styleId="186">
    <w:name w:val="环表题"/>
    <w:basedOn w:val="132"/>
    <w:qFormat/>
    <w:uiPriority w:val="0"/>
    <w:pPr>
      <w:adjustRightInd w:val="0"/>
      <w:spacing w:before="0" w:afterLines="0"/>
      <w:ind w:firstLine="210"/>
    </w:pPr>
    <w:rPr>
      <w:rFonts w:ascii="Times New Roman" w:hAnsi="Times New Roman" w:eastAsia="宋体"/>
      <w:kern w:val="0"/>
      <w:sz w:val="21"/>
    </w:rPr>
  </w:style>
  <w:style w:type="paragraph" w:customStyle="1" w:styleId="187">
    <w:name w:val="环表格"/>
    <w:basedOn w:val="55"/>
    <w:qFormat/>
    <w:uiPriority w:val="0"/>
    <w:pPr>
      <w:widowControl/>
      <w:spacing w:beforeLines="20" w:afterLines="20"/>
    </w:pPr>
    <w:rPr>
      <w:bCs/>
      <w:kern w:val="2"/>
      <w:szCs w:val="20"/>
    </w:rPr>
  </w:style>
  <w:style w:type="character" w:customStyle="1" w:styleId="188">
    <w:name w:val="正文文本 (2)_"/>
    <w:basedOn w:val="39"/>
    <w:link w:val="189"/>
    <w:qFormat/>
    <w:uiPriority w:val="0"/>
    <w:rPr>
      <w:rFonts w:ascii="MingLiU" w:hAnsi="MingLiU" w:eastAsia="MingLiU" w:cs="MingLiU"/>
      <w:sz w:val="22"/>
      <w:szCs w:val="22"/>
      <w:shd w:val="clear" w:color="auto" w:fill="FFFFFF"/>
    </w:rPr>
  </w:style>
  <w:style w:type="paragraph" w:customStyle="1" w:styleId="189">
    <w:name w:val="正文文本 (2)"/>
    <w:basedOn w:val="1"/>
    <w:link w:val="188"/>
    <w:qFormat/>
    <w:uiPriority w:val="0"/>
    <w:pPr>
      <w:widowControl/>
      <w:shd w:val="clear" w:color="auto" w:fill="FFFFFF"/>
      <w:spacing w:line="456" w:lineRule="exact"/>
      <w:jc w:val="distribute"/>
    </w:pPr>
    <w:rPr>
      <w:rFonts w:ascii="MingLiU" w:hAnsi="MingLiU" w:eastAsia="MingLiU" w:cs="MingLiU"/>
      <w:kern w:val="0"/>
      <w:sz w:val="22"/>
      <w:szCs w:val="22"/>
    </w:rPr>
  </w:style>
  <w:style w:type="character" w:customStyle="1" w:styleId="190">
    <w:name w:val="正文文本 (2) + 9.5 pt"/>
    <w:basedOn w:val="188"/>
    <w:qFormat/>
    <w:uiPriority w:val="0"/>
    <w:rPr>
      <w:rFonts w:ascii="MingLiU" w:hAnsi="MingLiU" w:eastAsia="MingLiU" w:cs="MingLiU"/>
      <w:color w:val="000000"/>
      <w:spacing w:val="0"/>
      <w:w w:val="100"/>
      <w:position w:val="0"/>
      <w:sz w:val="19"/>
      <w:szCs w:val="19"/>
      <w:shd w:val="clear" w:color="auto" w:fill="FFFFFF"/>
      <w:lang w:val="zh-TW" w:eastAsia="zh-TW" w:bidi="zh-TW"/>
    </w:rPr>
  </w:style>
  <w:style w:type="character" w:customStyle="1" w:styleId="191">
    <w:name w:val="正文文本 (2) + Times New Roman"/>
    <w:basedOn w:val="188"/>
    <w:qFormat/>
    <w:uiPriority w:val="0"/>
    <w:rPr>
      <w:rFonts w:ascii="Times New Roman" w:hAnsi="Times New Roman" w:eastAsia="Times New Roman" w:cs="Times New Roman"/>
      <w:color w:val="000000"/>
      <w:spacing w:val="0"/>
      <w:w w:val="100"/>
      <w:position w:val="0"/>
      <w:sz w:val="21"/>
      <w:szCs w:val="21"/>
      <w:shd w:val="clear" w:color="auto" w:fill="FFFFFF"/>
      <w:lang w:val="en-US" w:eastAsia="en-US" w:bidi="en-US"/>
    </w:rPr>
  </w:style>
  <w:style w:type="paragraph" w:styleId="192">
    <w:name w:val="No Spacing"/>
    <w:link w:val="193"/>
    <w:qFormat/>
    <w:uiPriority w:val="1"/>
    <w:pPr>
      <w:widowControl w:val="0"/>
      <w:spacing w:line="340" w:lineRule="exact"/>
      <w:jc w:val="center"/>
    </w:pPr>
    <w:rPr>
      <w:rFonts w:ascii="Times New Roman" w:hAnsi="Times New Roman" w:eastAsia="宋体" w:cs="Times New Roman"/>
      <w:snapToGrid w:val="0"/>
      <w:color w:val="1F497D"/>
      <w:sz w:val="21"/>
      <w:szCs w:val="21"/>
      <w:lang w:val="zh-CN" w:eastAsia="zh-CN" w:bidi="ar-SA"/>
    </w:rPr>
  </w:style>
  <w:style w:type="character" w:customStyle="1" w:styleId="193">
    <w:name w:val="无间隔 字符"/>
    <w:link w:val="192"/>
    <w:qFormat/>
    <w:uiPriority w:val="1"/>
    <w:rPr>
      <w:snapToGrid w:val="0"/>
      <w:color w:val="1F497D"/>
      <w:sz w:val="21"/>
      <w:szCs w:val="21"/>
      <w:lang w:val="zh-CN"/>
    </w:rPr>
  </w:style>
  <w:style w:type="paragraph" w:customStyle="1" w:styleId="194">
    <w:name w:val="报告表格内中"/>
    <w:basedOn w:val="1"/>
    <w:qFormat/>
    <w:uiPriority w:val="0"/>
    <w:pPr>
      <w:widowControl/>
      <w:spacing w:before="100" w:beforeAutospacing="1"/>
      <w:jc w:val="center"/>
    </w:pPr>
    <w:rPr>
      <w:sz w:val="24"/>
    </w:rPr>
  </w:style>
  <w:style w:type="character" w:customStyle="1" w:styleId="195">
    <w:name w:val="HTML 预设格式 字符"/>
    <w:basedOn w:val="39"/>
    <w:link w:val="31"/>
    <w:qFormat/>
    <w:uiPriority w:val="99"/>
    <w:rPr>
      <w:rFonts w:ascii="Courier New" w:hAnsi="Courier New" w:cs="Courier New"/>
      <w:kern w:val="2"/>
    </w:rPr>
  </w:style>
  <w:style w:type="paragraph" w:customStyle="1" w:styleId="196">
    <w:name w:val="图"/>
    <w:basedOn w:val="7"/>
    <w:next w:val="1"/>
    <w:qFormat/>
    <w:uiPriority w:val="0"/>
    <w:pPr>
      <w:widowControl w:val="0"/>
      <w:spacing w:line="236" w:lineRule="exact"/>
      <w:ind w:firstLine="0"/>
      <w:jc w:val="both"/>
    </w:pPr>
    <w:rPr>
      <w:rFonts w:ascii="宋体" w:hAnsi="Times New Roman" w:eastAsia="宋体"/>
      <w:kern w:val="2"/>
      <w:sz w:val="18"/>
      <w:szCs w:val="18"/>
    </w:rPr>
  </w:style>
  <w:style w:type="character" w:customStyle="1" w:styleId="197">
    <w:name w:val="font41"/>
    <w:basedOn w:val="39"/>
    <w:qFormat/>
    <w:uiPriority w:val="0"/>
    <w:rPr>
      <w:rFonts w:hint="default" w:ascii="Times New Roman" w:hAnsi="Times New Roman" w:cs="Times New Roman"/>
      <w:color w:val="000000"/>
      <w:sz w:val="21"/>
      <w:szCs w:val="21"/>
      <w:u w:val="none"/>
    </w:rPr>
  </w:style>
  <w:style w:type="character" w:customStyle="1" w:styleId="198">
    <w:name w:val="表格文字 Char"/>
    <w:link w:val="172"/>
    <w:qFormat/>
    <w:uiPriority w:val="0"/>
    <w:rPr>
      <w:rFonts w:ascii="Arial" w:hAnsi="Arial" w:eastAsia="仿宋_GB2312" w:cs="Arial"/>
      <w:color w:val="000000"/>
      <w:spacing w:val="-20"/>
      <w:kern w:val="2"/>
      <w:sz w:val="24"/>
    </w:rPr>
  </w:style>
  <w:style w:type="paragraph" w:customStyle="1" w:styleId="199">
    <w:name w:val="中文报告书样式"/>
    <w:basedOn w:val="1"/>
    <w:qFormat/>
    <w:uiPriority w:val="0"/>
    <w:pPr>
      <w:widowControl/>
      <w:adjustRightInd w:val="0"/>
      <w:spacing w:line="480" w:lineRule="atLeast"/>
      <w:ind w:firstLine="482"/>
      <w:jc w:val="left"/>
      <w:textAlignment w:val="baseline"/>
    </w:pPr>
    <w:rPr>
      <w:kern w:val="24"/>
      <w:sz w:val="24"/>
      <w:szCs w:val="20"/>
    </w:rPr>
  </w:style>
  <w:style w:type="paragraph" w:customStyle="1" w:styleId="200">
    <w:name w:val="表1"/>
    <w:next w:val="1"/>
    <w:link w:val="201"/>
    <w:semiHidden/>
    <w:qFormat/>
    <w:uiPriority w:val="0"/>
    <w:pPr>
      <w:adjustRightInd w:val="0"/>
      <w:snapToGrid w:val="0"/>
      <w:jc w:val="center"/>
    </w:pPr>
    <w:rPr>
      <w:rFonts w:ascii="Times New Roman" w:hAnsi="Times New Roman" w:eastAsia="宋体" w:cs="Times New Roman"/>
      <w:sz w:val="21"/>
      <w:lang w:val="en-US" w:eastAsia="zh-CN" w:bidi="ar-SA"/>
    </w:rPr>
  </w:style>
  <w:style w:type="character" w:customStyle="1" w:styleId="201">
    <w:name w:val="表1 Char"/>
    <w:link w:val="200"/>
    <w:semiHidden/>
    <w:qFormat/>
    <w:uiPriority w:val="0"/>
    <w:rPr>
      <w:sz w:val="21"/>
    </w:rPr>
  </w:style>
  <w:style w:type="character" w:customStyle="1" w:styleId="202">
    <w:name w:val="正文文本首行缩进 2 字符"/>
    <w:basedOn w:val="61"/>
    <w:link w:val="36"/>
    <w:qFormat/>
    <w:uiPriority w:val="0"/>
    <w:rPr>
      <w:rFonts w:ascii="Times New Roman" w:hAnsi="Times New Roman" w:eastAsia="宋体" w:cs="Times New Roman"/>
      <w:kern w:val="2"/>
      <w:sz w:val="24"/>
      <w:szCs w:val="24"/>
    </w:rPr>
  </w:style>
  <w:style w:type="character" w:customStyle="1" w:styleId="203">
    <w:name w:val="题注 Char"/>
    <w:qFormat/>
    <w:uiPriority w:val="0"/>
    <w:rPr>
      <w:rFonts w:ascii="Cambria" w:hAnsi="Cambria" w:eastAsia="黑体"/>
      <w:kern w:val="2"/>
    </w:rPr>
  </w:style>
  <w:style w:type="character" w:customStyle="1" w:styleId="204">
    <w:name w:val="正文文本 (2) + 间距 2 pt"/>
    <w:basedOn w:val="188"/>
    <w:qFormat/>
    <w:uiPriority w:val="0"/>
    <w:rPr>
      <w:rFonts w:ascii="MingLiU" w:hAnsi="MingLiU" w:eastAsia="MingLiU" w:cs="MingLiU"/>
      <w:color w:val="000000"/>
      <w:spacing w:val="50"/>
      <w:w w:val="100"/>
      <w:position w:val="0"/>
      <w:sz w:val="18"/>
      <w:szCs w:val="18"/>
      <w:u w:val="none"/>
      <w:shd w:val="clear" w:color="auto" w:fill="FFFFFF"/>
      <w:lang w:val="zh-TW" w:eastAsia="zh-TW" w:bidi="zh-TW"/>
    </w:rPr>
  </w:style>
  <w:style w:type="character" w:customStyle="1" w:styleId="205">
    <w:name w:val="正文文本 (2) + Sylfaen"/>
    <w:basedOn w:val="188"/>
    <w:qFormat/>
    <w:uiPriority w:val="0"/>
    <w:rPr>
      <w:rFonts w:ascii="Sylfaen" w:hAnsi="Sylfaen" w:eastAsia="Sylfaen" w:cs="Sylfaen"/>
      <w:color w:val="000000"/>
      <w:spacing w:val="0"/>
      <w:w w:val="100"/>
      <w:position w:val="0"/>
      <w:sz w:val="19"/>
      <w:szCs w:val="19"/>
      <w:u w:val="none"/>
      <w:shd w:val="clear" w:color="auto" w:fill="FFFFFF"/>
      <w:lang w:val="en-US" w:eastAsia="en-US" w:bidi="en-US"/>
    </w:rPr>
  </w:style>
  <w:style w:type="character" w:customStyle="1" w:styleId="206">
    <w:name w:val="正文文本 (2) + 5.5 pt"/>
    <w:basedOn w:val="188"/>
    <w:qFormat/>
    <w:uiPriority w:val="0"/>
    <w:rPr>
      <w:rFonts w:ascii="MingLiU" w:hAnsi="MingLiU" w:eastAsia="MingLiU" w:cs="MingLiU"/>
      <w:color w:val="000000"/>
      <w:spacing w:val="0"/>
      <w:w w:val="150"/>
      <w:position w:val="0"/>
      <w:sz w:val="11"/>
      <w:szCs w:val="11"/>
      <w:u w:val="none"/>
      <w:shd w:val="clear" w:color="auto" w:fill="FFFFFF"/>
      <w:lang w:val="zh-TW" w:eastAsia="zh-TW" w:bidi="zh-TW"/>
    </w:rPr>
  </w:style>
  <w:style w:type="character" w:customStyle="1" w:styleId="207">
    <w:name w:val="正文文本 (2) + Gulim"/>
    <w:basedOn w:val="188"/>
    <w:qFormat/>
    <w:uiPriority w:val="0"/>
    <w:rPr>
      <w:rFonts w:ascii="Gulim" w:hAnsi="Gulim" w:eastAsia="Gulim" w:cs="Gulim"/>
      <w:color w:val="000000"/>
      <w:spacing w:val="0"/>
      <w:w w:val="100"/>
      <w:position w:val="0"/>
      <w:sz w:val="9"/>
      <w:szCs w:val="9"/>
      <w:u w:val="none"/>
      <w:shd w:val="clear" w:color="auto" w:fill="FFFFFF"/>
      <w:lang w:val="en-US" w:eastAsia="en-US" w:bidi="en-US"/>
    </w:rPr>
  </w:style>
  <w:style w:type="character" w:customStyle="1" w:styleId="208">
    <w:name w:val="正文文本 (2) + 间距 0 pt"/>
    <w:basedOn w:val="188"/>
    <w:qFormat/>
    <w:uiPriority w:val="0"/>
    <w:rPr>
      <w:rFonts w:ascii="MingLiU" w:hAnsi="MingLiU" w:eastAsia="MingLiU" w:cs="MingLiU"/>
      <w:color w:val="000000"/>
      <w:spacing w:val="10"/>
      <w:w w:val="100"/>
      <w:position w:val="0"/>
      <w:sz w:val="18"/>
      <w:szCs w:val="18"/>
      <w:u w:val="none"/>
      <w:shd w:val="clear" w:color="auto" w:fill="FFFFFF"/>
      <w:lang w:val="zh-TW" w:eastAsia="zh-TW" w:bidi="zh-TW"/>
    </w:rPr>
  </w:style>
  <w:style w:type="character" w:customStyle="1" w:styleId="209">
    <w:name w:val="正文文本 (2) + 间距 4 pt"/>
    <w:basedOn w:val="188"/>
    <w:qFormat/>
    <w:uiPriority w:val="0"/>
    <w:rPr>
      <w:rFonts w:ascii="MingLiU" w:hAnsi="MingLiU" w:eastAsia="MingLiU" w:cs="MingLiU"/>
      <w:color w:val="000000"/>
      <w:spacing w:val="80"/>
      <w:w w:val="100"/>
      <w:position w:val="0"/>
      <w:sz w:val="18"/>
      <w:szCs w:val="18"/>
      <w:u w:val="none"/>
      <w:shd w:val="clear" w:color="auto" w:fill="FFFFFF"/>
      <w:lang w:val="zh-TW" w:eastAsia="zh-TW" w:bidi="zh-TW"/>
    </w:rPr>
  </w:style>
  <w:style w:type="character" w:customStyle="1" w:styleId="210">
    <w:name w:val="正文文本 (2) Exact"/>
    <w:basedOn w:val="39"/>
    <w:qFormat/>
    <w:uiPriority w:val="0"/>
    <w:rPr>
      <w:rFonts w:ascii="MingLiU" w:hAnsi="MingLiU" w:eastAsia="MingLiU" w:cs="MingLiU"/>
      <w:sz w:val="22"/>
      <w:szCs w:val="22"/>
      <w:u w:val="none"/>
    </w:rPr>
  </w:style>
  <w:style w:type="character" w:customStyle="1" w:styleId="211">
    <w:name w:val="无间隔 Char"/>
    <w:qFormat/>
    <w:uiPriority w:val="1"/>
    <w:rPr>
      <w:rFonts w:cs="Arial"/>
      <w:snapToGrid w:val="0"/>
      <w:color w:val="1F497D"/>
      <w:sz w:val="21"/>
      <w:szCs w:val="21"/>
      <w:lang w:val="zh-CN"/>
    </w:rPr>
  </w:style>
  <w:style w:type="table" w:customStyle="1" w:styleId="212">
    <w:name w:val="网格型-中对齐1"/>
    <w:basedOn w:val="3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3">
    <w:name w:val="图表标题 Char"/>
    <w:link w:val="183"/>
    <w:qFormat/>
    <w:uiPriority w:val="0"/>
    <w:rPr>
      <w:rFonts w:cs="宋体"/>
      <w:b/>
      <w:kern w:val="2"/>
      <w:sz w:val="24"/>
      <w:szCs w:val="24"/>
    </w:rPr>
  </w:style>
  <w:style w:type="character" w:customStyle="1" w:styleId="214">
    <w:name w:val="我的正文 字符"/>
    <w:qFormat/>
    <w:uiPriority w:val="0"/>
    <w:rPr>
      <w:kern w:val="2"/>
      <w:sz w:val="24"/>
      <w:szCs w:val="24"/>
    </w:rPr>
  </w:style>
  <w:style w:type="paragraph" w:customStyle="1" w:styleId="215">
    <w:name w:val="标题1"/>
    <w:basedOn w:val="1"/>
    <w:next w:val="1"/>
    <w:qFormat/>
    <w:uiPriority w:val="10"/>
    <w:pPr>
      <w:widowControl/>
      <w:jc w:val="left"/>
      <w:outlineLvl w:val="0"/>
    </w:pPr>
    <w:rPr>
      <w:rFonts w:ascii="Cambria" w:hAnsi="Cambria"/>
      <w:b/>
      <w:bCs/>
      <w:sz w:val="32"/>
      <w:szCs w:val="32"/>
    </w:rPr>
  </w:style>
  <w:style w:type="character" w:customStyle="1" w:styleId="216">
    <w:name w:val="标题 字符"/>
    <w:basedOn w:val="39"/>
    <w:link w:val="33"/>
    <w:qFormat/>
    <w:uiPriority w:val="10"/>
    <w:rPr>
      <w:rFonts w:ascii="Cambria" w:hAnsi="Cambria"/>
      <w:b/>
      <w:bCs/>
      <w:kern w:val="2"/>
      <w:sz w:val="32"/>
      <w:szCs w:val="32"/>
    </w:rPr>
  </w:style>
  <w:style w:type="character" w:customStyle="1" w:styleId="217">
    <w:name w:val="未处理的提及1"/>
    <w:basedOn w:val="39"/>
    <w:semiHidden/>
    <w:unhideWhenUsed/>
    <w:qFormat/>
    <w:uiPriority w:val="99"/>
    <w:rPr>
      <w:color w:val="605E5C"/>
      <w:shd w:val="clear" w:color="auto" w:fill="E1DFDD"/>
    </w:rPr>
  </w:style>
  <w:style w:type="character" w:customStyle="1" w:styleId="218">
    <w:name w:val="表格文字内容 Char"/>
    <w:link w:val="219"/>
    <w:qFormat/>
    <w:uiPriority w:val="0"/>
    <w:rPr>
      <w:rFonts w:hAnsi="宋体" w:cs="宋体"/>
      <w:kern w:val="2"/>
      <w:sz w:val="18"/>
    </w:rPr>
  </w:style>
  <w:style w:type="paragraph" w:customStyle="1" w:styleId="219">
    <w:name w:val="表格文字内容"/>
    <w:basedOn w:val="1"/>
    <w:link w:val="218"/>
    <w:qFormat/>
    <w:uiPriority w:val="0"/>
    <w:pPr>
      <w:spacing w:line="240" w:lineRule="exact"/>
      <w:jc w:val="center"/>
    </w:pPr>
    <w:rPr>
      <w:rFonts w:hAnsi="宋体" w:cs="宋体"/>
      <w:sz w:val="18"/>
      <w:szCs w:val="20"/>
    </w:rPr>
  </w:style>
  <w:style w:type="character" w:styleId="220">
    <w:name w:val="Placeholder Text"/>
    <w:basedOn w:val="39"/>
    <w:semiHidden/>
    <w:qFormat/>
    <w:uiPriority w:val="99"/>
    <w:rPr>
      <w:color w:val="808080"/>
    </w:rPr>
  </w:style>
  <w:style w:type="character" w:customStyle="1" w:styleId="221">
    <w:name w:val="标题 字符1"/>
    <w:basedOn w:val="39"/>
    <w:qFormat/>
    <w:uiPriority w:val="0"/>
    <w:rPr>
      <w:rFonts w:asciiTheme="majorHAnsi" w:hAnsiTheme="majorHAnsi" w:eastAsiaTheme="majorEastAsia" w:cstheme="majorBidi"/>
      <w:b/>
      <w:bCs/>
      <w:kern w:val="2"/>
      <w:sz w:val="32"/>
      <w:szCs w:val="32"/>
    </w:rPr>
  </w:style>
  <w:style w:type="table" w:customStyle="1" w:styleId="222">
    <w:name w:val="网格型刘2"/>
    <w:basedOn w:val="37"/>
    <w:qFormat/>
    <w:uiPriority w:val="39"/>
    <w:pPr>
      <w:adjustRightInd w:val="0"/>
      <w:snapToGrid w:val="0"/>
      <w:spacing w:beforeLines="20" w:afterLines="20"/>
      <w:jc w:val="both"/>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customStyle="1" w:styleId="223">
    <w:name w:val="网格型-中对齐11"/>
    <w:basedOn w:val="37"/>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4">
    <w:name w:val="A宋体新罗马五号字体"/>
    <w:basedOn w:val="1"/>
    <w:link w:val="225"/>
    <w:qFormat/>
    <w:uiPriority w:val="0"/>
    <w:pPr>
      <w:adjustRightInd w:val="0"/>
      <w:snapToGrid w:val="0"/>
      <w:jc w:val="center"/>
    </w:pPr>
    <w:rPr>
      <w:rFonts w:cs="宋体"/>
      <w:color w:val="000000" w:themeColor="text1"/>
      <w:szCs w:val="18"/>
      <w14:textFill>
        <w14:solidFill>
          <w14:schemeClr w14:val="tx1"/>
        </w14:solidFill>
      </w14:textFill>
    </w:rPr>
  </w:style>
  <w:style w:type="character" w:customStyle="1" w:styleId="225">
    <w:name w:val="A宋体新罗马五号字体 字符"/>
    <w:basedOn w:val="39"/>
    <w:link w:val="224"/>
    <w:qFormat/>
    <w:uiPriority w:val="0"/>
    <w:rPr>
      <w:rFonts w:cs="宋体"/>
      <w:color w:val="000000" w:themeColor="text1"/>
      <w:kern w:val="2"/>
      <w:sz w:val="21"/>
      <w:szCs w:val="18"/>
      <w14:textFill>
        <w14:solidFill>
          <w14:schemeClr w14:val="tx1"/>
        </w14:solidFill>
      </w14:textFill>
    </w:rPr>
  </w:style>
  <w:style w:type="table" w:customStyle="1" w:styleId="226">
    <w:name w:val="网格型刘3"/>
    <w:basedOn w:val="37"/>
    <w:qFormat/>
    <w:uiPriority w:val="39"/>
    <w:pPr>
      <w:adjustRightInd w:val="0"/>
      <w:snapToGrid w:val="0"/>
      <w:spacing w:beforeLines="20" w:afterLines="20"/>
      <w:jc w:val="both"/>
    </w:pPr>
    <w:rPr>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character" w:customStyle="1" w:styleId="227">
    <w:name w:val="未处理的提及2"/>
    <w:basedOn w:val="39"/>
    <w:semiHidden/>
    <w:unhideWhenUsed/>
    <w:qFormat/>
    <w:uiPriority w:val="99"/>
    <w:rPr>
      <w:color w:val="605E5C"/>
      <w:shd w:val="clear" w:color="auto" w:fill="E1DFDD"/>
    </w:rPr>
  </w:style>
  <w:style w:type="character" w:customStyle="1" w:styleId="228">
    <w:name w:val="文本 Char Char"/>
    <w:link w:val="229"/>
    <w:qFormat/>
    <w:uiPriority w:val="0"/>
    <w:rPr>
      <w:sz w:val="24"/>
    </w:rPr>
  </w:style>
  <w:style w:type="paragraph" w:customStyle="1" w:styleId="229">
    <w:name w:val="文本"/>
    <w:basedOn w:val="1"/>
    <w:next w:val="1"/>
    <w:link w:val="228"/>
    <w:qFormat/>
    <w:uiPriority w:val="0"/>
    <w:pPr>
      <w:widowControl/>
      <w:spacing w:line="360" w:lineRule="auto"/>
      <w:ind w:firstLine="200" w:firstLineChars="200"/>
    </w:pPr>
    <w:rPr>
      <w:kern w:val="0"/>
      <w:sz w:val="24"/>
      <w:szCs w:val="20"/>
    </w:rPr>
  </w:style>
  <w:style w:type="paragraph" w:customStyle="1" w:styleId="230">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231">
    <w:name w:val="Table Paragraph"/>
    <w:basedOn w:val="1"/>
    <w:qFormat/>
    <w:uiPriority w:val="1"/>
    <w:pPr>
      <w:jc w:val="center"/>
    </w:pPr>
    <w:rPr>
      <w:rFonts w:ascii="宋体" w:hAnsi="宋体" w:cs="宋体"/>
    </w:rPr>
  </w:style>
  <w:style w:type="paragraph" w:customStyle="1" w:styleId="232">
    <w:name w:val="正文（通）"/>
    <w:basedOn w:val="1"/>
    <w:qFormat/>
    <w:uiPriority w:val="0"/>
    <w:pPr>
      <w:spacing w:line="360" w:lineRule="auto"/>
      <w:ind w:firstLine="200" w:firstLineChars="200"/>
      <w:jc w:val="left"/>
    </w:pPr>
    <w:rPr>
      <w:sz w:val="24"/>
    </w:rPr>
  </w:style>
  <w:style w:type="paragraph" w:customStyle="1" w:styleId="233">
    <w:name w:val="表的标题"/>
    <w:basedOn w:val="82"/>
    <w:qFormat/>
    <w:uiPriority w:val="0"/>
    <w:pPr>
      <w:framePr w:wrap="auto" w:vAnchor="margin" w:hAnchor="text" w:yAlign="inline"/>
      <w:autoSpaceDE w:val="0"/>
      <w:autoSpaceDN w:val="0"/>
      <w:spacing w:line="276" w:lineRule="auto"/>
    </w:pPr>
    <w:rPr>
      <w:rFonts w:cs="Times New Roman"/>
    </w:rPr>
  </w:style>
  <w:style w:type="paragraph" w:customStyle="1" w:styleId="234">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235">
    <w:name w:val="Table Grid_0"/>
    <w:basedOn w:val="37"/>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6">
    <w:name w:val="正文 宋体"/>
    <w:basedOn w:val="12"/>
    <w:qFormat/>
    <w:uiPriority w:val="0"/>
    <w:pPr>
      <w:spacing w:after="0" w:line="360" w:lineRule="auto"/>
      <w:ind w:firstLine="480" w:firstLineChars="200"/>
    </w:pPr>
    <w:rPr>
      <w:rFonts w:ascii="宋体" w:hAnsi="宋体" w:cs="宋体"/>
      <w:sz w:val="24"/>
    </w:rPr>
  </w:style>
  <w:style w:type="paragraph" w:customStyle="1" w:styleId="237">
    <w:name w:val="默认段落"/>
    <w:basedOn w:val="1"/>
    <w:qFormat/>
    <w:uiPriority w:val="0"/>
  </w:style>
  <w:style w:type="paragraph" w:customStyle="1" w:styleId="238">
    <w:name w:val="样式 表中文字 + 小四"/>
    <w:basedOn w:val="1"/>
    <w:qFormat/>
    <w:uiPriority w:val="0"/>
    <w:pPr>
      <w:widowControl/>
      <w:jc w:val="center"/>
    </w:pPr>
    <w:rPr>
      <w:rFonts w:ascii="宋体" w:hAnsi="宋体" w:cs="宋体"/>
      <w:kern w:val="0"/>
      <w:szCs w:val="21"/>
    </w:rPr>
  </w:style>
  <w:style w:type="paragraph" w:customStyle="1" w:styleId="239">
    <w:name w:val="A表格"/>
    <w:basedOn w:val="1"/>
    <w:qFormat/>
    <w:uiPriority w:val="0"/>
    <w:pPr>
      <w:jc w:val="center"/>
    </w:pPr>
    <w:rPr>
      <w:color w:val="000000"/>
      <w:szCs w:val="21"/>
      <w:lang w:val="zh-CN"/>
    </w:rPr>
  </w:style>
  <w:style w:type="paragraph" w:customStyle="1" w:styleId="240">
    <w:name w:val="表格五号"/>
    <w:qFormat/>
    <w:uiPriority w:val="0"/>
    <w:pPr>
      <w:spacing w:line="280" w:lineRule="exact"/>
      <w:contextualSpacing/>
      <w:jc w:val="center"/>
    </w:pPr>
    <w:rPr>
      <w:rFonts w:ascii="Times New Roman" w:hAnsi="Times New Roman" w:cs="Times New Roman" w:eastAsiaTheme="minorEastAsia"/>
      <w:sz w:val="21"/>
      <w:szCs w:val="24"/>
      <w:lang w:val="en-US" w:eastAsia="zh-CN" w:bidi="ar-SA"/>
    </w:rPr>
  </w:style>
  <w:style w:type="paragraph" w:customStyle="1" w:styleId="241">
    <w:name w:val="表内文字"/>
    <w:basedOn w:val="1"/>
    <w:qFormat/>
    <w:uiPriority w:val="0"/>
    <w:pPr>
      <w:jc w:val="center"/>
      <w:textAlignment w:val="center"/>
    </w:pPr>
    <w:rPr>
      <w:snapToGrid w:val="0"/>
      <w:kern w:val="0"/>
      <w:szCs w:val="20"/>
    </w:rPr>
  </w:style>
  <w:style w:type="paragraph" w:customStyle="1" w:styleId="242">
    <w:name w:val="无间隔1"/>
    <w:qFormat/>
    <w:uiPriority w:val="0"/>
    <w:pPr>
      <w:widowControl w:val="0"/>
      <w:ind w:left="-23" w:leftChars="-11" w:right="-29" w:firstLine="67" w:firstLineChars="32"/>
      <w:jc w:val="center"/>
    </w:pPr>
    <w:rPr>
      <w:rFonts w:ascii="Times New Roman" w:hAnsi="Times New Roman" w:eastAsia="宋体" w:cs="Times New Roman"/>
      <w:color w:val="0070C0"/>
      <w:sz w:val="21"/>
      <w:szCs w:val="21"/>
      <w:lang w:val="zh-CN" w:eastAsia="zh-CN" w:bidi="ar-SA"/>
    </w:rPr>
  </w:style>
  <w:style w:type="paragraph" w:customStyle="1" w:styleId="243">
    <w:name w:val="样式4"/>
    <w:basedOn w:val="7"/>
    <w:qFormat/>
    <w:uiPriority w:val="0"/>
    <w:pPr>
      <w:ind w:firstLine="480" w:firstLineChars="200"/>
    </w:pPr>
    <w:rPr>
      <w:rFonts w:eastAsia="华文中宋"/>
      <w:color w:val="000000"/>
      <w:kern w:val="0"/>
      <w:sz w:val="24"/>
    </w:rPr>
  </w:style>
  <w:style w:type="paragraph" w:customStyle="1" w:styleId="244">
    <w:name w:val="表文_E"/>
    <w:basedOn w:val="245"/>
    <w:qFormat/>
    <w:uiPriority w:val="0"/>
    <w:pPr>
      <w:spacing w:line="276" w:lineRule="auto"/>
    </w:pPr>
    <w:rPr>
      <w:rFonts w:eastAsiaTheme="minorEastAsia"/>
      <w:sz w:val="18"/>
    </w:rPr>
  </w:style>
  <w:style w:type="paragraph" w:customStyle="1" w:styleId="245">
    <w:name w:val="表格e"/>
    <w:basedOn w:val="1"/>
    <w:qFormat/>
    <w:uiPriority w:val="0"/>
    <w:pPr>
      <w:suppressAutoHyphens/>
      <w:spacing w:line="240" w:lineRule="auto"/>
      <w:ind w:firstLine="0" w:firstLineChars="0"/>
      <w:jc w:val="center"/>
      <w:textAlignment w:val="baseline"/>
    </w:pPr>
    <w:rPr>
      <w:kern w:val="0"/>
      <w:sz w:val="21"/>
      <w:szCs w:val="20"/>
    </w:rPr>
  </w:style>
  <w:style w:type="table" w:customStyle="1" w:styleId="246">
    <w:name w:val="*青龙标准样式9"/>
    <w:basedOn w:val="37"/>
    <w:qFormat/>
    <w:uiPriority w:val="0"/>
    <w:pPr>
      <w:spacing w:line="0" w:lineRule="atLeast"/>
    </w:pPr>
    <w:rPr>
      <w:szCs w:val="21"/>
    </w:r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247">
    <w:name w:val="图号"/>
    <w:basedOn w:val="248"/>
    <w:qFormat/>
    <w:uiPriority w:val="0"/>
    <w:pPr>
      <w:spacing w:line="360" w:lineRule="auto"/>
      <w:jc w:val="center"/>
    </w:pPr>
    <w:rPr>
      <w:color w:val="2D6BB5"/>
    </w:rPr>
  </w:style>
  <w:style w:type="paragraph" w:customStyle="1" w:styleId="248">
    <w:name w:val="表号_E"/>
    <w:basedOn w:val="249"/>
    <w:next w:val="249"/>
    <w:qFormat/>
    <w:uiPriority w:val="0"/>
    <w:pPr>
      <w:jc w:val="left"/>
    </w:pPr>
    <w:rPr>
      <w:szCs w:val="21"/>
    </w:rPr>
  </w:style>
  <w:style w:type="paragraph" w:customStyle="1" w:styleId="249">
    <w:name w:val="表头_E"/>
    <w:basedOn w:val="250"/>
    <w:qFormat/>
    <w:uiPriority w:val="0"/>
  </w:style>
  <w:style w:type="paragraph" w:customStyle="1" w:styleId="250">
    <w:name w:val="表头e"/>
    <w:basedOn w:val="1"/>
    <w:qFormat/>
    <w:uiPriority w:val="0"/>
    <w:pPr>
      <w:spacing w:line="240" w:lineRule="auto"/>
      <w:ind w:firstLine="0" w:firstLineChars="0"/>
      <w:jc w:val="center"/>
    </w:pPr>
    <w:rPr>
      <w:rFonts w:eastAsia="黑体" w:cs="宋体"/>
      <w:sz w:val="21"/>
    </w:rPr>
  </w:style>
  <w:style w:type="paragraph" w:customStyle="1" w:styleId="251">
    <w:name w:val="4E"/>
    <w:basedOn w:val="252"/>
    <w:qFormat/>
    <w:uiPriority w:val="0"/>
    <w:pPr>
      <w:numPr>
        <w:numId w:val="4"/>
      </w:numPr>
      <w:tabs>
        <w:tab w:val="left" w:pos="0"/>
      </w:tabs>
    </w:pPr>
    <w:rPr>
      <w:rFonts w:eastAsia="微软雅黑"/>
    </w:rPr>
  </w:style>
  <w:style w:type="paragraph" w:customStyle="1" w:styleId="252">
    <w:name w:val="标题4e"/>
    <w:basedOn w:val="1"/>
    <w:qFormat/>
    <w:uiPriority w:val="0"/>
    <w:pPr>
      <w:numPr>
        <w:ilvl w:val="3"/>
        <w:numId w:val="5"/>
      </w:numPr>
      <w:ind w:firstLineChars="0"/>
      <w:jc w:val="left"/>
      <w:outlineLvl w:val="3"/>
    </w:pPr>
    <w:rPr>
      <w:rFonts w:eastAsia="黑体"/>
    </w:rPr>
  </w:style>
  <w:style w:type="paragraph" w:customStyle="1" w:styleId="253">
    <w:name w:val="Table Text"/>
    <w:basedOn w:val="1"/>
    <w:semiHidden/>
    <w:qFormat/>
    <w:uiPriority w:val="0"/>
    <w:rPr>
      <w:rFonts w:ascii="宋体" w:hAnsi="宋体" w:eastAsia="宋体" w:cs="宋体"/>
      <w:sz w:val="24"/>
      <w:szCs w:val="24"/>
      <w:lang w:val="en-US" w:eastAsia="en-US" w:bidi="ar-SA"/>
    </w:rPr>
  </w:style>
  <w:style w:type="table" w:customStyle="1" w:styleId="25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emf"/><Relationship Id="rId22" Type="http://schemas.openxmlformats.org/officeDocument/2006/relationships/oleObject" Target="embeddings/oleObject1.bin"/><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91</Pages>
  <Words>61341</Words>
  <Characters>66767</Characters>
  <Lines>575</Lines>
  <Paragraphs>162</Paragraphs>
  <TotalTime>6</TotalTime>
  <ScaleCrop>false</ScaleCrop>
  <LinksUpToDate>false</LinksUpToDate>
  <CharactersWithSpaces>67006</CharactersWithSpaces>
  <Application>WPS Office_11.8.2.12019_F1E327BC-269C-435d-A152-05C5408002CA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2023-05-28T15:54:00Z</dcterms:created>
  <dc:creator>lhj</dc:creator>
  <cp:lastModifiedBy>hbj2</cp:lastModifiedBy>
  <cp:lastPrinted>2020-12-24T09:50:00Z</cp:lastPrinted>
  <dcterms:modified xsi:type="dcterms:W3CDTF">2024-06-04T11:22:57Z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9D362DE4C35BE7F291885E66329666D7</vt:lpwstr>
  </property>
</Properties>
</file>