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pStyle w:val="3"/>
        <w:ind w:left="433"/>
        <w:jc w:val="center"/>
        <w:rPr>
          <w:rFonts w:hint="default"/>
        </w:rPr>
      </w:pPr>
      <w:r>
        <w:rPr>
          <w:rFonts w:hint="default" w:ascii="Times New Roman" w:hAnsi="Times New Roman" w:eastAsia="方正小标宋简体" w:cs="Times New Roman"/>
          <w:color w:val="auto"/>
          <w:sz w:val="44"/>
        </w:rPr>
        <w:t>巩固拓展脱贫</w:t>
      </w:r>
      <w:r>
        <w:rPr>
          <w:rFonts w:hint="eastAsia" w:ascii="Times New Roman" w:hAnsi="Times New Roman" w:eastAsia="方正小标宋简体" w:cs="Times New Roman"/>
          <w:color w:val="auto"/>
          <w:sz w:val="44"/>
          <w:lang w:val="en-US" w:eastAsia="zh-CN"/>
        </w:rPr>
        <w:t>攻坚</w:t>
      </w:r>
      <w:r>
        <w:rPr>
          <w:rFonts w:hint="default" w:ascii="Times New Roman" w:hAnsi="Times New Roman" w:eastAsia="方正小标宋简体" w:cs="Times New Roman"/>
          <w:color w:val="auto"/>
          <w:sz w:val="44"/>
        </w:rPr>
        <w:t>成果“回头看”核查内容</w:t>
      </w:r>
    </w:p>
    <w:tbl>
      <w:tblPr>
        <w:tblStyle w:val="7"/>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018"/>
        <w:gridCol w:w="1257"/>
        <w:gridCol w:w="1921"/>
        <w:gridCol w:w="2045"/>
        <w:gridCol w:w="7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类别</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黑体" w:cs="Times New Roman"/>
                <w:b/>
                <w:bCs/>
                <w:i w:val="0"/>
                <w:iCs w:val="0"/>
                <w:color w:val="000000"/>
                <w:sz w:val="21"/>
                <w:szCs w:val="21"/>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责任部门</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核查内容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责任落实情况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各级党委和政府主体责任落实情况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镇党政综合办</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党委政府主要负责同志责任落实情况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是否召开会议，亲自部署，全面巩固拓展脱贫攻坚成果同乡村振兴有效衔接传达学习贯彻中省关于巩固拓展脱贫攻坚成果同乡村振兴有效衔接以及“三农”工作的重要讲话和重要文件等。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是否经常过问，亲自推动。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是否亲自调研、督促、指导巩固拓展脱贫攻坚成果同乡村振兴有效衔接工作。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党委政府分管负责同志责任落实情况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是否召开专题会议研究部署巩固拓展脱贫攻坚成果同乡村振兴有效衔接的重点工作，协调推进部门分工落实。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是否亲自调研、督促、指导巩固拓展脱贫攻坚成果同乡村振兴有效衔接工作。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党委政府其他负责同志责任落实情况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是否召开专题会议，研究部署分管领域巩固拓展脱贫攻坚成果同乡村振兴有效衔接同乡村振兴有效衔接重点工作。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是否多次调研、督促、指导巩固拓展脱贫攻坚成果同乡村振兴有效衔接工作。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党委农村工作领导小组牵头抓总、统筹协调责任落实情况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镇党政综合办</w:t>
            </w:r>
            <w:r>
              <w:rPr>
                <w:rFonts w:hint="default" w:ascii="Times New Roman" w:hAnsi="Times New Roman" w:eastAsia="仿宋_GB2312" w:cs="Times New Roman"/>
                <w:i w:val="0"/>
                <w:iCs w:val="0"/>
                <w:color w:val="000000"/>
                <w:kern w:val="0"/>
                <w:sz w:val="21"/>
                <w:szCs w:val="21"/>
                <w:u w:val="none"/>
                <w:lang w:val="en-US" w:eastAsia="zh-CN" w:bidi="ar"/>
              </w:rPr>
              <w:t>、</w:t>
            </w: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镇党委</w:t>
            </w:r>
            <w:r>
              <w:rPr>
                <w:rFonts w:hint="default" w:ascii="Times New Roman" w:hAnsi="Times New Roman" w:eastAsia="仿宋_GB2312" w:cs="Times New Roman"/>
                <w:i w:val="0"/>
                <w:iCs w:val="0"/>
                <w:color w:val="000000"/>
                <w:kern w:val="0"/>
                <w:sz w:val="21"/>
                <w:szCs w:val="21"/>
                <w:u w:val="none"/>
                <w:lang w:val="en-US" w:eastAsia="zh-CN" w:bidi="ar"/>
              </w:rPr>
              <w:t>是否召开会议，研究部署巩固拓展脱贫攻坚成果同乡村振兴有效衔接工作。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是否形成常态化检查督导机制，发现问题是否及时整改到位等。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是否设立巩固拓展脱贫攻坚成果同乡村振兴有效衔接专项工作领导小组，运行是否顺畅。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组织培训情况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分管领导是否参加业务培训。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是否组织开展巩固拓展脱贫攻坚成果同乡村振兴有效衔接业务培训。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相关行业部门责任落实情况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各专项办公室</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相关行业部门是否召开专题会议，研究部署本行业巩固拓展脱贫攻坚成果同乡村振兴有效衔接工作。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行业部门巩固拓展脱贫攻坚成果同乡村振兴有效衔接重点工作、重点项目推进落实情况。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2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2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是否落实行业部门帮扶责任</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6</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政策落实情况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衔接政策落地落实情况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各专项办公室</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脱贫人口义务教育、基本医疗、住房安全、饮水安全、兜底保障等政策措施是否保持总体稳定，及落实情况。</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7</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特色产业、脱贫人口就业等政策措施落实情况。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防返贫动态监测帮扶工作</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机制完善情况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是否制定健全防止返贫监测帮扶机制。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19</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是否制定县级部门推送风险线索机制。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0</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是否制定防范规模性返贫致贫风险工作预案制定情况。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1</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防返贫动态监测帮扶工作</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风险推送情况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、村是否建立</w:t>
            </w:r>
            <w:r>
              <w:rPr>
                <w:rFonts w:hint="eastAsia" w:ascii="Times New Roman" w:hAnsi="Times New Roman" w:eastAsia="仿宋_GB2312" w:cs="Times New Roman"/>
                <w:i w:val="0"/>
                <w:iCs w:val="0"/>
                <w:color w:val="000000"/>
                <w:kern w:val="0"/>
                <w:sz w:val="21"/>
                <w:szCs w:val="21"/>
                <w:u w:val="none"/>
                <w:lang w:val="en-US" w:eastAsia="zh-CN" w:bidi="ar"/>
              </w:rPr>
              <w:t>县级</w:t>
            </w:r>
            <w:r>
              <w:rPr>
                <w:rFonts w:hint="default" w:ascii="Times New Roman" w:hAnsi="Times New Roman" w:eastAsia="仿宋_GB2312" w:cs="Times New Roman"/>
                <w:i w:val="0"/>
                <w:iCs w:val="0"/>
                <w:color w:val="000000"/>
                <w:kern w:val="0"/>
                <w:sz w:val="21"/>
                <w:szCs w:val="21"/>
                <w:u w:val="none"/>
                <w:lang w:val="en-US" w:eastAsia="zh-CN" w:bidi="ar"/>
              </w:rPr>
              <w:t>部门推送风险线索台账，是否逐一分析研判并入户核实，核实结果是否进行反馈并形成工作闭环，核实不纳入的是否说明情况。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集中排查工作情况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按照2022年5月第一轮集中排查要求，结合实际制定工作方案开展排查，是否进行全覆盖培训，是否对11类重点人群（脱贫户、监测对象以及其他重点人群）建立台账并全覆盖入户走访，对排查出的风险是否研判，符合条件的是否及时按程序识别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是否按照2022年10月第二轮排查要求，制定工作方案，对重点地区、重点群体、重点问题开展排查，是否进行全覆盖培训，对排查出的风险是否研判，符合条件的是否及时按程序识别认定。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识别认定情况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认定程序是否规范，自5月起是否按照“风险研判、入户核查、信息比对、评议公示、乡镇初审、县级审定”的程序认定监测对象，识别认定是否自入户核查之日起15天内完成。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5</w:t>
            </w:r>
          </w:p>
        </w:tc>
        <w:tc>
          <w:tcPr>
            <w:tcW w:w="3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是否存在“漏测”，是否存在“体外循环”（落实了帮扶措施未纳入监测对象），是否存在风险线索反馈但未分析研判或入户核实。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26</w:t>
            </w:r>
          </w:p>
        </w:tc>
        <w:tc>
          <w:tcPr>
            <w:tcW w:w="34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防返贫动态监测帮扶工作</w:t>
            </w:r>
          </w:p>
        </w:tc>
        <w:tc>
          <w:tcPr>
            <w:tcW w:w="651"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69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帮扶落实情况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是否存在“失帮”，是否根据监测对象的返贫致贫风险落实针对性帮扶措施，落实帮扶措施是否及时，自5月起是否对认定监测对象和制定帮扶措施计划同步进行了审定公告。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27</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是否落实监测联系人，监测联系人是否通过各种方式每月跟踪监测对象收支情况、“两不愁三保障”及安全饮水状况、帮扶措施落实情况等。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28</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风险消除情况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风险消除程序是否规范，自5月起是否按照“乡村入户核实、村级评议公示、县级复核审定、公告标注”的程序消除风险。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29</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是否存在“错消”，自5月来风险消除对象是否满足三个条件：1.收入稳定超过2022年监测收入标准6800元；2.“三保障”及饮水安全持续巩固；3.返贫致贫风险已经稳定消除或自然消除。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30</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家庭无劳动能力的监测户，原则在过渡期不进行风险消除，是否存在此类现象。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1</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档案资料情况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防止返贫动态监测和帮扶工作档案资料是否规范，是否按照《四川省防止返贫动态监测和帮扶工作手册》规范完善了档案资料。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2</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农村低收入人口常态化帮扶情况 </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镇社会事务中心</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是否开展</w:t>
            </w:r>
            <w:r>
              <w:rPr>
                <w:rStyle w:val="15"/>
                <w:rFonts w:hint="default" w:ascii="Times New Roman" w:hAnsi="Times New Roman" w:eastAsia="仿宋_GB2312" w:cs="Times New Roman"/>
                <w:sz w:val="21"/>
                <w:szCs w:val="21"/>
                <w:lang w:val="en-US" w:eastAsia="zh-CN" w:bidi="ar"/>
              </w:rPr>
              <w:t>2022</w:t>
            </w:r>
            <w:r>
              <w:rPr>
                <w:rStyle w:val="16"/>
                <w:rFonts w:hint="default" w:ascii="Times New Roman" w:hAnsi="Times New Roman" w:eastAsia="仿宋_GB2312" w:cs="Times New Roman"/>
                <w:sz w:val="21"/>
                <w:szCs w:val="21"/>
                <w:lang w:val="en-US" w:eastAsia="zh-CN" w:bidi="ar"/>
              </w:rPr>
              <w:t>年农村低收入人口常态化帮扶工作情况。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是否构建低收入人口</w:t>
            </w:r>
            <w:r>
              <w:rPr>
                <w:rStyle w:val="15"/>
                <w:rFonts w:hint="default" w:ascii="Times New Roman" w:hAnsi="Times New Roman" w:eastAsia="仿宋_GB2312" w:cs="Times New Roman"/>
                <w:sz w:val="21"/>
                <w:szCs w:val="21"/>
                <w:lang w:val="en-US" w:eastAsia="zh-CN" w:bidi="ar"/>
              </w:rPr>
              <w:t>“</w:t>
            </w:r>
            <w:r>
              <w:rPr>
                <w:rStyle w:val="16"/>
                <w:rFonts w:hint="default" w:ascii="Times New Roman" w:hAnsi="Times New Roman" w:eastAsia="仿宋_GB2312" w:cs="Times New Roman"/>
                <w:sz w:val="21"/>
                <w:szCs w:val="21"/>
                <w:lang w:val="en-US" w:eastAsia="zh-CN" w:bidi="ar"/>
              </w:rPr>
              <w:t>信息采集、动态监测、预警核实、救助帮扶、数据归集</w:t>
            </w:r>
            <w:r>
              <w:rPr>
                <w:rStyle w:val="15"/>
                <w:rFonts w:hint="default" w:ascii="Times New Roman" w:hAnsi="Times New Roman" w:eastAsia="仿宋_GB2312" w:cs="Times New Roman"/>
                <w:sz w:val="21"/>
                <w:szCs w:val="21"/>
                <w:lang w:val="en-US" w:eastAsia="zh-CN" w:bidi="ar"/>
              </w:rPr>
              <w:t>”</w:t>
            </w:r>
            <w:r>
              <w:rPr>
                <w:rStyle w:val="16"/>
                <w:rFonts w:hint="default" w:ascii="Times New Roman" w:hAnsi="Times New Roman" w:eastAsia="仿宋_GB2312" w:cs="Times New Roman"/>
                <w:sz w:val="21"/>
                <w:szCs w:val="21"/>
                <w:lang w:val="en-US" w:eastAsia="zh-CN" w:bidi="ar"/>
              </w:rPr>
              <w:t>闭环。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4</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完善落实低收入人口分类救助政策，符合教育、医疗、住房、就业等专项救助条件的，是否由相关部门依规纳入相应救助范围。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5</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兜底保障是否根据当地实际情况进行调整，特别是农村低保对象收入核算扣减成本、救助渐退期、急难社会救助、城乡居民基本养老保险基础养老金不计入低保家庭、特困人员收入等方面政策措施落实情况。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36</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是否为符合条件的低保对象、特困人口、重度残疾人等缴费困难群体代缴城乡居民养老保险费。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37</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兜底保障与监测帮扶等工作衔接落实情况。新增低保且符合监测对象的，是否及时纳入监测帮扶。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38</w:t>
            </w:r>
          </w:p>
        </w:tc>
        <w:tc>
          <w:tcPr>
            <w:tcW w:w="34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易地搬迁后续扶持工作</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r>
              <w:rPr>
                <w:rFonts w:hint="default" w:ascii="Times New Roman" w:hAnsi="Times New Roman" w:eastAsia="仿宋_GB2312" w:cs="Times New Roman"/>
                <w:i w:val="0"/>
                <w:iCs w:val="0"/>
                <w:color w:val="000000"/>
                <w:kern w:val="0"/>
                <w:sz w:val="21"/>
                <w:szCs w:val="21"/>
                <w:u w:val="none"/>
                <w:lang w:val="en-US" w:eastAsia="zh-CN" w:bidi="ar"/>
              </w:rPr>
              <w:t>、</w:t>
            </w:r>
            <w:r>
              <w:rPr>
                <w:rFonts w:hint="eastAsia" w:ascii="Times New Roman" w:hAnsi="Times New Roman" w:eastAsia="仿宋_GB2312" w:cs="Times New Roman"/>
                <w:i w:val="0"/>
                <w:iCs w:val="0"/>
                <w:color w:val="000000"/>
                <w:kern w:val="0"/>
                <w:sz w:val="21"/>
                <w:szCs w:val="21"/>
                <w:u w:val="none"/>
                <w:lang w:val="en-US" w:eastAsia="zh-CN" w:bidi="ar"/>
              </w:rPr>
              <w:t>镇就业与劳动保障中心、镇村建设管理中心</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组织领导</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是否印发组织领导和沟通协调机制的文件（含已有相关沟通协调机制工作内容涵盖易地扶贫搬迁后续工作）。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39</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促进扩大就业</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是否实现“零就业”搬迁家庭动态清零。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40</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年度后续扶持项目实施</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年度后续扶持项目是否编制清单；根据县上印发的项目实施方案，核定项目建设进度和资金支出进度是否符合方案要求。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41</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脱贫人口、监测对象稳岗就业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镇就业与劳动保障中心</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脱贫人口务工人数是否不低于2021年。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42</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有劳动能力的脱贫户是否实现至少有1人就业。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43</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公益性岗位管理是否规范。</w:t>
            </w: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村公益性岗位吸纳脱贫人口数量是否实现稳中有增。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44</w:t>
            </w:r>
          </w:p>
        </w:tc>
        <w:tc>
          <w:tcPr>
            <w:tcW w:w="345"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符合条件的脱贫劳动力返乡创业补助是否发放。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45</w:t>
            </w:r>
          </w:p>
        </w:tc>
        <w:tc>
          <w:tcPr>
            <w:tcW w:w="34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脱贫人口、监测对象稳岗就业</w:t>
            </w:r>
          </w:p>
        </w:tc>
        <w:tc>
          <w:tcPr>
            <w:tcW w:w="651"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县人社局</w:t>
            </w:r>
          </w:p>
        </w:tc>
        <w:tc>
          <w:tcPr>
            <w:tcW w:w="334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就近就地就业岗位开发是否合理，外出就业是否稳定。脱贫人口一次性求职创业补助是否落实到位，脱贫人口跨省就业一次性铁路、公路和水运（路）交通补助是否落实。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46</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是否推进“雨露计划+”就业促进行动，是否建立健全新成长劳动力入读职业院校意愿清单、雨露计划在读学生清单、雨露计划即将毕业和已毕业学生就业意愿清单。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47</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是否通过微信、公示栏、公众号、短信、广播等形式向群众推介岗位信息。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48</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是否制定脱贫劳动力培训计划，是否完成培训任务。培训后是否实现就业。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49</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脱贫地区乡村特色产业发展、集体经济发展等情况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镇农业综合服务中心、镇财政办</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脱贫群众家庭生产经营性收入是否达到10%以上增幅。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50</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到户产业的中央、省级衔接资金投入是否合理。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51</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脱贫户、监测户有小额信贷需求的，是否享受小额信贷。贷款比例是否低于上年度。小额信贷使用是否合规。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52</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特色产业管理是否规范，急需人才是否满足要求。是否在四川省防返贫监测信息平台开展产业帮扶信息采集录入，录入信息是否准确，是否与实际情况相符。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53</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是否建立联农带农机制。特别是使用各级财政衔接推进乡村振兴补助资金、定点帮扶无偿援助资金、社会捐赠资金扶持的经营性项目，联农带农是否合理。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54</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村集体经济运行、管理是否规范。低收入村2022年集体经济收入是否有新发展。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FF0000"/>
                <w:sz w:val="21"/>
                <w:szCs w:val="21"/>
                <w:u w:val="none"/>
                <w:lang w:val="en-US"/>
              </w:rPr>
            </w:pPr>
            <w:r>
              <w:rPr>
                <w:rFonts w:hint="eastAsia" w:ascii="Times New Roman" w:hAnsi="Times New Roman" w:eastAsia="仿宋_GB2312" w:cs="Times New Roman"/>
                <w:i w:val="0"/>
                <w:iCs w:val="0"/>
                <w:color w:val="FF0000"/>
                <w:kern w:val="0"/>
                <w:sz w:val="21"/>
                <w:szCs w:val="21"/>
                <w:u w:val="none"/>
                <w:lang w:val="en-US" w:eastAsia="zh-CN" w:bidi="ar"/>
              </w:rPr>
              <w:t>55</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FF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FF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FF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FF0000"/>
                <w:sz w:val="21"/>
                <w:szCs w:val="21"/>
                <w:u w:val="none"/>
              </w:rPr>
            </w:pPr>
            <w:r>
              <w:rPr>
                <w:rFonts w:hint="default" w:ascii="Times New Roman" w:hAnsi="Times New Roman" w:eastAsia="仿宋_GB2312" w:cs="Times New Roman"/>
                <w:i w:val="0"/>
                <w:iCs w:val="0"/>
                <w:color w:val="FF0000"/>
                <w:kern w:val="0"/>
                <w:sz w:val="21"/>
                <w:szCs w:val="21"/>
                <w:u w:val="none"/>
                <w:lang w:val="en-US" w:eastAsia="zh-CN" w:bidi="ar"/>
              </w:rPr>
              <w:t>是否能够实现村级集体经济收入比2021年增长10%的任务目标。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56</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推广用好“天府乡村”公益品牌，2022年农产品销售规模是否低于2021年。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57</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财政衔接推进乡村振兴补助资金使用管理情况，扶贫项目资产后续管理和效益发挥情况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衔接资金使用是否符合管理办法要求。是否定期开展项目实施和资金支出进度等跟踪督促，衔接资金支出进度是否达到序时进度。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5</w:t>
            </w:r>
            <w:r>
              <w:rPr>
                <w:rFonts w:hint="default" w:ascii="Times New Roman" w:hAnsi="Times New Roman" w:eastAsia="仿宋_GB2312" w:cs="Times New Roman"/>
                <w:i w:val="0"/>
                <w:iCs w:val="0"/>
                <w:color w:val="000000"/>
                <w:kern w:val="0"/>
                <w:sz w:val="21"/>
                <w:szCs w:val="21"/>
                <w:u w:val="none"/>
                <w:lang w:val="en-US" w:eastAsia="zh-CN" w:bidi="ar"/>
              </w:rPr>
              <w:t>8</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2022年度项目库建设管理情况。包括项目入库是否及时充分、程序是否规范、内容是否完整和入库项目是否具备实施条件，以及衔接资金、整合资金是否用于项目库之外的项目等。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59</w:t>
            </w:r>
          </w:p>
        </w:tc>
        <w:tc>
          <w:tcPr>
            <w:tcW w:w="34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财政衔接推进乡村振兴补助资金使用管理情况，扶贫项目资产后续管理和效益发挥情况</w:t>
            </w:r>
          </w:p>
        </w:tc>
        <w:tc>
          <w:tcPr>
            <w:tcW w:w="651"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镇经济发展与乡村振兴办、镇农业综合服务中心、镇财政办</w:t>
            </w:r>
          </w:p>
        </w:tc>
        <w:tc>
          <w:tcPr>
            <w:tcW w:w="334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项目绩效管理情况，包括具体项目实施方案明确绩效目标情况、开展跟踪监督情况、事后评价情况等（是否开展绩效申报、审核、监控、自评）。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60</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资金项目全程公告公示落实情况。包括：县级按要求公开资金分配结果、项目库、资金项目计划等；村级项目落实公开公示要求。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61</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具体实施情况。包括项目实际完成任务量是否达到绩效目标申报的任务量、衔接资金用途是否突破管理办法。产业类项目是否明确联农带农机制、是否优先覆盖防止返贫监测对象、往年项目是否持续有效运行等；基础设施类项目质量是否达到相应标准、后续管护是否存在问题等；其他项目是否实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62</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是否开展扶贫项目资产“回头看”工作。扶贫项目资产底数是否摸清，是否确权移交，资产是否闲置，后续管护、运营是否落实。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63</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exact"/>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exact"/>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是否提前开展2023年度项目储备和年度项目实施计划编制工作。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64</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中省考核评估、督查暗访、巡视审计等发现问题整改落实情况等</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镇经济发展与乡村振兴办、各专项办公室</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中省考核评估反馈问题安排部署、方案制定、整改情况。是否建立</w:t>
            </w: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村举一反三“三张清单”。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65</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国家暗访调研安排部署、方案制定、整改情况。是否建立</w:t>
            </w:r>
            <w:r>
              <w:rPr>
                <w:rFonts w:hint="eastAsia" w:ascii="Times New Roman" w:hAnsi="Times New Roman" w:eastAsia="仿宋_GB2312" w:cs="Times New Roman"/>
                <w:i w:val="0"/>
                <w:iCs w:val="0"/>
                <w:color w:val="000000"/>
                <w:kern w:val="0"/>
                <w:sz w:val="21"/>
                <w:szCs w:val="21"/>
                <w:u w:val="none"/>
                <w:lang w:val="en-US" w:eastAsia="zh-CN" w:bidi="ar"/>
              </w:rPr>
              <w:t>镇村</w:t>
            </w:r>
            <w:r>
              <w:rPr>
                <w:rFonts w:hint="default" w:ascii="Times New Roman" w:hAnsi="Times New Roman" w:eastAsia="仿宋_GB2312" w:cs="Times New Roman"/>
                <w:i w:val="0"/>
                <w:iCs w:val="0"/>
                <w:color w:val="000000"/>
                <w:kern w:val="0"/>
                <w:sz w:val="21"/>
                <w:szCs w:val="21"/>
                <w:u w:val="none"/>
                <w:lang w:val="en-US" w:eastAsia="zh-CN" w:bidi="ar"/>
              </w:rPr>
              <w:t>举一反三“三张清单”。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66</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全省巩固拓展脱贫攻坚成果同乡村振兴有效衔接全覆盖督查发现问题、国家乡村振兴局媒体暗访发现问题是否整改到位。是否建立整改台账，整改是否真实。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67</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审计反馈问题整改是否到位。是否建立整改台账，整改是否真实。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68</w:t>
            </w:r>
          </w:p>
        </w:tc>
        <w:tc>
          <w:tcPr>
            <w:tcW w:w="34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乡村建设</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镇农业综合服务中心、镇经济发展与乡村振兴办</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制度建设情况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是否制定有人居环境整治、农村厕所革命、农村生活污水治理、农村生活垃圾处理等实施方案（规划）。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2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69</w:t>
            </w:r>
          </w:p>
        </w:tc>
        <w:tc>
          <w:tcPr>
            <w:tcW w:w="345"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是否制定年度人居环境整治提升、农村户厕问题摸排整改“回头看”等文件。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70</w:t>
            </w:r>
          </w:p>
        </w:tc>
        <w:tc>
          <w:tcPr>
            <w:tcW w:w="34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乡村建设</w:t>
            </w:r>
          </w:p>
        </w:tc>
        <w:tc>
          <w:tcPr>
            <w:tcW w:w="651"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eastAsia" w:ascii="Times New Roman" w:hAnsi="Times New Roman" w:eastAsia="仿宋_GB2312" w:cs="Times New Roman"/>
                <w:i w:val="0"/>
                <w:iCs w:val="0"/>
                <w:color w:val="000000"/>
                <w:kern w:val="0"/>
                <w:sz w:val="21"/>
                <w:szCs w:val="21"/>
                <w:u w:val="none"/>
                <w:lang w:val="en-US" w:eastAsia="zh-CN" w:bidi="ar"/>
              </w:rPr>
              <w:t>镇农业综合服务中心、镇经济发展与乡村振兴办</w:t>
            </w:r>
          </w:p>
        </w:tc>
        <w:tc>
          <w:tcPr>
            <w:tcW w:w="69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人居环境整治情况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农村户厕摸排数据是否真实准确；问题厕所整改是否及时到位；是否存在问题厕所该整改而未整改情况；未整改问题厕所是否落实整改责任和完成时限。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71</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年度改厕任务是否按计划开展；新改建厕所是否存在建设质量、奖补资金使用不规范等问题。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农村厕所革命是否建立有建设、运行、维护、管理等制度，是否组织过技术培训，是否存在问题厕所没整改，厕所维护管理不到位、闲置等问题。卫生公厕维护管理是否到位。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生活垃圾是否进行分类；是否设有定点垃圾桶、垃圾池，垃圾清运是否及时；河道沟渠、道路等地方是否存在较多垃圾；村级是否落实了保洁员制度；垃圾收运体系是否建立，是否按要求配置垃圾运转设施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有污水处理设施覆盖；生活污水是否有乱排乱放的现象；是否有黑臭水体；“千村示范”工程设备设施维护、管理是否到位；污水处理设施运行是否正常，排放是否达标；污水治理管理制度是否健全、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75</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建有村庄清洁行动长效管理机制；农户院落、室内、房前屋后是否干净整洁，柴草垛是否码垛整齐；“三线”是否进行了整治；村庄道路、河道、沟渠、水塘等是否整洁；是否存在残垣断壁、废弃房屋、乱搭乱建、乱贴乱扔等现象；畜禽粪污是否随产随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76</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农村人居环境整治重点县项目建设是否按计划开展，是否能按期完成建设任务。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77</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基础设施情况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村硬化路是否符合标准要求（通村委会或村小学的村道公路）；是否存在损坏、坑洼、积水等问题。乡村客运“金通工程”是否覆盖。住房是否存在安全隐患。饮用水取水是否方便；供水是否稳定；水质是否达标；是否存在饮水困难。供电是否稳定。广播、有线电视、宽带和移动通信网络等是否覆盖，是否畅通，运行维护是否及时。快递物流是否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公共服务情况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镇是否建有便民服务中心、卫生院、学校等服务机构。村是否建有卫生室，是否有乡村医生，是否有区域养老服务机构覆盖；是否有村级综合性服务点；是否有全民健身场地设施。看病就医及学前教育、义务教育上学是否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79</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宣传推广情况</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是否制定农村人居环境整治和村庄清洁行动宣传方案计划；是否有相关工作的宣传栏、横幅等；是否发放倡议书、告知单、明白卡等宣传资料。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80</w:t>
            </w:r>
          </w:p>
        </w:tc>
        <w:tc>
          <w:tcPr>
            <w:tcW w:w="3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是否及时推广乡村建设、人居环境整治的先进典型经验；是否建立奖惩制度开展相关评比创建活动。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81</w:t>
            </w:r>
          </w:p>
        </w:tc>
        <w:tc>
          <w:tcPr>
            <w:tcW w:w="34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w:t>
            </w:r>
          </w:p>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工作落实情况</w:t>
            </w:r>
          </w:p>
        </w:tc>
        <w:tc>
          <w:tcPr>
            <w:tcW w:w="42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乡村治理</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镇农业综合服务中心、镇经济发展与乡村振兴办</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重点关注开展运用积分制、清单制、数字化等试点工作经验做法，以及移风易俗、乡村精神文明建设等</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是否有年度乡村治理工作计划。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农村基层党组织作用发挥是否到位。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是否建立健全自治、法治、德治相结合的乡村治理体系。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是否建立健全乡村便民服务、公共法律服务、社会治安防控等体系。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85</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是否按要求开展农村文化生活、平安四川建设、乡村精神文明建设等。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86</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农村优秀传统文化保护、农村生产生活遗产保护传承等工作是否落实。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87</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是否分类分步有序开展积分制、清单制试点；是否开展了小微权力、村级事项、公共服务等不同类型的特色清单和积分模式的探索。是否进行了乡村治理数字化建设路径和办法的探索。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重点关注推广运用积分制、清单制、数字化等经验做法，以及移风易俗、乡村精神文明建设等</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是否开展了乡村治理数字化建设试点。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89</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是否以</w:t>
            </w:r>
            <w:r>
              <w:rPr>
                <w:rFonts w:hint="eastAsia" w:ascii="Times New Roman" w:hAnsi="Times New Roman" w:eastAsia="仿宋_GB2312" w:cs="Times New Roman"/>
                <w:i w:val="0"/>
                <w:iCs w:val="0"/>
                <w:color w:val="000000"/>
                <w:kern w:val="0"/>
                <w:sz w:val="21"/>
                <w:szCs w:val="21"/>
                <w:u w:val="none"/>
                <w:lang w:val="en-US" w:eastAsia="zh-CN" w:bidi="ar"/>
              </w:rPr>
              <w:t>镇</w:t>
            </w:r>
            <w:r>
              <w:rPr>
                <w:rFonts w:hint="default" w:ascii="Times New Roman" w:hAnsi="Times New Roman" w:eastAsia="仿宋_GB2312" w:cs="Times New Roman"/>
                <w:i w:val="0"/>
                <w:iCs w:val="0"/>
                <w:color w:val="000000"/>
                <w:kern w:val="0"/>
                <w:sz w:val="21"/>
                <w:szCs w:val="21"/>
                <w:u w:val="none"/>
                <w:lang w:val="en-US" w:eastAsia="zh-CN" w:bidi="ar"/>
              </w:rPr>
              <w:t>为单元完善移风易俗的约束性措施和奖惩机制；是否开展高价彩礼、大操大办、厚葬薄养、人情攀比、随礼泛滥等重点领域突出问题专项治理；是否宣传推广乡村治理先进典型案例。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90</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w:t>
            </w:r>
          </w:p>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成效巩固情况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脱贫群众收入增速情况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镇农业综合服务中心、镇经济发展与乡村振兴办</w:t>
            </w: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脱贫人口收入增速是否高于当地农民收入增速。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91</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县级脱贫人口家庭人均纯收入是否稳定超过2021年。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92</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脱贫户、监测对象“两不愁三保障”和饮水安全状况</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各专项办公室</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义务教育</w:t>
            </w: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脱贫家庭义务教育阶段辍学学生是否保持动态清零。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93</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家庭经济困难学生资助政策体系是否健全。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94</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控辍保学工作机制是否健全、运行是否顺畅。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95</w:t>
            </w:r>
          </w:p>
        </w:tc>
        <w:tc>
          <w:tcPr>
            <w:tcW w:w="3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办学条件是否持续改善，乡村教师队伍建设是否满足日常教学需求。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96</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成效巩固情况</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脱贫户、监测对象“两不愁三保障”和饮水安全状况</w:t>
            </w:r>
          </w:p>
        </w:tc>
        <w:tc>
          <w:tcPr>
            <w:tcW w:w="6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zh-CN" w:eastAsia="zh-CN" w:bidi="zh-CN"/>
              </w:rPr>
            </w:pPr>
            <w:r>
              <w:rPr>
                <w:rFonts w:hint="eastAsia" w:ascii="Times New Roman" w:hAnsi="Times New Roman" w:eastAsia="仿宋_GB2312" w:cs="Times New Roman"/>
                <w:i w:val="0"/>
                <w:iCs w:val="0"/>
                <w:color w:val="000000"/>
                <w:kern w:val="0"/>
                <w:sz w:val="21"/>
                <w:szCs w:val="21"/>
                <w:u w:val="none"/>
                <w:lang w:val="en-US" w:eastAsia="zh-CN" w:bidi="ar"/>
              </w:rPr>
              <w:t>各专项办公室</w:t>
            </w:r>
          </w:p>
        </w:tc>
        <w:tc>
          <w:tcPr>
            <w:tcW w:w="6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基本医疗</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农村低收入人口基本医疗保险是否做到应保尽保。脱贫人口、监测对象基本医疗保险参保率是否实现100%。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97</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农村低收入人口基本医疗保险、大病保险、医疗救助三重制度待遇是否落实到位。是否执行先诊疗后付费、“一站式”结算。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98</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大病救治、家庭签约医生服务是否落实，“高血压、糖尿病、结核病、严重精神障碍”四种主要慢性病管理和服务是否到位。符合条件的，是否及时享受门诊慢特病保障。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99</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镇村</w:t>
            </w:r>
            <w:r>
              <w:rPr>
                <w:rFonts w:hint="default" w:ascii="Times New Roman" w:hAnsi="Times New Roman" w:eastAsia="仿宋_GB2312" w:cs="Times New Roman"/>
                <w:i w:val="0"/>
                <w:iCs w:val="0"/>
                <w:color w:val="000000"/>
                <w:kern w:val="0"/>
                <w:sz w:val="21"/>
                <w:szCs w:val="21"/>
                <w:u w:val="none"/>
                <w:lang w:val="en-US" w:eastAsia="zh-CN" w:bidi="ar"/>
              </w:rPr>
              <w:t>卫生院（卫生室）是否得到优化。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100</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住房安全</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脱贫人口、监测对象居住房屋是否安全。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101</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保障对象、改造方式、质量提升、补贴标准、资金来源等政策执行情况。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102</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2022年农村低收入群体等六类重点对象的危房纳入危房改造或抗震改造范围情况，</w:t>
            </w:r>
            <w:r>
              <w:rPr>
                <w:rStyle w:val="15"/>
                <w:rFonts w:hint="default" w:ascii="Times New Roman" w:hAnsi="Times New Roman" w:eastAsia="仿宋_GB2312" w:cs="Times New Roman"/>
                <w:sz w:val="21"/>
                <w:szCs w:val="21"/>
                <w:lang w:val="en-US" w:eastAsia="zh-CN" w:bidi="ar"/>
              </w:rPr>
              <w:t>2022</w:t>
            </w:r>
            <w:r>
              <w:rPr>
                <w:rStyle w:val="16"/>
                <w:rFonts w:hint="default" w:ascii="Times New Roman" w:hAnsi="Times New Roman" w:eastAsia="仿宋_GB2312" w:cs="Times New Roman"/>
                <w:sz w:val="21"/>
                <w:szCs w:val="21"/>
                <w:lang w:val="en-US" w:eastAsia="zh-CN" w:bidi="ar"/>
              </w:rPr>
              <w:t>年度危房改造任务完成及质量验收情况。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103</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饮水安全</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脱贫人口、监测对象饮水安全是否有保障。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104</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供水工程管护机制是否建立，工程管护主体是否落实，水价机制是否建立，饮水问题是否建立快速发现和响应机制、应急供水方案，农村供水问题是否动态清零。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105</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6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农村供水工程建设资金是否落实，工程建设进展及年度目标任务是否完成。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106</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防范化解因灾返贫致贫情况</w:t>
            </w:r>
          </w:p>
        </w:tc>
        <w:tc>
          <w:tcPr>
            <w:tcW w:w="65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镇经济发展与乡村振兴办、镇农业综合服务中心</w:t>
            </w:r>
          </w:p>
        </w:tc>
        <w:tc>
          <w:tcPr>
            <w:tcW w:w="334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生水旱、气象、地质、地震等灾情发生后，是否迅速启动防范规模性返贫致贫风险工作预案，是否开展全面排查，及时开展防止返贫监测帮扶工作；因灾存在返贫致贫风险农户，是否先行救助并落实帮扶，后履行有关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35" w:type="pc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107</w:t>
            </w:r>
          </w:p>
        </w:tc>
        <w:tc>
          <w:tcPr>
            <w:tcW w:w="345"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巩固脱贫成果群众认可度</w:t>
            </w:r>
          </w:p>
        </w:tc>
        <w:tc>
          <w:tcPr>
            <w:tcW w:w="651" w:type="pct"/>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是否发挥群众主体作用，巩固脱贫成果群众是否认可度高。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235" w:type="pct"/>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108</w:t>
            </w:r>
          </w:p>
        </w:tc>
        <w:tc>
          <w:tcPr>
            <w:tcW w:w="345" w:type="pct"/>
            <w:vMerge w:val="restart"/>
            <w:tcBorders>
              <w:top w:val="single" w:color="000000"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w:t>
            </w: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成效巩固情况</w:t>
            </w:r>
          </w:p>
        </w:tc>
        <w:tc>
          <w:tcPr>
            <w:tcW w:w="426" w:type="pct"/>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因责任、政策、工作落实不到位导致的返贫致贫问题和风险</w:t>
            </w:r>
          </w:p>
        </w:tc>
        <w:tc>
          <w:tcPr>
            <w:tcW w:w="651" w:type="pct"/>
            <w:vMerge w:val="restart"/>
            <w:tcBorders>
              <w:top w:val="single" w:color="000000"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镇经济发展与乡村振兴办</w:t>
            </w:r>
          </w:p>
        </w:tc>
        <w:tc>
          <w:tcPr>
            <w:tcW w:w="3342" w:type="pct"/>
            <w:gridSpan w:val="2"/>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对出现“漏测”或“体外循环”，已纳入监测对象帮扶措施落实不力发生“失帮”现象的，分析原因，看是否存在因责任、政策、工作落实不到位而导致。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109</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对政策措施调整或疫情带来的影响和风险有效应对情况</w:t>
            </w:r>
          </w:p>
        </w:tc>
        <w:tc>
          <w:tcPr>
            <w:tcW w:w="6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是否制定本地巩固脱贫成果应对疫情影响工作措施或者方案，以及疫情应对实施情况。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110</w:t>
            </w: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巩固拓展脱贫攻坚成果同乡村振兴有效衔接经验典型等</w:t>
            </w:r>
          </w:p>
        </w:tc>
        <w:tc>
          <w:tcPr>
            <w:tcW w:w="6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default" w:ascii="Times New Roman" w:hAnsi="Times New Roman" w:eastAsia="仿宋_GB2312" w:cs="Times New Roman"/>
                <w:i w:val="0"/>
                <w:iCs w:val="0"/>
                <w:color w:val="000000"/>
                <w:sz w:val="21"/>
                <w:szCs w:val="21"/>
                <w:u w:val="none"/>
              </w:rPr>
            </w:pPr>
          </w:p>
        </w:tc>
        <w:tc>
          <w:tcPr>
            <w:tcW w:w="3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结合本地实际，是否提炼总结在巩固拓展脱贫攻坚成果同乡村振兴有效衔接</w:t>
            </w:r>
            <w:r>
              <w:rPr>
                <w:rFonts w:hint="default" w:ascii="Times New Roman" w:hAnsi="Times New Roman" w:eastAsia="仿宋_GB2312" w:cs="Times New Roman"/>
                <w:i w:val="0"/>
                <w:iCs w:val="0"/>
                <w:color w:val="000000"/>
                <w:kern w:val="0"/>
                <w:sz w:val="21"/>
                <w:szCs w:val="21"/>
                <w:u w:val="none"/>
                <w:lang w:val="en-US" w:eastAsia="zh-CN" w:bidi="ar"/>
              </w:rPr>
              <w:t>方面的可供借鉴和推广的典型经验、成功模式（有做法、有数据、有机制、有效果）。</w:t>
            </w:r>
          </w:p>
        </w:tc>
      </w:tr>
    </w:tbl>
    <w:p>
      <w:pPr>
        <w:pStyle w:val="11"/>
        <w:rPr>
          <w:rFonts w:hint="default"/>
        </w:rPr>
        <w:sectPr>
          <w:footerReference r:id="rId5" w:type="default"/>
          <w:pgSz w:w="16840" w:h="11910" w:orient="landscape"/>
          <w:pgMar w:top="1134" w:right="1134" w:bottom="1134" w:left="1134" w:header="720" w:footer="340" w:gutter="0"/>
          <w:pgBorders>
            <w:top w:val="none" w:sz="0" w:space="0"/>
            <w:left w:val="none" w:sz="0" w:space="0"/>
            <w:bottom w:val="none" w:sz="0" w:space="0"/>
            <w:right w:val="none" w:sz="0" w:space="0"/>
          </w:pgBorders>
          <w:pgNumType w:fmt="numberInDash"/>
          <w:cols w:space="720" w:num="1"/>
        </w:sectPr>
      </w:pPr>
    </w:p>
    <w:p>
      <w:pPr>
        <w:spacing w:before="43"/>
        <w:ind w:right="0"/>
        <w:jc w:val="left"/>
        <w:rPr>
          <w:rFonts w:hint="default" w:ascii="Times New Roman" w:hAnsi="Times New Roman" w:cs="Times New Roman"/>
          <w:color w:val="auto"/>
          <w:sz w:val="52"/>
        </w:rPr>
      </w:pPr>
      <w:r>
        <w:rPr>
          <w:rFonts w:hint="default" w:ascii="Times New Roman" w:hAnsi="Times New Roman" w:eastAsia="黑体" w:cs="Times New Roman"/>
          <w:color w:val="auto"/>
          <w:sz w:val="32"/>
          <w:szCs w:val="32"/>
        </w:rPr>
        <w:t>附件2</w:t>
      </w:r>
    </w:p>
    <w:p>
      <w:pPr>
        <w:spacing w:before="0"/>
        <w:ind w:right="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巩固拓展脱贫</w:t>
      </w:r>
      <w:r>
        <w:rPr>
          <w:rFonts w:hint="eastAsia" w:ascii="Times New Roman" w:hAnsi="Times New Roman" w:eastAsia="方正小标宋简体" w:cs="Times New Roman"/>
          <w:color w:val="auto"/>
          <w:sz w:val="44"/>
          <w:szCs w:val="44"/>
          <w:lang w:val="en-US" w:eastAsia="zh-CN"/>
        </w:rPr>
        <w:t>攻坚</w:t>
      </w:r>
      <w:r>
        <w:rPr>
          <w:rFonts w:hint="default" w:ascii="Times New Roman" w:hAnsi="Times New Roman" w:eastAsia="方正小标宋简体" w:cs="Times New Roman"/>
          <w:color w:val="auto"/>
          <w:sz w:val="44"/>
          <w:szCs w:val="44"/>
        </w:rPr>
        <w:t>成果“回头看”对照检查问题清单</w:t>
      </w:r>
    </w:p>
    <w:tbl>
      <w:tblPr>
        <w:tblStyle w:val="7"/>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2"/>
        <w:gridCol w:w="1019"/>
        <w:gridCol w:w="1533"/>
        <w:gridCol w:w="1255"/>
        <w:gridCol w:w="3673"/>
        <w:gridCol w:w="4825"/>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blHeader/>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34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类别</w:t>
            </w:r>
          </w:p>
        </w:tc>
        <w:tc>
          <w:tcPr>
            <w:tcW w:w="2188" w:type="pct"/>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问题类型</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问题表现</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问题来源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责任落实情况</w:t>
            </w:r>
          </w:p>
        </w:tc>
        <w:tc>
          <w:tcPr>
            <w:tcW w:w="944"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党委农村工作领导小组牵头抓总、统筹协调责任落实情况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党委农村工作领导小组是否召开会议，研究部署巩固拓展脱贫攻坚成果同乡村振兴有效衔接工作。</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有的地方乡村振兴部门与党委农办、农业农村部门的关系还没有完全理顺，在推进乡村振兴中还存在目标任务、责任界面不清晰等问题。</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是否设立巩固拓展脱贫攻坚成果同乡村振兴有效衔接专项工作领导小组，运行是否顺畅。</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有的党委农村工作领导小组下设了多个工作专班，却没有巩固拓展脱贫攻坚成果专班。</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相关行业部门责任落实情况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行业部门巩固拓展脱贫攻坚成果同乡村振兴有效衔接重点工作、重点项目推进落实情况。</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有的地方不少新到岗干部缺乏“三农”工作经验，对新领域新业务不熟悉，对政策掌握不全面，对情况了解不深入，存在想干不会干的问题。</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驻村帮扶、定点帮扶等责任落实情况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2022年县党委或政府主要负责同志是否到协作地区调研对接、召开联席会议。</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主动谋划不足，调研对接不及时，有的县区党政主要负责同志今年未到结对地区调研对接。</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政策落实情况</w:t>
            </w: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防返贫动态监测帮扶工作</w:t>
            </w: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机制完善情况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是否制定健全防止返贫监测帮扶机制；</w:t>
            </w: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是否制定防范规模性返贫致贫风险工作预案制定情况。</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一是健全防止返贫监测帮扶机制相关文件未制定印发或不完善。二是防范规模性返贫致贫风险工作预案未制定或不完善。</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风险推送情况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是否制定县级部门推送风险线索机制。</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县级部门推送风险线索机制未建立或不完善。</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lang w:val="en-US" w:eastAsia="zh-CN"/>
              </w:rPr>
            </w:pPr>
            <w:r>
              <w:rPr>
                <w:rFonts w:hint="eastAsia"/>
                <w:lang w:val="en-US" w:eastAsia="zh-CN"/>
              </w:rPr>
              <w:t>防返贫动态监测帮扶工作</w:t>
            </w:r>
          </w:p>
          <w:p>
            <w:pPr>
              <w:pStyle w:val="10"/>
              <w:rPr>
                <w:rFonts w:hint="eastAsia"/>
                <w:lang w:val="en-US" w:eastAsia="zh-CN"/>
              </w:rPr>
            </w:pPr>
          </w:p>
          <w:p>
            <w:pPr>
              <w:pStyle w:val="11"/>
              <w:rPr>
                <w:rFonts w:hint="eastAsia"/>
                <w:lang w:val="en-US" w:eastAsia="zh-CN"/>
              </w:rPr>
            </w:pPr>
          </w:p>
          <w:p>
            <w:pPr>
              <w:rPr>
                <w:rFonts w:hint="eastAsia"/>
                <w:lang w:val="en-US" w:eastAsia="zh-CN"/>
              </w:rPr>
            </w:pPr>
          </w:p>
          <w:p>
            <w:pPr>
              <w:pStyle w:val="10"/>
              <w:rPr>
                <w:rFonts w:hint="eastAsia"/>
                <w:lang w:val="en-US" w:eastAsia="zh-CN"/>
              </w:rPr>
            </w:pPr>
          </w:p>
          <w:p>
            <w:pPr>
              <w:pStyle w:val="11"/>
              <w:rPr>
                <w:rFonts w:hint="eastAsia"/>
                <w:lang w:val="en-US" w:eastAsia="zh-CN"/>
              </w:rPr>
            </w:pPr>
          </w:p>
          <w:p>
            <w:pPr>
              <w:rPr>
                <w:rFonts w:hint="eastAsia"/>
                <w:lang w:val="en-US" w:eastAsia="zh-CN"/>
              </w:rPr>
            </w:pPr>
          </w:p>
          <w:p>
            <w:pPr>
              <w:pStyle w:val="10"/>
              <w:rPr>
                <w:rFonts w:hint="eastAsia"/>
                <w:lang w:val="en-US" w:eastAsia="zh-CN"/>
              </w:rPr>
            </w:pPr>
          </w:p>
          <w:p>
            <w:pPr>
              <w:pStyle w:val="11"/>
              <w:rPr>
                <w:rFonts w:hint="eastAsia"/>
                <w:lang w:val="en-US" w:eastAsia="zh-CN"/>
              </w:rPr>
            </w:pPr>
          </w:p>
          <w:p>
            <w:pPr>
              <w:rPr>
                <w:rFonts w:hint="eastAsia"/>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防返贫动态监测帮扶工作</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防返贫动态监测帮扶工作</w:t>
            </w: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风险推送情况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部门风险线索是否按时推送，县、乡、村是否建立部门推送风险线索台账，是否逐一分析研判并入户核实，核实结果是否进行反馈并形成工作闭环，核实不纳入的是否说明情况。</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一是县级行业部门推送风险线索不全不及时；二是乡、村未建立部门推送风险线索台账，未逐一分析研判并入户核实，核实结果未反馈并形成工作闭环，核实不纳入的未注明原因。</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国家考核评估反馈问题、省内后评估反馈问题、专项督查反馈问题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60" w:lineRule="exact"/>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集中排查工作情况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开展集中排查，是否结合实际细化制定工作方案，是否进行全覆盖培训，是否对11类重点人群（脱贫户、监测对象以及其他重点人群）建立台账并全覆盖入户走访，对排查出的风险是否研判，符合条件的是否及时按程序识别认定。</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集中排查工作不实不细，未对11类重点人群（脱贫户、监测对象以及其他重点人群）建立台账并全覆盖入户走访；二是集中排查没有结合实际细化制定工作方案，工作方案存在逻辑错误和漏洞；三是未组织乡村干部学习培训，排查过程记录资料不全；四是对符合条件的农户未及时按程序开展识别认定。五是有的地方没有入户排查，对集中排查工作弄虚作假。</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45" w:type="pct"/>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工作落实情况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识别认定情况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认定程序是否规范，自5月起是否按照“风险研判、入户核查、信息比对、评议公示、乡镇初审、县级审定”的程序认定监测对象，识别认定是否自入户核查之日起15天内完成。</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佐证资料不齐不实。民主评议会议无参会代表人数、无签到册；乡镇无复查审核工作记录。二是监测对象类型把握不准。特别是对突发严重困难户的认定容易混淆出错。三是程序不规范。从发现风险到纳入监测对象时间过长；信息核实组成员未达到2人；拟新增纳入的监测对象未签订《承诺书》；未对新识别监测对象进行公示，公示时间未达到5天；部门信息比对发现不符合识别条件的，没有建立台账；部门信息比对结果未盖单位公章。四是信息采集不准确。监测对象信息采集不准确，存在账实不符的现象；系统录入人员操作失误导致录入信息错误，存在账账不符的现象。</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是否存在“漏测”，是否存在“体外循环”（落实了帮扶措施未纳入监测对象），是否存在风险线索反馈但未分析研判或入户核实。</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一是存在“漏测”和“体外循环”（落实了帮扶措施未纳入监测对象）。二是对风险线索反馈、初步排查发现风险但未认定为监测对象的农户，没有入户摸排核实等佐证资料，未形成程序上前后闭环。</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帮扶落实情况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是否存在“失帮”，是否根据监测对象的返贫致贫风险落实针对性帮扶措施，落实帮扶措施是否及时，自5月起是否对认定监测对象和制定帮扶措施计划同步进行了审定公告。</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未对认定的监测对象和制定帮扶措施计划同步进行了审定公告；二是帮扶措施不精准不及时，如针对不同风险点的监测对象，制定的帮扶措施完全相同；对同一监测对象制定外出务工和公益性岗位两项就业帮扶措施；因病存在返贫致贫风险的监测对象制定的帮扶措施为住房安全保障。帮扶措施实施不及时，较为滞后。三是帮扶成效不明显。对一些存在特殊情况的监测对象，按现有政策落实帮扶措施后，仍不能完全解决其困难。</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45"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帮扶落实情况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是否落实监测联系人，监测联系人通过各种方式每月跟踪监测对象收支情况、“两不愁三保障”及安全饮水状况、帮扶措施落实情况等。</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一是监测联系人联系监测对象人数过多；二是监测联系人未每月入户开展监测工作，且未建立帮扶台账。</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风险消除情况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风险消除程序是否规范，自5月起是否按照“乡村入户核实、村级评议公示、县级复核审定、公告标注”的程序消除风险。</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程序不规范，评议、公示环节相关记录资料不能印证开展了此项工作；部分村评议后公示时间未达5天就上报乡镇；部分地方在国家系统标注风险消除的时间早于县级党委农村工作领导小组审定结果的时间。</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风险消除情况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是否存在“错消”，自5月来风险消除对象是否满足三个条件：1.收入稳定超过2022年监测收入标准6800元；2.“三保障”及饮水安全持续巩固；3.返贫致贫风险已经稳定消除或自然消除。</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存在“错消”情况。部分乡镇核查确认工作开展不实，对个别监测户未达到风险稳定消除三个条件（一是收入稳定超过2022年监测收入标准6800元；二是“三保障”及饮水安全持续巩固；三是返贫致贫风险已经稳定消除或自然消除）就启动风险消除程序。</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无劳动能力监测户，是否存在风险消除现象。</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有的地方将无劳动能力监测户，进行了风险消除。</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档案资料情况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防止返贫动态监测和帮扶工作档案资料是否规范，是否按照《四川省防止返贫动态监测和帮扶工作手册》规范完善了档案资料。</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有的地方未按照《四川省防止返贫动态监测和帮扶工作手册》相关模板，完善本级档案资料。</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易地搬迁后续扶持工作</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促进扩大就业</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县级是否建立搬迁劳动力基础信息、就业培训、转移就业、自主创业、公益性岗位安置“五个名单”，是否做到账实相符、账账相符，上下一致。</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一是就业培训效果不佳。二是搬迁群众就业台账数据不准确。三是搬迁劳动力应享受未享受转移就业交通补贴。</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是否实现“零就业”动态清零</w:t>
            </w:r>
            <w:r>
              <w:rPr>
                <w:rFonts w:hint="eastAsia" w:ascii="仿宋_GB2312" w:hAnsi="仿宋_GB2312"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家庭人口多且劳动力多的搬迁家庭实现更多人就业。</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一是有劳动力的搬迁家庭未实现每户至少1个劳动力稳定就业。二是</w:t>
            </w:r>
            <w:r>
              <w:rPr>
                <w:rFonts w:hint="eastAsia" w:ascii="仿宋_GB2312" w:hAnsi="仿宋_GB2312" w:cs="仿宋_GB2312"/>
                <w:i w:val="0"/>
                <w:iCs w:val="0"/>
                <w:color w:val="000000"/>
                <w:kern w:val="0"/>
                <w:sz w:val="21"/>
                <w:szCs w:val="21"/>
                <w:u w:val="none"/>
                <w:lang w:val="en-US" w:eastAsia="zh-CN" w:bidi="ar"/>
              </w:rPr>
              <w:t>以工代赈</w:t>
            </w:r>
            <w:r>
              <w:rPr>
                <w:rFonts w:hint="eastAsia" w:ascii="仿宋_GB2312" w:hAnsi="仿宋_GB2312" w:eastAsia="仿宋_GB2312" w:cs="仿宋_GB2312"/>
                <w:i w:val="0"/>
                <w:iCs w:val="0"/>
                <w:color w:val="000000"/>
                <w:kern w:val="0"/>
                <w:sz w:val="21"/>
                <w:szCs w:val="21"/>
                <w:u w:val="none"/>
                <w:lang w:val="en-US" w:eastAsia="zh-CN" w:bidi="ar"/>
              </w:rPr>
              <w:t>项目未吸纳搬迁劳动力就业。</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培育增收产业</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安置区的产业园区、帮扶车间、新型经营主体等是否建立利益联结机制，是否对落实情况进行清理。是否能在12月底前实现全覆盖，已建立利益联结机制的项目，但带动效益差的，是否能在9月底前完成调整完善。</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产业项目未及时向搬迁群众分红。</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配套设施</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安置区水、电、路、气、污水管网、通信和教育、医疗等配套设施是否能满足搬迁群众基本需求。</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安置点部分搬迁群众安全饮水保障不充分。二是集中安置点未建设污水处理设施和垃圾池，临时化粪池和垃圾堆放点卫生情况较差。三是集中安置点消防设施不完善。四是安置点存在质量缺陷。五是集中安置点配套学校存在大班额、“大通铺”问题。六是搬迁家庭中有重度残疾家庭成员、存在无障碍设施需求，未进行无障碍设施建设。</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易地搬迁后续扶持工作</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社区治理</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是否设置党组织机构，人员是否配齐备，是否建立议事规则、村民自治章程；人民调解、治安保卫、禁毒防艾、红白理事会等自治组织是否建立；</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安置点物业管理不到位。</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设立便民服务点，800人以上安置区，是否制定直接办理事项、代办事务和迁出地办理事项3个清单，是否公布办理事项目录，操作流程，200人以上安置区提供户籍管理、就业、就学、医保和社保、法律咨询等“一站式服务”。</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大型安置点未设立就业服务窗口。二是部分困难搬迁群众应享受未享受政策，符合待遇领取条件的搬迁群众未享受养老保险待遇。三是重度残疾人、困难残疾人应享受未享受重度残疾人护理补贴、困难残疾人补贴。四是易地搬迁适龄儿童少年未就近入学或接受学前教育。</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安置区规范化建设</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是否制定细化规范化建设指标；年度建设任务是否完成。</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一是易地扶贫搬迁住房、商铺等资产闲置。二是易地扶贫搬迁项目未经审批占用基本农田。三是易地扶贫搬迁拆旧复垦项目未及时确权和发放奖励金。</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年度后续扶持项目实施</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年度后续扶持项目是否编制清单；根据县上印发的项目实施方案，核定项目建设进度和资金支出进度是否符合方案要求。</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一是资金结余2年以上未统筹使用，未发挥效益。二是搬迁项目完工后尚未拨付资金。三是易地扶贫搬迁配套项目建设进度缓慢，未及时发挥效益。</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脱贫人口、监测对象稳岗就业</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脱贫人口、监测对象稳岗就业</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有劳动能力的脱贫户、监测户是否实现至少有一人就业。</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部分脱贫家庭未实现至少1人就业目标。</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就业帮扶车间和乡村公益性岗位吸纳脱贫人口数量是否实现稳中有增。公益性岗位管理是否规范。</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一是公益性岗位存在一户多岗、一人多岗。二是在外务工、已死亡、重度残疾人</w:t>
            </w:r>
            <w:r>
              <w:rPr>
                <w:rFonts w:hint="eastAsia" w:ascii="仿宋_GB2312" w:hAnsi="仿宋_GB2312" w:cs="仿宋_GB2312"/>
                <w:i w:val="0"/>
                <w:iCs w:val="0"/>
                <w:color w:val="000000"/>
                <w:kern w:val="0"/>
                <w:sz w:val="21"/>
                <w:szCs w:val="21"/>
                <w:u w:val="none"/>
                <w:lang w:val="en-US" w:eastAsia="zh-CN" w:bidi="ar"/>
              </w:rPr>
              <w:t>被扔在</w:t>
            </w:r>
            <w:r>
              <w:rPr>
                <w:rFonts w:hint="eastAsia" w:ascii="仿宋_GB2312" w:hAnsi="仿宋_GB2312" w:eastAsia="仿宋_GB2312" w:cs="仿宋_GB2312"/>
                <w:i w:val="0"/>
                <w:iCs w:val="0"/>
                <w:color w:val="000000"/>
                <w:kern w:val="0"/>
                <w:sz w:val="21"/>
                <w:szCs w:val="21"/>
                <w:u w:val="none"/>
                <w:lang w:val="en-US" w:eastAsia="zh-CN" w:bidi="ar"/>
              </w:rPr>
              <w:t>领取公益性岗位工资。三是未及时支付公益性岗位人员工资。四是有的地方帮扶车间、公益岗位吸纳脱贫劳动力数量下降。五是有的地方公益性岗位搞轮流坐庄，缺少监督考核，造成变相发钱。</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符合条件的脱贫劳动力返乡创业补助是否发放。</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符合创业补贴条件的脱贫户因不知晓政策而未及时享受创业补贴。</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就近就地就业岗位开发是否合理，外出就业是否稳定。脱贫人口、监测户稳定外出就业交通等补助是否落实到位，特别是省外就业人员交通补助是否落实。</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有组织外出务工人员稳岗时间不足3个月。二是有组织输出务工人员名未兑现稳岗补贴。三是有的地方脱贫劳动力就业稳定性不强，零工占比较高，收入也不够稳定。四是有的地方脱贫劳动力资源比较丰富，但就业开发不足，对组织群众外出务工办法不多。</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是否制定脱贫户、监测户劳动力培训计划，是否完成培训任务。培训后是否实现就业。</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一是脱贫劳动力培训后未实现就业。二是有劳动力且有培训意愿的脱贫人员未接受培训。三是肢体、精神等重度残疾脱贫人员作为培训对象。四是有的就业培训流于形式或内容老套，针对性、实用性不强。</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345"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944"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脱贫地区乡村特色产业发展、集体经济发展等情况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衔接资金用于产业发展的比重是否符合规定要求（中央财政衔接资金用于产业的比例不低于55%，省级财政衔接资金用于产业的比例不低于50%）。到户产业投入是否合理。</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有的产业发展资金主要投向县域产业、产业链，到户产业措施和资金变少变窄，脱贫人口发展产业和持续增收难度大。二是有的地方产业奖补碎片化，对规模化经营的引导效应不强。三是发展基础有短板，乡村产业难兴旺，经济发展有“痛点”。</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脱贫户、监测户有小额信贷需求的，是否享受小额信贷。贷款比例是否低于上年度。小额信贷使用是否合规。</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使用产业扶持基金、小额信贷资金投入私企，存在本金无法收回和分红无法兑现的风险。</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特色产业管理是否规范，急需人才是否满足要求。是否在四川省防返贫监测信息平台开展产业帮扶信息采集录入，录入信息是否准确，是否与实际情况相符。</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全面推进乡村振兴的人才支撑亟待加强，有的地方农村致富带头人总量偏少、能力偏弱，在产业发展、乡村治理等方面的带动力和影响力不足。二是有的地方产业技术普遍薄弱，技术、设施、营销、人才等存在明显短板，产业链和价值链较短，农产品加工转化率较低，农村</w:t>
            </w:r>
            <w:r>
              <w:rPr>
                <w:rFonts w:hint="eastAsia" w:ascii="仿宋_GB2312" w:hAnsi="仿宋_GB2312" w:cs="仿宋_GB2312"/>
                <w:i w:val="0"/>
                <w:iCs w:val="0"/>
                <w:color w:val="000000"/>
                <w:kern w:val="0"/>
                <w:sz w:val="21"/>
                <w:szCs w:val="21"/>
                <w:u w:val="none"/>
                <w:lang w:val="en-US" w:eastAsia="zh-CN" w:bidi="ar"/>
              </w:rPr>
              <w:t>一、二、三产业</w:t>
            </w:r>
            <w:r>
              <w:rPr>
                <w:rFonts w:hint="eastAsia" w:ascii="仿宋_GB2312" w:hAnsi="仿宋_GB2312" w:eastAsia="仿宋_GB2312" w:cs="仿宋_GB2312"/>
                <w:i w:val="0"/>
                <w:iCs w:val="0"/>
                <w:color w:val="000000"/>
                <w:kern w:val="0"/>
                <w:sz w:val="21"/>
                <w:szCs w:val="21"/>
                <w:u w:val="none"/>
                <w:lang w:val="en-US" w:eastAsia="zh-CN" w:bidi="ar"/>
              </w:rPr>
              <w:t>融合发展水平不高，产业发展总体上仍处于起步阶段。三是有的地方刚一脱贫，抓产业的热乎劲马上就下来了，对原来费了很大力气引进的龙头企业开始不管不顾。四是脱贫地区产业雏形都有了，但总体上还处在发展阶段，产业规模小，布局散、链条短、抗风险能力弱等问题较为突出。</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是否建立联农带农机制。特别是使用衔接资金支持的产业或新型经营主体，联农带农是否合理。</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部分产业项目与脱贫群众未建立利益联结机制，带动群众持续增收的效果不够明显。二是未明确经营主体带贫目标和带贫责任。三是产业扶贫项目缺乏监管，影响带贫效益。四是部分产业扶持项目未实现带动脱贫户增收目标。五是经营主体未履约，带贫增收效果不佳。六是产业项目带动脱贫群众稳定就业较差，未能有效激发少数脱贫户的内生动力。七是有的地方对发展产业的比较优势认识不清，缺乏系统谋划，简单给政策、补资金，产业造血功能和带动增收能力不强。</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5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脱贫地区乡村特色产业发展、集体经济发展等情况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村集体经济是否有来源，运行、管理是否规范。</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村集体自主经营发展的项目因管护不到位、经营能力缺乏等原因项目未能正常运营。二是部分村集体产业发展方向不明确，用于产业发展的产业扶持基金仍闲置在村集体账户。三是村集体经济入股未分红。四是部分村的村集体经济还需要进一步加强。</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乡村建设</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人居环境整治情况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农村厕所革命是否建立有建设、运行、维护、管理等制度，是否组织过技术培训，是否存在问题厕所没整改，厕所维护管理不到位、闲置等问题。</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农村户厕长期闲置不能使用。有的县脱贫户于2018年完成改厕，但蹲便器未接通上下水管，导致厕所无法使用。有的村６户水冲厕所因不同原因无法使用。同时，一些彝族群众由于生活习惯，不愿意在自家屋里上厕所，平时习惯到野外方便。有的村2018年为农户统一修建了双格式卫生厕所，但目前全村186户中，有50户厕所出现问题不能使用，截至目前都未进行修缮。有的村集中搬迁点共安置了60户村民，每户均修建了两个厕所。村干部表示，担心2018年配套修建的厕所不能用，2021年又有改厕政策和专项资金，就又为每家建了一个。但走访发现，一些农户2021年新建的厕所闲置不用，当杂物间。二是农村公厕管护未引起重视。有的村的公厕管护不到位，厕所内长期无人清理和维护，下水管堵塞无人通，粪污清运、处理无人问津。</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农村生活垃圾是否进行分类，是否有定点的垃圾桶、垃圾池，垃圾清运是否及时；河道沟渠、道路等地方是否存在较多垃圾；村级是否落实了保洁员制度，收运体系是否建立，运转制度是否落实等。</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垃圾处理等基础设施短板明显。虽然一些地区在垃圾收集方面开展了一些工作，但垃圾处理基础设施仍处于起步阶段，甚至空白。有的县大部分村庄比较偏远，垃圾运转难度大，且</w:t>
            </w:r>
            <w:r>
              <w:rPr>
                <w:rFonts w:hint="eastAsia" w:ascii="仿宋_GB2312" w:hAnsi="仿宋_GB2312" w:cs="仿宋_GB2312"/>
                <w:i w:val="0"/>
                <w:iCs w:val="0"/>
                <w:color w:val="000000"/>
                <w:kern w:val="0"/>
                <w:sz w:val="21"/>
                <w:szCs w:val="21"/>
                <w:u w:val="none"/>
                <w:lang w:val="en-US" w:eastAsia="zh-CN" w:bidi="ar"/>
              </w:rPr>
              <w:t>转运站</w:t>
            </w:r>
            <w:r>
              <w:rPr>
                <w:rFonts w:hint="eastAsia" w:ascii="仿宋_GB2312" w:hAnsi="仿宋_GB2312" w:eastAsia="仿宋_GB2312" w:cs="仿宋_GB2312"/>
                <w:i w:val="0"/>
                <w:iCs w:val="0"/>
                <w:color w:val="000000"/>
                <w:kern w:val="0"/>
                <w:sz w:val="21"/>
                <w:szCs w:val="21"/>
                <w:u w:val="none"/>
                <w:lang w:val="en-US" w:eastAsia="zh-CN" w:bidi="ar"/>
              </w:rPr>
              <w:t>和沿线收集点储存量有限，存在垃圾池爆满外溢问题。有的村垃圾池内垃圾转运不及时，导致垃圾乱堆占道，蝇虫乱飞。有的村组大量垃圾被倾倒在河里。</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工作落实情况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工作落实情况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工作落实情况</w:t>
            </w: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乡村建设</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乡村建设</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人居环境整治情况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人居环境整治情况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农村生活污水是否有乱排乱放的现象；是否有黑臭水体；“千村示范”工程建设是否能按期完成，维护、管理是否到位；污水处理设施运行是否正常，排放是否达标；污水治理管理制度是否健全、是否落实。</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粪污处理等基础设施短板明显。由于当地牲畜多为散养，雨季粪污到处外溢，污染周边环境。有的村农户均在庭院内搞养殖，粪污堆放在院子里和家门口发酵，气味刺鼻难忍。</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农村人居环境整治重点县项目建设是否按计划开展，是否能按期完成建设任务。易地扶贫搬迁安置点是否开展“家庭卫生革命”。</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境整治运转机制不到位。有的县在农村人居环境整治工作中还存在主体不清、责任不明、力度不够等问题，导致基层对人居环境整治工作重视不够、推进不力、效果不佳。同时，群众对农村人居环境整治工作参与度不高，存在“干部干，群众看”的现象，缺乏引导群众转变生产生活观念，改变不良生活习惯的有效措施和监督激励机制。</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基础设施情况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村路是否符合标准要求（路面宽不低于4.5米）；通组路是否进行了硬化，是否存在损坏、坑洼、积水等问题；乡村客运“金通工程”是否覆盖。唯一住房是否存在安全隐患，饮用水取水是否方便，供水是否稳定，水质是否达标，是否存在饮水困难。供电是否稳定，广播、有线电视、宽带和移动通信网络覆盖是否畅通，网络运行及维护是否及时。快递物流是否方便。</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部分村通组道路存在短板，群众意见大。有的县大部分村通组路都进行了硬化，铺成了水泥路或柏油路，但有部分村通组道路仍存在短板，影响了群众的生活和出行，对此群众意见大。有村民反映，组里道路很烂，晴天一身灰，雨天一身泥，骑三轮车有翻车危险，政府说是要修建，讲了好几年一直没动静。同样的情况在其他县也存在，有的组道路坑洼、泥泞未硬化，700多人出行困难。二是25个国家乡村振兴重点帮扶县均地处边远，海拔较高，交通不便，自然条件恶劣。如，草原县部分草原村距离县城较远，没有硬化路，基本没有</w:t>
            </w:r>
            <w:r>
              <w:rPr>
                <w:rFonts w:hint="eastAsia" w:ascii="仿宋_GB2312" w:hAnsi="仿宋_GB2312" w:cs="仿宋_GB2312"/>
                <w:i w:val="0"/>
                <w:iCs w:val="0"/>
                <w:color w:val="000000"/>
                <w:kern w:val="0"/>
                <w:sz w:val="21"/>
                <w:szCs w:val="21"/>
                <w:u w:val="none"/>
                <w:lang w:val="en-US" w:eastAsia="zh-CN" w:bidi="ar"/>
              </w:rPr>
              <w:t>通信讯号</w:t>
            </w:r>
            <w:r>
              <w:rPr>
                <w:rFonts w:hint="eastAsia" w:ascii="仿宋_GB2312" w:hAnsi="仿宋_GB2312" w:eastAsia="仿宋_GB2312" w:cs="仿宋_GB2312"/>
                <w:i w:val="0"/>
                <w:iCs w:val="0"/>
                <w:color w:val="000000"/>
                <w:kern w:val="0"/>
                <w:sz w:val="21"/>
                <w:szCs w:val="21"/>
                <w:u w:val="none"/>
                <w:lang w:val="en-US" w:eastAsia="zh-CN" w:bidi="ar"/>
              </w:rPr>
              <w:t>，发展生产难度很大。</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19"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乡村治理</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是否按要求开展农村文化生活、平安四川建设、乡村精神文明建设等；</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内生动力不足。无论是职能部门、干部还是脱贫群众都存在不同程度的“等靠要”思想，坐等上级给政策、给项目、给资金，自我奋斗意识不足。</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345"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乡村治理</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是否以县乡为单元完善移风易俗的约束性措施和奖惩机制；是否开展高价彩礼、大操大办、厚葬薄养、人情攀比、随礼泛滥等重点领域突出问题专项治理；是否宣传推广乡村治理先进典型案例。</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高额彩礼负担重。凉山州重点县虽然政府大力宣传，积极治理，但高额彩礼由明转暗，实际情况是禁而不止。二是红白事情花费多。普遍存在红白事大操大办、四处举债的陋习，严重影响了脱贫户的生产生活。三是宗教支出也不少。甘孜、阿坝等涉藏地区重点县的脱贫户，不少还存在重要节日、家人生病等情形请僧人念经的习惯，凉山州彝族地区也有请毕摩做法事的传统，每次宗教活动支出花费不菲，影响了脱贫家庭的积累能力和发展能力。</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财政衔接推进乡村振兴补助资金使用管理情况，扶贫项目资产后续管理和效益发挥情况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衔接资金使用是否符合管理办法。是否定期开展项目实施和资金支出进度等跟踪督促，衔接资金支出进度是否达到序时进度。</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衔接资金使用不规范，不符合衔接资金管理办法，未聚焦巩固拓展脱贫攻坚成果目标任务，甚至用于负面清单内容。</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2022年度项目库建设管理情况。包括项目入库是否及时充分、程序是否规范、内容是否完整和入库项目是否具备实施条件，以及衔接资金、整合资金是否用于项目库之外的项目等</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一是项目库建设和年度项目实施计划编制工作不到位，调整较随意，影响年度资金项目进度。</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绩效评价考核反馈问题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项目绩效管理情况，包括具体项目实施方案明确绩效目标情况、开展跟踪监督情况、事后评价情况等（是否开展绩效申报、审核、监控、自评）。</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产业类项目带动脱贫群众持续增收效益不佳，联农带农富农机制不健全，混同于一般的大农业资金。</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绩效评价考核反馈问题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资金项目全程公告公示落实情况。包括：市级按要求及时公开资金分配结果等；县级按要求公开资金分配结果、项目库、资金项目计划等；村级项目落实公开公示要求。</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项目实施不规范，项目入库程序不规范，项目全过程绩效管理不到位、乡、村公告公示不到位。</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绩效评价考核反馈问题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是否开展扶贫项目资产“回头看”工作。扶贫项目资产底数是否摸清，是否确权移交，资产是否闲置，后续管护、运营是否落实。</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部分产业项目建成后闲置、形成烂尾，效益不佳，影响脱贫群众稳定增收。二是个别扶贫产业项目建成后闲置，投入资金存在损失风险。三是易地扶贫搬迁安置点产业项目闲置或效益不佳。四是扶贫项目资产后续管理不到位，特别是经营性资产运营效益不佳。</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审计反馈问题、绩效评价考核反馈问题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345"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驻村帮扶</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第一书记和驻村队员是否到位，是否脱产驻村，是否存“两头跑、两头挂”等问题。第一书记必须是党员。</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有的新轮换驻村干部进入角色较慢，有的存在“走读式”驻村现象。</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中省考核评估、督查暗访、巡视审计等发现问题整改落实情况等</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全省巩固拓展脱贫攻坚成果同乡村振兴有效衔接全覆盖督查发现问题、国家乡村振兴局媒体暗访发现问题是否整改到位。是否建立整改台账，整改是否真实。</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自查自纠不够。有的地方照抄照搬省级整改方案，没有举一反三自查自纠，简单以为方案做了问题就改了，说不清楚自身存在的问题。二是措施针对性不强。有的地方制定的整改措施缺乏针对性，将面上工作措施当成问题整改措施，导致问题整改效果不好。</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专项督查反馈问题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34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成效巩固情况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成效巩固情况</w:t>
            </w:r>
          </w:p>
        </w:tc>
        <w:tc>
          <w:tcPr>
            <w:tcW w:w="944" w:type="pct"/>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脱贫群众收入增速情况</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脱贫人口收入增速是否高于当地农民收入增速。</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有的县脱贫人口人均纯收入增速低于农村居民人均可支配收入增速。</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脱贫地区农民收入增速是否高于全省农民收入增速。</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一是有的脱贫县农村居民人均可支配收入增速低于全省农村居民人均可支配收入平均增速。二是有的县脱贫人口人均纯收入增速低于脱贫地区农村居民人均可支配收入增速。</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县级脱贫人口家庭人均纯收入是否稳定超过2021年。</w:t>
            </w:r>
          </w:p>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其中，有劳动能力家庭人均纯收入是否存在低于8000元的脱贫户。</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有的地方脱贫人口收入较2020年不增反降。</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国家考核评估反馈问题、省内后评估反馈问题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脱贫户、监测对象“两不愁三保障”和饮水安全状况</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住房安全</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脱贫人口、监测对象居住房屋是否安全。</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有的脱贫人口、监测对象居住房屋为C\D级危房。</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调研反馈问题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保障对象、改造方式、质量提升、补贴标准、资金来源等政策执行情况。</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2020年至2021年，有的县对379户已经鉴定为C、D级危房房屋仅</w:t>
            </w:r>
            <w:r>
              <w:rPr>
                <w:rFonts w:hint="eastAsia" w:ascii="仿宋_GB2312" w:hAnsi="仿宋_GB2312" w:cs="仿宋_GB2312"/>
                <w:i w:val="0"/>
                <w:iCs w:val="0"/>
                <w:color w:val="000000"/>
                <w:kern w:val="0"/>
                <w:sz w:val="21"/>
                <w:szCs w:val="21"/>
                <w:u w:val="none"/>
                <w:lang w:val="en-US" w:eastAsia="zh-CN" w:bidi="ar"/>
              </w:rPr>
              <w:t>采取</w:t>
            </w:r>
            <w:r>
              <w:rPr>
                <w:rFonts w:hint="eastAsia" w:ascii="仿宋_GB2312" w:hAnsi="仿宋_GB2312" w:eastAsia="仿宋_GB2312" w:cs="仿宋_GB2312"/>
                <w:i w:val="0"/>
                <w:iCs w:val="0"/>
                <w:color w:val="000000"/>
                <w:kern w:val="0"/>
                <w:sz w:val="21"/>
                <w:szCs w:val="21"/>
                <w:u w:val="none"/>
                <w:lang w:val="en-US" w:eastAsia="zh-CN" w:bidi="ar"/>
              </w:rPr>
              <w:t>更换屋面瓦片、墙面抹灰、天棚吊顶、墙面刮白、打地坪等装饰性改 造，未从根本上提升住房安全性，涉及危房改造补助资金450. 26万元。</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2022年农村低收入群体等六类重点对象的危房纳入危房改造或抗震改造范围情况，2022</w:t>
            </w:r>
            <w:r>
              <w:rPr>
                <w:rStyle w:val="17"/>
                <w:rFonts w:hint="eastAsia" w:ascii="仿宋_GB2312" w:hAnsi="仿宋_GB2312" w:eastAsia="仿宋_GB2312" w:cs="仿宋_GB2312"/>
                <w:sz w:val="21"/>
                <w:szCs w:val="21"/>
                <w:lang w:val="en-US" w:eastAsia="zh-CN" w:bidi="ar"/>
              </w:rPr>
              <w:t>年度危房改造任务完成及质量验收情况。</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有的县有农户受地震及地质灾害影响，住房存在安全风险。</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政研内参反馈问题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45" w:type="pct"/>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p>
        </w:tc>
        <w:tc>
          <w:tcPr>
            <w:tcW w:w="51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脱贫户、监测对象“两不愁三保障”和饮水安全状况</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脱贫户、监测对象“两不愁三保障”和饮水安全状况</w:t>
            </w:r>
          </w:p>
        </w:tc>
        <w:tc>
          <w:tcPr>
            <w:tcW w:w="425"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饮水安全</w:t>
            </w: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饮水安全</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供水工程管护机制是否建立，工程管护主体是否落实，水价机制是否建立，饮水问题是否建立快速发现和响应机制、应急供水方案，农村供水问题是否动态清零。</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一是截至2021年底12月底，有的县水利部门和有关基层单位对农村饮水工程管护不到位等，未对损坏的水管及时检查检修，造成多个行政村供水不稳定，135户405名群众饮水不便。二</w:t>
            </w:r>
            <w:r>
              <w:rPr>
                <w:rFonts w:hint="eastAsia" w:ascii="仿宋_GB2312" w:hAnsi="仿宋_GB2312" w:cs="仿宋_GB2312"/>
                <w:i w:val="0"/>
                <w:iCs w:val="0"/>
                <w:color w:val="000000"/>
                <w:kern w:val="0"/>
                <w:sz w:val="21"/>
                <w:szCs w:val="21"/>
                <w:u w:val="none"/>
                <w:lang w:val="en-US" w:eastAsia="zh-CN" w:bidi="ar"/>
              </w:rPr>
              <w:t>是具有</w:t>
            </w:r>
            <w:r>
              <w:rPr>
                <w:rFonts w:hint="eastAsia" w:ascii="仿宋_GB2312" w:hAnsi="仿宋_GB2312" w:eastAsia="仿宋_GB2312" w:cs="仿宋_GB2312"/>
                <w:i w:val="0"/>
                <w:iCs w:val="0"/>
                <w:color w:val="000000"/>
                <w:kern w:val="0"/>
                <w:sz w:val="21"/>
                <w:szCs w:val="21"/>
                <w:u w:val="none"/>
                <w:lang w:val="en-US" w:eastAsia="zh-CN" w:bidi="ar"/>
              </w:rPr>
              <w:t>的农户介绍，该村自来水管道被泥石流冲毁，一直未修缮，连厕所都不能使用，该村每户出资350元，投工投劳修建了临时性山水池，农户自行前往水池背水。驻村干部介绍，被毁坏的管道在山里，来回要5-6个小时，路远山陡，修缮和管护难度比较大。三是有的县部分村因海拔较高，冬季寒冷，水管未入地而被冻结，去年冬季断水期达15-40天。部分村雨季水质浑浊，无法正常饮用。</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60" w:lineRule="exact"/>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审计反馈问题、国家暗访反馈问题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519"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42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农村供水工程建设资金是否落实，工程建设进展及年度目标任务是否完成。</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一些基层“急难愁盼”项目得不到解决。一些基层干部</w:t>
            </w:r>
            <w:r>
              <w:rPr>
                <w:rFonts w:hint="eastAsia" w:ascii="仿宋_GB2312" w:hAnsi="仿宋_GB2312" w:cs="仿宋_GB2312"/>
                <w:i w:val="0"/>
                <w:iCs w:val="0"/>
                <w:color w:val="000000"/>
                <w:kern w:val="0"/>
                <w:sz w:val="21"/>
                <w:szCs w:val="21"/>
                <w:u w:val="none"/>
                <w:lang w:val="en-US" w:eastAsia="zh-CN" w:bidi="ar"/>
              </w:rPr>
              <w:t>群众反映</w:t>
            </w:r>
            <w:r>
              <w:rPr>
                <w:rFonts w:hint="eastAsia" w:ascii="仿宋_GB2312" w:hAnsi="仿宋_GB2312" w:eastAsia="仿宋_GB2312" w:cs="仿宋_GB2312"/>
                <w:i w:val="0"/>
                <w:iCs w:val="0"/>
                <w:color w:val="000000"/>
                <w:kern w:val="0"/>
                <w:sz w:val="21"/>
                <w:szCs w:val="21"/>
                <w:u w:val="none"/>
                <w:lang w:val="en-US" w:eastAsia="zh-CN" w:bidi="ar"/>
              </w:rPr>
              <w:t>，在项目选择、实施中，村内实施的一些项目不是基层最需要的，而基层长期“急难愁盼”的项目却长期得不到解决。有的县某村组共有14户常住人口，该组农户饮水保障水平不高，每年有1-2个月需要挑水吃。该组村民介绍，为了解决吃水难题，村民已经连续向上级反映11年了，目前仍未解决。有的县某村常遭水患，有1000余亩耕地经常被淹。该村村“两委”连续十余年向乡政府反映或申报修建防洪堤和消水洞，但至今未得到回应解决。</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国家暗访反馈问题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211"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345" w:type="pct"/>
            <w:vMerge w:val="continue"/>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left="-96" w:leftChars="-30" w:right="-96" w:rightChars="-30"/>
              <w:jc w:val="center"/>
              <w:rPr>
                <w:rFonts w:hint="eastAsia" w:ascii="仿宋_GB2312" w:hAnsi="仿宋_GB2312" w:eastAsia="仿宋_GB2312" w:cs="仿宋_GB2312"/>
                <w:i w:val="0"/>
                <w:iCs w:val="0"/>
                <w:color w:val="000000"/>
                <w:sz w:val="21"/>
                <w:szCs w:val="21"/>
                <w:u w:val="none"/>
              </w:rPr>
            </w:pPr>
          </w:p>
        </w:tc>
        <w:tc>
          <w:tcPr>
            <w:tcW w:w="944" w:type="pct"/>
            <w:gridSpan w:val="2"/>
            <w:tcBorders>
              <w:tl2br w:val="nil"/>
              <w:tr2bl w:val="nil"/>
            </w:tcBorders>
            <w:shd w:val="clear" w:color="auto" w:fill="FFFFFF"/>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因责任、政策、工作落实不到位导致的返贫致贫问题和风险</w:t>
            </w:r>
          </w:p>
        </w:tc>
        <w:tc>
          <w:tcPr>
            <w:tcW w:w="12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对出现“漏测”或“体外循环”，已纳入监测对象帮扶措施落实不力发生“失帮”现象的，分析原因，看是否存在因责任、政策、工作落实不到位而导致。</w:t>
            </w:r>
          </w:p>
        </w:tc>
        <w:tc>
          <w:tcPr>
            <w:tcW w:w="163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有的地方存在因责任、政策、工作落实不到位，导致出现“漏测”或“体外循环”，已纳入监测对象帮扶措施落实不力发生“失帮”现象。</w:t>
            </w:r>
          </w:p>
        </w:tc>
        <w:tc>
          <w:tcPr>
            <w:tcW w:w="6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ind w:left="-96" w:leftChars="-30" w:right="-96" w:rightChars="-3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调研反馈问题</w:t>
            </w:r>
          </w:p>
        </w:tc>
      </w:tr>
    </w:tbl>
    <w:p>
      <w:pPr>
        <w:spacing w:after="0"/>
        <w:jc w:val="center"/>
        <w:rPr>
          <w:rFonts w:hint="default" w:ascii="Times New Roman" w:hAnsi="Times New Roman" w:cs="Times New Roman"/>
          <w:color w:val="auto"/>
          <w:sz w:val="23"/>
        </w:rPr>
        <w:sectPr>
          <w:pgSz w:w="16840" w:h="11910" w:orient="landscape"/>
          <w:pgMar w:top="1134" w:right="1134" w:bottom="1134" w:left="1134" w:header="720" w:footer="340" w:gutter="0"/>
          <w:pgBorders>
            <w:top w:val="none" w:sz="0" w:space="0"/>
            <w:left w:val="none" w:sz="0" w:space="0"/>
            <w:bottom w:val="none" w:sz="0" w:space="0"/>
            <w:right w:val="none" w:sz="0" w:space="0"/>
          </w:pgBorders>
          <w:pgNumType w:fmt="numberInDash"/>
          <w:cols w:space="0" w:num="1"/>
          <w:rtlGutter w:val="0"/>
          <w:docGrid w:linePitch="0" w:charSpace="0"/>
        </w:sectPr>
      </w:pPr>
    </w:p>
    <w:p>
      <w:pPr>
        <w:pStyle w:val="4"/>
        <w:spacing w:before="40"/>
        <w:jc w:val="left"/>
        <w:rPr>
          <w:rFonts w:hint="default" w:ascii="Times New Roman" w:hAnsi="Times New Roman" w:eastAsia="黑体" w:cs="Times New Roman"/>
          <w:color w:val="auto"/>
        </w:rPr>
      </w:pPr>
      <w:r>
        <w:rPr>
          <w:rFonts w:hint="default" w:ascii="Times New Roman" w:hAnsi="Times New Roman" w:eastAsia="黑体" w:cs="Times New Roman"/>
          <w:color w:val="auto"/>
        </w:rPr>
        <w:t>附件3</w:t>
      </w:r>
    </w:p>
    <w:p>
      <w:pPr>
        <w:pStyle w:val="4"/>
        <w:spacing w:before="4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“回头看”排查问题清单</w:t>
      </w:r>
    </w:p>
    <w:p>
      <w:pPr>
        <w:spacing w:after="0"/>
        <w:rPr>
          <w:rFonts w:hint="default" w:ascii="Times New Roman" w:hAnsi="Times New Roman" w:cs="Times New Roman"/>
          <w:color w:val="auto"/>
        </w:rPr>
        <w:sectPr>
          <w:pgSz w:w="16840" w:h="11910" w:orient="landscape"/>
          <w:pgMar w:top="1134" w:right="1134" w:bottom="1134" w:left="1134" w:header="720" w:footer="340" w:gutter="0"/>
          <w:pgBorders>
            <w:top w:val="none" w:sz="0" w:space="0"/>
            <w:left w:val="none" w:sz="0" w:space="0"/>
            <w:bottom w:val="none" w:sz="0" w:space="0"/>
            <w:right w:val="none" w:sz="0" w:space="0"/>
          </w:pgBorders>
          <w:pgNumType w:fmt="numberInDash"/>
          <w:cols w:space="0" w:num="1"/>
          <w:rtlGutter w:val="0"/>
          <w:docGrid w:linePitch="0" w:charSpace="0"/>
        </w:sectPr>
      </w:pPr>
    </w:p>
    <w:p>
      <w:pPr>
        <w:pStyle w:val="4"/>
        <w:spacing w:before="3"/>
        <w:rPr>
          <w:rFonts w:hint="default" w:ascii="Times New Roman" w:hAnsi="Times New Roman" w:cs="Times New Roman"/>
          <w:color w:val="auto"/>
          <w:sz w:val="12"/>
        </w:rPr>
      </w:pPr>
    </w:p>
    <w:p>
      <w:pPr>
        <w:spacing w:before="66"/>
        <w:ind w:left="0" w:right="3305" w:firstLine="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填报时间：</w:t>
      </w:r>
    </w:p>
    <w:p>
      <w:pPr>
        <w:spacing w:before="8" w:line="240" w:lineRule="auto"/>
        <w:rPr>
          <w:rFonts w:hint="default" w:ascii="Times New Roman" w:hAnsi="Times New Roman" w:cs="Times New Roman"/>
          <w:color w:val="auto"/>
          <w:sz w:val="6"/>
        </w:rPr>
      </w:pP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994"/>
        <w:gridCol w:w="994"/>
        <w:gridCol w:w="1779"/>
        <w:gridCol w:w="3226"/>
        <w:gridCol w:w="6440"/>
        <w:gridCol w:w="9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994" w:type="dxa"/>
            <w:vAlign w:val="top"/>
          </w:tcPr>
          <w:p>
            <w:pPr>
              <w:pStyle w:val="14"/>
              <w:spacing w:before="112"/>
              <w:ind w:left="22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994" w:type="dxa"/>
            <w:vAlign w:val="top"/>
          </w:tcPr>
          <w:p>
            <w:pPr>
              <w:pStyle w:val="14"/>
              <w:spacing w:before="112"/>
              <w:ind w:left="28"/>
              <w:jc w:val="center"/>
              <w:rPr>
                <w:rFonts w:hint="default" w:ascii="Times New Roman" w:hAnsi="Times New Roman" w:eastAsia="黑体" w:cs="Times New Roman"/>
                <w:color w:val="auto"/>
                <w:sz w:val="21"/>
                <w:szCs w:val="21"/>
                <w:lang w:val="en-US" w:eastAsia="zh-CN"/>
              </w:rPr>
            </w:pPr>
            <w:r>
              <w:rPr>
                <w:rFonts w:hint="eastAsia" w:ascii="Times New Roman" w:hAnsi="Times New Roman" w:eastAsia="黑体" w:cs="Times New Roman"/>
                <w:color w:val="auto"/>
                <w:sz w:val="21"/>
                <w:szCs w:val="21"/>
                <w:lang w:val="en-US" w:eastAsia="zh-CN"/>
              </w:rPr>
              <w:t>大石镇</w:t>
            </w:r>
          </w:p>
        </w:tc>
        <w:tc>
          <w:tcPr>
            <w:tcW w:w="994" w:type="dxa"/>
            <w:vAlign w:val="top"/>
          </w:tcPr>
          <w:p>
            <w:pPr>
              <w:pStyle w:val="14"/>
              <w:spacing w:before="112"/>
              <w:ind w:left="32"/>
              <w:jc w:val="center"/>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lang w:eastAsia="zh-CN"/>
              </w:rPr>
              <w:t>行政村</w:t>
            </w:r>
          </w:p>
        </w:tc>
        <w:tc>
          <w:tcPr>
            <w:tcW w:w="1779" w:type="dxa"/>
            <w:vAlign w:val="top"/>
          </w:tcPr>
          <w:p>
            <w:pPr>
              <w:pStyle w:val="14"/>
              <w:spacing w:before="112"/>
              <w:ind w:left="329"/>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问题类型</w:t>
            </w:r>
          </w:p>
        </w:tc>
        <w:tc>
          <w:tcPr>
            <w:tcW w:w="3226" w:type="dxa"/>
            <w:vAlign w:val="top"/>
          </w:tcPr>
          <w:p>
            <w:pPr>
              <w:pStyle w:val="14"/>
              <w:spacing w:before="112"/>
              <w:ind w:left="77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问题性质简述</w:t>
            </w:r>
          </w:p>
        </w:tc>
        <w:tc>
          <w:tcPr>
            <w:tcW w:w="6440" w:type="dxa"/>
            <w:vAlign w:val="top"/>
          </w:tcPr>
          <w:p>
            <w:pPr>
              <w:pStyle w:val="14"/>
              <w:spacing w:before="112"/>
              <w:ind w:left="2362" w:right="2337"/>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问题具体描述</w:t>
            </w:r>
          </w:p>
        </w:tc>
        <w:tc>
          <w:tcPr>
            <w:tcW w:w="994" w:type="dxa"/>
            <w:vAlign w:val="top"/>
          </w:tcPr>
          <w:p>
            <w:pPr>
              <w:pStyle w:val="14"/>
              <w:spacing w:before="112"/>
              <w:ind w:left="219"/>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c>
          <w:tcPr>
            <w:tcW w:w="1779" w:type="dxa"/>
            <w:vAlign w:val="top"/>
          </w:tcPr>
          <w:p>
            <w:pPr>
              <w:pStyle w:val="14"/>
              <w:rPr>
                <w:rFonts w:hint="default" w:ascii="Times New Roman" w:hAnsi="Times New Roman" w:cs="Times New Roman"/>
                <w:color w:val="auto"/>
                <w:sz w:val="21"/>
                <w:szCs w:val="21"/>
              </w:rPr>
            </w:pPr>
          </w:p>
        </w:tc>
        <w:tc>
          <w:tcPr>
            <w:tcW w:w="3226" w:type="dxa"/>
            <w:vAlign w:val="top"/>
          </w:tcPr>
          <w:p>
            <w:pPr>
              <w:pStyle w:val="14"/>
              <w:rPr>
                <w:rFonts w:hint="default" w:ascii="Times New Roman" w:hAnsi="Times New Roman" w:cs="Times New Roman"/>
                <w:color w:val="auto"/>
                <w:sz w:val="21"/>
                <w:szCs w:val="21"/>
              </w:rPr>
            </w:pPr>
          </w:p>
        </w:tc>
        <w:tc>
          <w:tcPr>
            <w:tcW w:w="6440" w:type="dxa"/>
            <w:vAlign w:val="top"/>
          </w:tcPr>
          <w:p>
            <w:pPr>
              <w:pStyle w:val="14"/>
              <w:rPr>
                <w:rFonts w:hint="default" w:ascii="Times New Roman" w:hAnsi="Times New Roman" w:cs="Times New Roman"/>
                <w:color w:val="auto"/>
                <w:sz w:val="21"/>
                <w:szCs w:val="21"/>
              </w:rPr>
            </w:pPr>
          </w:p>
        </w:tc>
        <w:tc>
          <w:tcPr>
            <w:tcW w:w="994" w:type="dxa"/>
            <w:vAlign w:val="top"/>
          </w:tcPr>
          <w:p>
            <w:pPr>
              <w:pStyle w:val="14"/>
              <w:rPr>
                <w:rFonts w:hint="default" w:ascii="Times New Roman" w:hAnsi="Times New Roman" w:cs="Times New Roman"/>
                <w:color w:val="auto"/>
                <w:sz w:val="21"/>
                <w:szCs w:val="21"/>
              </w:rPr>
            </w:pPr>
          </w:p>
        </w:tc>
      </w:tr>
    </w:tbl>
    <w:p>
      <w:pPr>
        <w:spacing w:before="0" w:line="240" w:lineRule="auto"/>
        <w:rPr>
          <w:rFonts w:hint="default" w:ascii="Times New Roman" w:hAnsi="Times New Roman" w:cs="Times New Roman"/>
          <w:color w:val="auto"/>
          <w:sz w:val="24"/>
        </w:rPr>
      </w:pPr>
    </w:p>
    <w:p>
      <w:pPr>
        <w:spacing w:before="1" w:line="240" w:lineRule="auto"/>
        <w:rPr>
          <w:rFonts w:hint="default" w:ascii="Times New Roman" w:hAnsi="Times New Roman" w:cs="Times New Roman"/>
          <w:color w:val="auto"/>
          <w:sz w:val="25"/>
        </w:rPr>
      </w:pPr>
    </w:p>
    <w:p>
      <w:pPr>
        <w:spacing w:before="0" w:line="268" w:lineRule="exact"/>
        <w:ind w:left="166" w:right="0" w:firstLine="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注：1.问题类型包括：责任落实、政策落实、工作落实、巩固成果。</w:t>
      </w:r>
    </w:p>
    <w:p>
      <w:pPr>
        <w:spacing w:before="0" w:line="268" w:lineRule="exact"/>
        <w:ind w:left="166" w:right="0" w:firstLine="630" w:firstLineChars="30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问题性质简述是指：愁吃、愁穿、住房安全问题、义务教育儿童失辍学、教育资助、医疗保障、农户家庭收支、饮水安全、监测对象识别</w:t>
      </w:r>
    </w:p>
    <w:p>
      <w:pPr>
        <w:spacing w:before="0" w:line="268" w:lineRule="exact"/>
        <w:ind w:left="1152" w:leftChars="360" w:right="0" w:firstLine="0" w:firstLineChars="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监测对象帮扶、监测对象风险消除、易地扶贫搬迁后续扶持、党委政府主体责任、党委农村工作领导小组责任、行业部门风险信息推送、行业部门信息比对、行业部门帮扶、驻村工作组责任、监测户联系人责任等。</w:t>
      </w:r>
    </w:p>
    <w:p>
      <w:pPr>
        <w:spacing w:before="0" w:line="268" w:lineRule="exact"/>
        <w:ind w:left="166" w:right="0" w:firstLine="630" w:firstLineChars="30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问题具体描述：发现问题要写明具体乡镇、村名、户名（包括属性脱贫户、监测户、一般农户）、家庭人口、问题表述；或行业部门名称</w:t>
      </w:r>
    </w:p>
    <w:p>
      <w:pPr>
        <w:spacing w:before="0" w:line="268" w:lineRule="exact"/>
        <w:ind w:left="166" w:right="0" w:firstLine="420" w:firstLineChars="20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（乡镇）、问题表述。所有问题要见人见事。</w:t>
      </w:r>
    </w:p>
    <w:p>
      <w:pPr>
        <w:spacing w:before="0" w:line="268" w:lineRule="exact"/>
        <w:ind w:left="166" w:right="0" w:firstLine="630" w:firstLineChars="30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备注：标注问题是否整改、正在整改、未整改。</w:t>
      </w:r>
    </w:p>
    <w:p>
      <w:pPr>
        <w:spacing w:before="0" w:line="268" w:lineRule="exact"/>
        <w:ind w:left="166" w:right="0" w:firstLine="0"/>
        <w:jc w:val="left"/>
        <w:rPr>
          <w:rFonts w:hint="default" w:ascii="Times New Roman" w:hAnsi="Times New Roman" w:eastAsia="仿宋_GB2312" w:cs="Times New Roman"/>
          <w:b/>
          <w:color w:val="auto"/>
          <w:sz w:val="21"/>
        </w:rPr>
        <w:sectPr>
          <w:type w:val="continuous"/>
          <w:pgSz w:w="16840" w:h="11910" w:orient="landscape"/>
          <w:pgMar w:top="1134" w:right="1134" w:bottom="1134" w:left="1134" w:header="720" w:footer="340" w:gutter="0"/>
          <w:pgBorders>
            <w:top w:val="none" w:sz="0" w:space="0"/>
            <w:left w:val="none" w:sz="0" w:space="0"/>
            <w:bottom w:val="none" w:sz="0" w:space="0"/>
            <w:right w:val="none" w:sz="0" w:space="0"/>
          </w:pgBorders>
          <w:pgNumType w:fmt="numberInDash"/>
          <w:cols w:space="0" w:num="1"/>
          <w:rtlGutter w:val="0"/>
          <w:docGrid w:linePitch="0" w:charSpace="0"/>
        </w:sectPr>
      </w:pPr>
    </w:p>
    <w:p>
      <w:pPr>
        <w:spacing w:before="49"/>
        <w:ind w:right="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w w:val="105"/>
          <w:sz w:val="32"/>
          <w:szCs w:val="32"/>
        </w:rPr>
        <w:t>附件4</w:t>
      </w:r>
    </w:p>
    <w:p>
      <w:pPr>
        <w:pStyle w:val="4"/>
        <w:spacing w:before="3"/>
        <w:rPr>
          <w:rFonts w:hint="default" w:ascii="Times New Roman" w:hAnsi="Times New Roman" w:cs="Times New Roman"/>
          <w:color w:val="auto"/>
          <w:sz w:val="18"/>
        </w:rPr>
      </w:pPr>
    </w:p>
    <w:p>
      <w:pPr>
        <w:pStyle w:val="3"/>
        <w:spacing w:before="1"/>
        <w:jc w:val="center"/>
        <w:rPr>
          <w:rFonts w:hint="default" w:ascii="Times New Roman" w:hAnsi="Times New Roman" w:cs="Times New Roman"/>
          <w:color w:val="auto"/>
          <w:sz w:val="19"/>
        </w:rPr>
      </w:pPr>
      <w:r>
        <w:rPr>
          <w:rFonts w:hint="eastAsia" w:ascii="Times New Roman" w:hAnsi="Times New Roman" w:eastAsia="方正小标宋简体" w:cs="Times New Roman"/>
          <w:color w:val="auto"/>
          <w:sz w:val="44"/>
          <w:szCs w:val="44"/>
          <w:lang w:val="en-US" w:eastAsia="zh-CN"/>
        </w:rPr>
        <w:t>大石镇</w:t>
      </w:r>
      <w:r>
        <w:rPr>
          <w:rFonts w:hint="default" w:ascii="Times New Roman" w:hAnsi="Times New Roman" w:eastAsia="方正小标宋简体" w:cs="Times New Roman"/>
          <w:color w:val="auto"/>
          <w:sz w:val="44"/>
          <w:szCs w:val="44"/>
        </w:rPr>
        <w:t>“回头看”排查情况汇总表</w:t>
      </w:r>
    </w:p>
    <w:p>
      <w:pPr>
        <w:spacing w:before="66"/>
        <w:ind w:left="0" w:right="3305" w:firstLine="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填报时间：</w:t>
      </w:r>
    </w:p>
    <w:tbl>
      <w:tblPr>
        <w:tblStyle w:val="7"/>
        <w:tblW w:w="156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3"/>
        <w:gridCol w:w="670"/>
        <w:gridCol w:w="670"/>
        <w:gridCol w:w="670"/>
        <w:gridCol w:w="670"/>
        <w:gridCol w:w="670"/>
        <w:gridCol w:w="670"/>
        <w:gridCol w:w="670"/>
        <w:gridCol w:w="670"/>
        <w:gridCol w:w="670"/>
        <w:gridCol w:w="670"/>
        <w:gridCol w:w="670"/>
        <w:gridCol w:w="670"/>
        <w:gridCol w:w="670"/>
        <w:gridCol w:w="670"/>
        <w:gridCol w:w="670"/>
        <w:gridCol w:w="670"/>
        <w:gridCol w:w="905"/>
        <w:gridCol w:w="905"/>
        <w:gridCol w:w="670"/>
        <w:gridCol w:w="670"/>
        <w:gridCol w:w="670"/>
        <w:gridCol w:w="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Merge w:val="restart"/>
            <w:vAlign w:val="top"/>
          </w:tcPr>
          <w:p>
            <w:pPr>
              <w:pStyle w:val="14"/>
              <w:rPr>
                <w:rFonts w:hint="default" w:ascii="Times New Roman" w:hAnsi="Times New Roman" w:cs="Times New Roman"/>
                <w:color w:val="auto"/>
                <w:sz w:val="21"/>
                <w:szCs w:val="21"/>
              </w:rPr>
            </w:pPr>
          </w:p>
          <w:p>
            <w:pPr>
              <w:pStyle w:val="14"/>
              <w:spacing w:before="2"/>
              <w:rPr>
                <w:rFonts w:hint="default" w:ascii="Times New Roman" w:hAnsi="Times New Roman" w:cs="Times New Roman"/>
                <w:color w:val="auto"/>
                <w:sz w:val="21"/>
                <w:szCs w:val="21"/>
              </w:rPr>
            </w:pPr>
          </w:p>
          <w:p>
            <w:pPr>
              <w:pStyle w:val="14"/>
              <w:spacing w:before="1" w:line="237" w:lineRule="auto"/>
              <w:ind w:left="102" w:right="7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670" w:type="dxa"/>
            <w:vMerge w:val="restart"/>
            <w:vAlign w:val="top"/>
          </w:tcPr>
          <w:p>
            <w:pPr>
              <w:pStyle w:val="14"/>
              <w:rPr>
                <w:rFonts w:hint="default" w:ascii="Times New Roman" w:hAnsi="Times New Roman" w:cs="Times New Roman"/>
                <w:color w:val="auto"/>
                <w:sz w:val="21"/>
                <w:szCs w:val="21"/>
              </w:rPr>
            </w:pPr>
          </w:p>
          <w:p>
            <w:pPr>
              <w:pStyle w:val="14"/>
              <w:rPr>
                <w:rFonts w:hint="default" w:ascii="Times New Roman" w:hAnsi="Times New Roman" w:cs="Times New Roman"/>
                <w:color w:val="auto"/>
                <w:sz w:val="21"/>
                <w:szCs w:val="21"/>
              </w:rPr>
            </w:pPr>
          </w:p>
          <w:p>
            <w:pPr>
              <w:pStyle w:val="14"/>
              <w:spacing w:before="7"/>
              <w:rPr>
                <w:rFonts w:hint="default" w:ascii="Times New Roman" w:hAnsi="Times New Roman" w:cs="Times New Roman"/>
                <w:color w:val="auto"/>
                <w:sz w:val="21"/>
                <w:szCs w:val="21"/>
              </w:rPr>
            </w:pPr>
          </w:p>
          <w:p>
            <w:pPr>
              <w:pStyle w:val="14"/>
              <w:ind w:left="23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2"/>
                <w:sz w:val="21"/>
                <w:szCs w:val="21"/>
              </w:rPr>
              <w:t>市</w:t>
            </w:r>
          </w:p>
        </w:tc>
        <w:tc>
          <w:tcPr>
            <w:tcW w:w="670" w:type="dxa"/>
            <w:vMerge w:val="restart"/>
            <w:vAlign w:val="top"/>
          </w:tcPr>
          <w:p>
            <w:pPr>
              <w:pStyle w:val="14"/>
              <w:rPr>
                <w:rFonts w:hint="default" w:ascii="Times New Roman" w:hAnsi="Times New Roman" w:cs="Times New Roman"/>
                <w:color w:val="auto"/>
                <w:sz w:val="21"/>
                <w:szCs w:val="21"/>
              </w:rPr>
            </w:pPr>
          </w:p>
          <w:p>
            <w:pPr>
              <w:pStyle w:val="14"/>
              <w:rPr>
                <w:rFonts w:hint="default" w:ascii="Times New Roman" w:hAnsi="Times New Roman" w:cs="Times New Roman"/>
                <w:color w:val="auto"/>
                <w:sz w:val="21"/>
                <w:szCs w:val="21"/>
              </w:rPr>
            </w:pPr>
          </w:p>
          <w:p>
            <w:pPr>
              <w:pStyle w:val="14"/>
              <w:spacing w:before="7"/>
              <w:rPr>
                <w:rFonts w:hint="default" w:ascii="Times New Roman" w:hAnsi="Times New Roman" w:cs="Times New Roman"/>
                <w:color w:val="auto"/>
                <w:sz w:val="21"/>
                <w:szCs w:val="21"/>
              </w:rPr>
            </w:pPr>
          </w:p>
          <w:p>
            <w:pPr>
              <w:pStyle w:val="14"/>
              <w:ind w:left="23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2"/>
                <w:sz w:val="21"/>
                <w:szCs w:val="21"/>
              </w:rPr>
              <w:t>县</w:t>
            </w:r>
          </w:p>
        </w:tc>
        <w:tc>
          <w:tcPr>
            <w:tcW w:w="4020" w:type="dxa"/>
            <w:gridSpan w:val="6"/>
            <w:vAlign w:val="top"/>
          </w:tcPr>
          <w:p>
            <w:pPr>
              <w:pStyle w:val="14"/>
              <w:spacing w:before="86"/>
              <w:ind w:left="103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参加“回头看”人数</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1"/>
              <w:rPr>
                <w:rFonts w:hint="default" w:ascii="Times New Roman" w:hAnsi="Times New Roman" w:cs="Times New Roman"/>
                <w:color w:val="auto"/>
                <w:sz w:val="21"/>
                <w:szCs w:val="21"/>
              </w:rPr>
            </w:pPr>
          </w:p>
          <w:p>
            <w:pPr>
              <w:pStyle w:val="14"/>
              <w:spacing w:before="1" w:line="237" w:lineRule="auto"/>
              <w:ind w:left="118" w:right="97"/>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排查乡镇数量</w:t>
            </w:r>
          </w:p>
        </w:tc>
        <w:tc>
          <w:tcPr>
            <w:tcW w:w="2680" w:type="dxa"/>
            <w:gridSpan w:val="4"/>
            <w:vAlign w:val="top"/>
          </w:tcPr>
          <w:p>
            <w:pPr>
              <w:pStyle w:val="14"/>
              <w:spacing w:before="86"/>
              <w:ind w:left="684"/>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排查行政村数</w:t>
            </w:r>
          </w:p>
        </w:tc>
        <w:tc>
          <w:tcPr>
            <w:tcW w:w="5160" w:type="dxa"/>
            <w:gridSpan w:val="7"/>
            <w:vAlign w:val="top"/>
          </w:tcPr>
          <w:p>
            <w:pPr>
              <w:pStyle w:val="14"/>
              <w:spacing w:before="86"/>
              <w:ind w:left="2003" w:right="1994"/>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走访农户数</w:t>
            </w:r>
          </w:p>
        </w:tc>
        <w:tc>
          <w:tcPr>
            <w:tcW w:w="1340" w:type="dxa"/>
            <w:gridSpan w:val="2"/>
            <w:vMerge w:val="restart"/>
            <w:vAlign w:val="top"/>
          </w:tcPr>
          <w:p>
            <w:pPr>
              <w:pStyle w:val="14"/>
              <w:spacing w:before="31" w:line="266" w:lineRule="exact"/>
              <w:ind w:left="121" w:right="106"/>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“回头看”新认定监测</w:t>
            </w:r>
            <w:r>
              <w:rPr>
                <w:rFonts w:hint="default" w:ascii="Times New Roman" w:hAnsi="Times New Roman" w:eastAsia="黑体" w:cs="Times New Roman"/>
                <w:color w:val="auto"/>
                <w:w w:val="105"/>
                <w:sz w:val="21"/>
                <w:szCs w:val="21"/>
              </w:rPr>
              <w:t>对象户数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0"/>
              <w:rPr>
                <w:rFonts w:hint="default" w:ascii="Times New Roman" w:hAnsi="Times New Roman" w:cs="Times New Roman"/>
                <w:color w:val="auto"/>
                <w:sz w:val="21"/>
                <w:szCs w:val="21"/>
              </w:rPr>
            </w:pPr>
          </w:p>
          <w:p>
            <w:pPr>
              <w:pStyle w:val="14"/>
              <w:spacing w:before="1"/>
              <w:ind w:left="12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合计</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120" w:right="5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市级干部</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120" w:right="5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县级干部</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120" w:right="5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乡镇干部</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118" w:right="54"/>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村组干部</w:t>
            </w:r>
          </w:p>
        </w:tc>
        <w:tc>
          <w:tcPr>
            <w:tcW w:w="670" w:type="dxa"/>
            <w:vMerge w:val="restart"/>
            <w:vAlign w:val="top"/>
          </w:tcPr>
          <w:p>
            <w:pPr>
              <w:pStyle w:val="14"/>
              <w:spacing w:before="5"/>
              <w:rPr>
                <w:rFonts w:hint="default" w:ascii="Times New Roman" w:hAnsi="Times New Roman" w:cs="Times New Roman"/>
                <w:color w:val="auto"/>
                <w:sz w:val="21"/>
                <w:szCs w:val="21"/>
              </w:rPr>
            </w:pPr>
          </w:p>
          <w:p>
            <w:pPr>
              <w:pStyle w:val="14"/>
              <w:spacing w:line="235" w:lineRule="auto"/>
              <w:ind w:left="118" w:right="97"/>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驻村工作队员</w:t>
            </w: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0"/>
              <w:rPr>
                <w:rFonts w:hint="default" w:ascii="Times New Roman" w:hAnsi="Times New Roman" w:cs="Times New Roman"/>
                <w:color w:val="auto"/>
                <w:sz w:val="21"/>
                <w:szCs w:val="21"/>
              </w:rPr>
            </w:pPr>
          </w:p>
          <w:p>
            <w:pPr>
              <w:pStyle w:val="14"/>
              <w:spacing w:before="1"/>
              <w:ind w:left="118"/>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合计</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228" w:right="55" w:hanging="11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脱贫村</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86" w:line="237" w:lineRule="auto"/>
              <w:ind w:left="227" w:right="55" w:hanging="11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一般村</w:t>
            </w:r>
          </w:p>
        </w:tc>
        <w:tc>
          <w:tcPr>
            <w:tcW w:w="670" w:type="dxa"/>
            <w:vMerge w:val="restart"/>
            <w:vAlign w:val="top"/>
          </w:tcPr>
          <w:p>
            <w:pPr>
              <w:pStyle w:val="14"/>
              <w:spacing w:before="5"/>
              <w:rPr>
                <w:rFonts w:hint="default" w:ascii="Times New Roman" w:hAnsi="Times New Roman" w:cs="Times New Roman"/>
                <w:color w:val="auto"/>
                <w:sz w:val="21"/>
                <w:szCs w:val="21"/>
              </w:rPr>
            </w:pPr>
          </w:p>
          <w:p>
            <w:pPr>
              <w:pStyle w:val="14"/>
              <w:spacing w:line="235" w:lineRule="auto"/>
              <w:ind w:left="116" w:right="99"/>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重点帮扶</w:t>
            </w:r>
            <w:r>
              <w:rPr>
                <w:rFonts w:hint="default" w:ascii="Times New Roman" w:hAnsi="Times New Roman" w:eastAsia="黑体" w:cs="Times New Roman"/>
                <w:color w:val="auto"/>
                <w:w w:val="105"/>
                <w:sz w:val="21"/>
                <w:szCs w:val="21"/>
              </w:rPr>
              <w:t>村</w:t>
            </w:r>
          </w:p>
        </w:tc>
        <w:tc>
          <w:tcPr>
            <w:tcW w:w="670" w:type="dxa"/>
            <w:vMerge w:val="restart"/>
            <w:vAlign w:val="top"/>
          </w:tcPr>
          <w:p>
            <w:pPr>
              <w:pStyle w:val="14"/>
              <w:rPr>
                <w:rFonts w:hint="default" w:ascii="Times New Roman" w:hAnsi="Times New Roman" w:cs="Times New Roman"/>
                <w:color w:val="auto"/>
                <w:sz w:val="21"/>
                <w:szCs w:val="21"/>
              </w:rPr>
            </w:pPr>
          </w:p>
          <w:p>
            <w:pPr>
              <w:pStyle w:val="14"/>
              <w:spacing w:before="10"/>
              <w:rPr>
                <w:rFonts w:hint="default" w:ascii="Times New Roman" w:hAnsi="Times New Roman" w:cs="Times New Roman"/>
                <w:color w:val="auto"/>
                <w:sz w:val="21"/>
                <w:szCs w:val="21"/>
              </w:rPr>
            </w:pPr>
          </w:p>
          <w:p>
            <w:pPr>
              <w:pStyle w:val="14"/>
              <w:spacing w:before="1"/>
              <w:ind w:left="116"/>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合计</w:t>
            </w:r>
          </w:p>
        </w:tc>
        <w:tc>
          <w:tcPr>
            <w:tcW w:w="1340" w:type="dxa"/>
            <w:gridSpan w:val="2"/>
            <w:vAlign w:val="top"/>
          </w:tcPr>
          <w:p>
            <w:pPr>
              <w:pStyle w:val="14"/>
              <w:spacing w:before="87"/>
              <w:ind w:left="34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脱贫户</w:t>
            </w:r>
          </w:p>
        </w:tc>
        <w:tc>
          <w:tcPr>
            <w:tcW w:w="2480" w:type="dxa"/>
            <w:gridSpan w:val="3"/>
            <w:vAlign w:val="top"/>
          </w:tcPr>
          <w:p>
            <w:pPr>
              <w:pStyle w:val="14"/>
              <w:spacing w:before="87"/>
              <w:ind w:left="883" w:right="875"/>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监测户</w:t>
            </w:r>
          </w:p>
        </w:tc>
        <w:tc>
          <w:tcPr>
            <w:tcW w:w="670" w:type="dxa"/>
            <w:vMerge w:val="restart"/>
            <w:vAlign w:val="top"/>
          </w:tcPr>
          <w:p>
            <w:pPr>
              <w:pStyle w:val="14"/>
              <w:spacing w:before="9"/>
              <w:rPr>
                <w:rFonts w:hint="default" w:ascii="Times New Roman" w:hAnsi="Times New Roman" w:cs="Times New Roman"/>
                <w:color w:val="auto"/>
                <w:sz w:val="21"/>
                <w:szCs w:val="21"/>
              </w:rPr>
            </w:pPr>
          </w:p>
          <w:p>
            <w:pPr>
              <w:pStyle w:val="14"/>
              <w:spacing w:line="237" w:lineRule="auto"/>
              <w:ind w:left="114" w:right="101"/>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一般农户</w:t>
            </w:r>
            <w:r>
              <w:rPr>
                <w:rFonts w:hint="default" w:ascii="Times New Roman" w:hAnsi="Times New Roman" w:eastAsia="黑体" w:cs="Times New Roman"/>
                <w:color w:val="auto"/>
                <w:w w:val="105"/>
                <w:sz w:val="21"/>
                <w:szCs w:val="21"/>
              </w:rPr>
              <w:t>数</w:t>
            </w:r>
          </w:p>
        </w:tc>
        <w:tc>
          <w:tcPr>
            <w:tcW w:w="1340" w:type="dxa"/>
            <w:gridSpan w:val="2"/>
            <w:vMerge w:val="continue"/>
            <w:tcBorders>
              <w:top w:val="nil"/>
            </w:tcBorders>
            <w:vAlign w:val="top"/>
          </w:tcPr>
          <w:p>
            <w:pPr>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7" w:hRule="atLeast"/>
          <w:jc w:val="center"/>
        </w:trPr>
        <w:tc>
          <w:tcPr>
            <w:tcW w:w="413"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Align w:val="top"/>
          </w:tcPr>
          <w:p>
            <w:pPr>
              <w:pStyle w:val="14"/>
              <w:spacing w:before="122" w:line="237" w:lineRule="auto"/>
              <w:ind w:left="116" w:right="99"/>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入户脱贫户数</w:t>
            </w:r>
          </w:p>
        </w:tc>
        <w:tc>
          <w:tcPr>
            <w:tcW w:w="670" w:type="dxa"/>
            <w:vAlign w:val="top"/>
          </w:tcPr>
          <w:p>
            <w:pPr>
              <w:pStyle w:val="14"/>
              <w:spacing w:before="122" w:line="237" w:lineRule="auto"/>
              <w:ind w:left="115" w:right="10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无法联系</w:t>
            </w:r>
            <w:r>
              <w:rPr>
                <w:rFonts w:hint="default" w:ascii="Times New Roman" w:hAnsi="Times New Roman" w:eastAsia="黑体" w:cs="Times New Roman"/>
                <w:color w:val="auto"/>
                <w:w w:val="105"/>
                <w:sz w:val="21"/>
                <w:szCs w:val="21"/>
              </w:rPr>
              <w:t>户</w:t>
            </w:r>
          </w:p>
        </w:tc>
        <w:tc>
          <w:tcPr>
            <w:tcW w:w="905" w:type="dxa"/>
            <w:vAlign w:val="top"/>
          </w:tcPr>
          <w:p>
            <w:pPr>
              <w:pStyle w:val="14"/>
              <w:spacing w:before="7" w:line="237" w:lineRule="auto"/>
              <w:ind w:left="124" w:right="11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入户消除风险监测户</w:t>
            </w:r>
          </w:p>
          <w:p>
            <w:pPr>
              <w:pStyle w:val="14"/>
              <w:spacing w:line="180" w:lineRule="exact"/>
              <w:ind w:left="17"/>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2"/>
                <w:sz w:val="21"/>
                <w:szCs w:val="21"/>
              </w:rPr>
              <w:t>数</w:t>
            </w:r>
          </w:p>
        </w:tc>
        <w:tc>
          <w:tcPr>
            <w:tcW w:w="905" w:type="dxa"/>
            <w:vAlign w:val="top"/>
          </w:tcPr>
          <w:p>
            <w:pPr>
              <w:pStyle w:val="14"/>
              <w:spacing w:before="7" w:line="237" w:lineRule="auto"/>
              <w:ind w:left="122" w:right="112"/>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6"/>
                <w:sz w:val="21"/>
                <w:szCs w:val="21"/>
              </w:rPr>
              <w:t>入户未消除风险监测</w:t>
            </w:r>
          </w:p>
          <w:p>
            <w:pPr>
              <w:pStyle w:val="14"/>
              <w:spacing w:line="180" w:lineRule="exact"/>
              <w:ind w:left="232"/>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户数</w:t>
            </w:r>
          </w:p>
        </w:tc>
        <w:tc>
          <w:tcPr>
            <w:tcW w:w="670" w:type="dxa"/>
            <w:vAlign w:val="top"/>
          </w:tcPr>
          <w:p>
            <w:pPr>
              <w:pStyle w:val="14"/>
              <w:spacing w:before="122" w:line="237" w:lineRule="auto"/>
              <w:ind w:left="114" w:right="101"/>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pacing w:val="-9"/>
                <w:w w:val="105"/>
                <w:sz w:val="21"/>
                <w:szCs w:val="21"/>
              </w:rPr>
              <w:t>无法联系</w:t>
            </w:r>
            <w:r>
              <w:rPr>
                <w:rFonts w:hint="default" w:ascii="Times New Roman" w:hAnsi="Times New Roman" w:eastAsia="黑体" w:cs="Times New Roman"/>
                <w:color w:val="auto"/>
                <w:w w:val="105"/>
                <w:sz w:val="21"/>
                <w:szCs w:val="21"/>
              </w:rPr>
              <w:t>户</w:t>
            </w:r>
          </w:p>
        </w:tc>
        <w:tc>
          <w:tcPr>
            <w:tcW w:w="670" w:type="dxa"/>
            <w:vMerge w:val="continue"/>
            <w:tcBorders>
              <w:top w:val="nil"/>
            </w:tcBorders>
            <w:vAlign w:val="top"/>
          </w:tcPr>
          <w:p>
            <w:pPr>
              <w:rPr>
                <w:rFonts w:hint="default" w:ascii="Times New Roman" w:hAnsi="Times New Roman" w:cs="Times New Roman"/>
                <w:color w:val="auto"/>
                <w:sz w:val="21"/>
                <w:szCs w:val="21"/>
              </w:rPr>
            </w:pPr>
          </w:p>
        </w:tc>
        <w:tc>
          <w:tcPr>
            <w:tcW w:w="670" w:type="dxa"/>
            <w:vAlign w:val="top"/>
          </w:tcPr>
          <w:p>
            <w:pPr>
              <w:pStyle w:val="14"/>
              <w:spacing w:before="2"/>
              <w:rPr>
                <w:rFonts w:hint="default" w:ascii="Times New Roman" w:hAnsi="Times New Roman" w:cs="Times New Roman"/>
                <w:color w:val="auto"/>
                <w:sz w:val="21"/>
                <w:szCs w:val="21"/>
              </w:rPr>
            </w:pPr>
          </w:p>
          <w:p>
            <w:pPr>
              <w:pStyle w:val="14"/>
              <w:ind w:left="114"/>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户数</w:t>
            </w:r>
          </w:p>
        </w:tc>
        <w:tc>
          <w:tcPr>
            <w:tcW w:w="670" w:type="dxa"/>
            <w:vAlign w:val="top"/>
          </w:tcPr>
          <w:p>
            <w:pPr>
              <w:pStyle w:val="14"/>
              <w:spacing w:before="2"/>
              <w:rPr>
                <w:rFonts w:hint="default" w:ascii="Times New Roman" w:hAnsi="Times New Roman" w:cs="Times New Roman"/>
                <w:color w:val="auto"/>
                <w:sz w:val="21"/>
                <w:szCs w:val="21"/>
              </w:rPr>
            </w:pPr>
          </w:p>
          <w:p>
            <w:pPr>
              <w:pStyle w:val="14"/>
              <w:ind w:left="114"/>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w w:val="105"/>
                <w:sz w:val="21"/>
                <w:szCs w:val="21"/>
              </w:rPr>
              <w:t>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413"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905"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c>
          <w:tcPr>
            <w:tcW w:w="670" w:type="dxa"/>
            <w:vAlign w:val="top"/>
          </w:tcPr>
          <w:p>
            <w:pPr>
              <w:pStyle w:val="14"/>
              <w:rPr>
                <w:rFonts w:hint="default" w:ascii="Times New Roman" w:hAnsi="Times New Roman" w:cs="Times New Roman"/>
                <w:color w:val="auto"/>
                <w:sz w:val="21"/>
                <w:szCs w:val="21"/>
              </w:rPr>
            </w:pPr>
          </w:p>
        </w:tc>
      </w:tr>
    </w:tbl>
    <w:p>
      <w:pPr>
        <w:spacing w:before="5" w:line="240" w:lineRule="auto"/>
        <w:rPr>
          <w:rFonts w:hint="default" w:ascii="Times New Roman" w:hAnsi="Times New Roman" w:cs="Times New Roman"/>
          <w:color w:val="auto"/>
          <w:sz w:val="5"/>
        </w:rPr>
      </w:pPr>
    </w:p>
    <w:p>
      <w:pPr>
        <w:spacing w:before="3" w:line="240" w:lineRule="auto"/>
        <w:rPr>
          <w:rFonts w:hint="default" w:ascii="Times New Roman" w:hAnsi="Times New Roman" w:cs="Times New Roman"/>
          <w:color w:val="auto"/>
          <w:sz w:val="22"/>
        </w:rPr>
      </w:pPr>
    </w:p>
    <w:p>
      <w:pPr>
        <w:spacing w:before="0" w:line="268" w:lineRule="exact"/>
        <w:ind w:left="166" w:right="0" w:firstLine="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注：1.参加“回头看”人数合计=市级干部+县级干部+乡镇干部+村组干部+驻村工作队员。</w:t>
      </w:r>
    </w:p>
    <w:p>
      <w:pPr>
        <w:spacing w:before="0" w:line="265" w:lineRule="exact"/>
        <w:ind w:left="611" w:right="0" w:firstLine="0"/>
        <w:jc w:val="left"/>
        <w:rPr>
          <w:rFonts w:hint="default" w:ascii="Times New Roman" w:hAnsi="Times New Roman" w:eastAsia="仿宋_GB2312" w:cs="Times New Roman"/>
          <w:b w:val="0"/>
          <w:bCs/>
          <w:color w:val="auto"/>
          <w:sz w:val="21"/>
        </w:rPr>
      </w:pPr>
      <w:r>
        <w:rPr>
          <w:rFonts w:hint="default" w:ascii="Times New Roman" w:hAnsi="Times New Roman" w:eastAsia="仿宋_GB2312" w:cs="Times New Roman"/>
          <w:b w:val="0"/>
          <w:bCs/>
          <w:color w:val="auto"/>
          <w:sz w:val="21"/>
        </w:rPr>
        <w:t>2.排查行政村数=脱贫村+一般村+重点帮扶村；即是脱贫村又是重点帮扶村，作为重点帮扶村计算；</w:t>
      </w:r>
      <w:r>
        <w:rPr>
          <w:rFonts w:hint="eastAsia" w:ascii="Times New Roman" w:hAnsi="Times New Roman" w:cs="Times New Roman"/>
          <w:b w:val="0"/>
          <w:bCs/>
          <w:color w:val="auto"/>
          <w:sz w:val="21"/>
          <w:lang w:eastAsia="zh-CN"/>
        </w:rPr>
        <w:t>即</w:t>
      </w:r>
      <w:r>
        <w:rPr>
          <w:rFonts w:hint="default" w:ascii="Times New Roman" w:hAnsi="Times New Roman" w:eastAsia="仿宋_GB2312" w:cs="Times New Roman"/>
          <w:b w:val="0"/>
          <w:bCs/>
          <w:color w:val="auto"/>
          <w:sz w:val="21"/>
        </w:rPr>
        <w:t>一般村又是重点帮扶村，作为重点帮扶村计算。</w:t>
      </w:r>
    </w:p>
    <w:p>
      <w:pPr>
        <w:spacing w:before="0" w:line="266" w:lineRule="exact"/>
        <w:ind w:left="611" w:right="0" w:firstLine="0"/>
        <w:jc w:val="left"/>
        <w:rPr>
          <w:rFonts w:hint="default" w:ascii="Times New Roman" w:hAnsi="Times New Roman" w:eastAsia="仿宋_GB2312" w:cs="Times New Roman"/>
          <w:b w:val="0"/>
          <w:bCs/>
          <w:color w:val="auto"/>
          <w:sz w:val="21"/>
        </w:rPr>
        <w:sectPr>
          <w:pgSz w:w="16840" w:h="11910" w:orient="landscape"/>
          <w:pgMar w:top="1134" w:right="1134" w:bottom="1134" w:left="1134" w:header="720" w:footer="340" w:gutter="0"/>
          <w:pgBorders>
            <w:top w:val="none" w:sz="0" w:space="0"/>
            <w:left w:val="none" w:sz="0" w:space="0"/>
            <w:bottom w:val="none" w:sz="0" w:space="0"/>
            <w:right w:val="none" w:sz="0" w:space="0"/>
          </w:pgBorders>
          <w:pgNumType w:fmt="numberInDash"/>
          <w:cols w:space="0" w:num="1"/>
          <w:rtlGutter w:val="0"/>
          <w:docGrid w:linePitch="0" w:charSpace="0"/>
        </w:sectPr>
      </w:pPr>
      <w:r>
        <w:rPr>
          <w:rFonts w:hint="default" w:ascii="Times New Roman" w:hAnsi="Times New Roman" w:eastAsia="仿宋_GB2312" w:cs="Times New Roman"/>
          <w:b w:val="0"/>
          <w:bCs/>
          <w:color w:val="auto"/>
          <w:sz w:val="21"/>
        </w:rPr>
        <w:t>3.走访农户数=入户脱贫户数+入户消除风险监测户数+入户未消除风险监测户数+一般农户数</w:t>
      </w:r>
    </w:p>
    <w:p>
      <w:pPr>
        <w:pStyle w:val="10"/>
        <w:jc w:val="both"/>
        <w:rPr>
          <w:rFonts w:hint="default"/>
        </w:rPr>
      </w:pPr>
    </w:p>
    <w:sectPr>
      <w:pgSz w:w="11910" w:h="16840"/>
      <w:pgMar w:top="2098" w:right="1474" w:bottom="1984" w:left="1587" w:header="720" w:footer="1417" w:gutter="0"/>
      <w:pgBorders>
        <w:top w:val="none" w:sz="0" w:space="0"/>
        <w:left w:val="none" w:sz="0" w:space="0"/>
        <w:bottom w:val="none" w:sz="0" w:space="0"/>
        <w:right w:val="none" w:sz="0" w:space="0"/>
      </w:pgBorders>
      <w:pgNumType w:fmt="numberInDash"/>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158"/>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00000000"/>
    <w:rsid w:val="00CC1461"/>
    <w:rsid w:val="01947D97"/>
    <w:rsid w:val="045B4278"/>
    <w:rsid w:val="047444F3"/>
    <w:rsid w:val="05C6262B"/>
    <w:rsid w:val="05DC6461"/>
    <w:rsid w:val="071E213B"/>
    <w:rsid w:val="08940E3A"/>
    <w:rsid w:val="089F03A9"/>
    <w:rsid w:val="08C304C5"/>
    <w:rsid w:val="09CD3C8B"/>
    <w:rsid w:val="0A656ED5"/>
    <w:rsid w:val="0AE24082"/>
    <w:rsid w:val="0C3E178C"/>
    <w:rsid w:val="0C782821"/>
    <w:rsid w:val="0E06452B"/>
    <w:rsid w:val="0E6A76A5"/>
    <w:rsid w:val="0E721BC1"/>
    <w:rsid w:val="10973A84"/>
    <w:rsid w:val="11CC161B"/>
    <w:rsid w:val="12BA46CF"/>
    <w:rsid w:val="13CE6549"/>
    <w:rsid w:val="14EA7F1D"/>
    <w:rsid w:val="154F3251"/>
    <w:rsid w:val="154F4960"/>
    <w:rsid w:val="15D469C1"/>
    <w:rsid w:val="180D634C"/>
    <w:rsid w:val="18141B65"/>
    <w:rsid w:val="18B270BA"/>
    <w:rsid w:val="19E41BC5"/>
    <w:rsid w:val="1B3817B8"/>
    <w:rsid w:val="1CD82E9D"/>
    <w:rsid w:val="1DD20A0F"/>
    <w:rsid w:val="1E012619"/>
    <w:rsid w:val="20784E15"/>
    <w:rsid w:val="20ED1E30"/>
    <w:rsid w:val="211C7E84"/>
    <w:rsid w:val="21E45001"/>
    <w:rsid w:val="222953F9"/>
    <w:rsid w:val="229A716A"/>
    <w:rsid w:val="23250B58"/>
    <w:rsid w:val="23E546CD"/>
    <w:rsid w:val="24B33AFE"/>
    <w:rsid w:val="25034EC9"/>
    <w:rsid w:val="250F3174"/>
    <w:rsid w:val="25140E84"/>
    <w:rsid w:val="25677D1E"/>
    <w:rsid w:val="25F27417"/>
    <w:rsid w:val="262E03B6"/>
    <w:rsid w:val="26405B98"/>
    <w:rsid w:val="27C01AF1"/>
    <w:rsid w:val="2898007B"/>
    <w:rsid w:val="28A27078"/>
    <w:rsid w:val="28C07998"/>
    <w:rsid w:val="295108F9"/>
    <w:rsid w:val="2A22076E"/>
    <w:rsid w:val="2AAB620D"/>
    <w:rsid w:val="2B0A505E"/>
    <w:rsid w:val="2C362245"/>
    <w:rsid w:val="303D78E2"/>
    <w:rsid w:val="30FE330F"/>
    <w:rsid w:val="33F90DDF"/>
    <w:rsid w:val="34F32864"/>
    <w:rsid w:val="371371EE"/>
    <w:rsid w:val="372B09DB"/>
    <w:rsid w:val="38855EC9"/>
    <w:rsid w:val="38876E6F"/>
    <w:rsid w:val="39203E44"/>
    <w:rsid w:val="397139C4"/>
    <w:rsid w:val="3AD273C0"/>
    <w:rsid w:val="3AEC222F"/>
    <w:rsid w:val="3B5075F7"/>
    <w:rsid w:val="3BA1126C"/>
    <w:rsid w:val="3C073008"/>
    <w:rsid w:val="3CC86AC9"/>
    <w:rsid w:val="3E2A77F1"/>
    <w:rsid w:val="3EA11583"/>
    <w:rsid w:val="3F185DE2"/>
    <w:rsid w:val="40291830"/>
    <w:rsid w:val="4078078D"/>
    <w:rsid w:val="45FB079E"/>
    <w:rsid w:val="473532C0"/>
    <w:rsid w:val="47731D2F"/>
    <w:rsid w:val="4893018E"/>
    <w:rsid w:val="48C129C2"/>
    <w:rsid w:val="49BD629E"/>
    <w:rsid w:val="4A070E34"/>
    <w:rsid w:val="4A5B5779"/>
    <w:rsid w:val="4AC73BF4"/>
    <w:rsid w:val="4AEE51D7"/>
    <w:rsid w:val="4B9106E2"/>
    <w:rsid w:val="4E3F66C2"/>
    <w:rsid w:val="4E7268D6"/>
    <w:rsid w:val="4EA76741"/>
    <w:rsid w:val="4FB81961"/>
    <w:rsid w:val="50165997"/>
    <w:rsid w:val="505E043D"/>
    <w:rsid w:val="508F3931"/>
    <w:rsid w:val="50987945"/>
    <w:rsid w:val="50DE5B41"/>
    <w:rsid w:val="519329E4"/>
    <w:rsid w:val="52350508"/>
    <w:rsid w:val="53580CC8"/>
    <w:rsid w:val="53BA53BF"/>
    <w:rsid w:val="558110E9"/>
    <w:rsid w:val="55883964"/>
    <w:rsid w:val="55AD76E2"/>
    <w:rsid w:val="569A74B0"/>
    <w:rsid w:val="57A77DFA"/>
    <w:rsid w:val="58DF5308"/>
    <w:rsid w:val="593C7FA7"/>
    <w:rsid w:val="59A87EC2"/>
    <w:rsid w:val="59CC1752"/>
    <w:rsid w:val="5AEB2E74"/>
    <w:rsid w:val="5AED1175"/>
    <w:rsid w:val="5B1213E7"/>
    <w:rsid w:val="5C7750B1"/>
    <w:rsid w:val="5C95407D"/>
    <w:rsid w:val="5D144FF4"/>
    <w:rsid w:val="5DA13A8D"/>
    <w:rsid w:val="5FB83662"/>
    <w:rsid w:val="60A07495"/>
    <w:rsid w:val="60D862FE"/>
    <w:rsid w:val="612B6C21"/>
    <w:rsid w:val="619051E1"/>
    <w:rsid w:val="62967EC8"/>
    <w:rsid w:val="62CA25A7"/>
    <w:rsid w:val="63352116"/>
    <w:rsid w:val="63F7174F"/>
    <w:rsid w:val="642344A2"/>
    <w:rsid w:val="6445282D"/>
    <w:rsid w:val="654F453D"/>
    <w:rsid w:val="6759039D"/>
    <w:rsid w:val="678E03A2"/>
    <w:rsid w:val="67EF7AB2"/>
    <w:rsid w:val="68472436"/>
    <w:rsid w:val="684F6E36"/>
    <w:rsid w:val="68766C57"/>
    <w:rsid w:val="68776D2D"/>
    <w:rsid w:val="692A0243"/>
    <w:rsid w:val="69442AB5"/>
    <w:rsid w:val="6A4A3798"/>
    <w:rsid w:val="6A8523B5"/>
    <w:rsid w:val="6B122264"/>
    <w:rsid w:val="6B3362F4"/>
    <w:rsid w:val="6BE5405F"/>
    <w:rsid w:val="6C103DB5"/>
    <w:rsid w:val="6D3F3B91"/>
    <w:rsid w:val="6DC6036B"/>
    <w:rsid w:val="6DEC1088"/>
    <w:rsid w:val="6E31797E"/>
    <w:rsid w:val="6F5278CD"/>
    <w:rsid w:val="6F977B87"/>
    <w:rsid w:val="702459EC"/>
    <w:rsid w:val="70546535"/>
    <w:rsid w:val="72620C48"/>
    <w:rsid w:val="735F0CE3"/>
    <w:rsid w:val="755F461F"/>
    <w:rsid w:val="76EE2AC3"/>
    <w:rsid w:val="798474FC"/>
    <w:rsid w:val="7A1C5986"/>
    <w:rsid w:val="7BC368A3"/>
    <w:rsid w:val="7BD129CE"/>
    <w:rsid w:val="7BD30F2E"/>
    <w:rsid w:val="7D8757F4"/>
    <w:rsid w:val="7D8A659B"/>
    <w:rsid w:val="7E4B5D42"/>
    <w:rsid w:val="7FE620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 w:hAnsi="仿宋" w:eastAsia="仿宋_GB2312" w:cs="仿宋"/>
      <w:sz w:val="32"/>
      <w:szCs w:val="22"/>
      <w:lang w:val="zh-CN" w:eastAsia="zh-CN" w:bidi="zh-CN"/>
    </w:rPr>
  </w:style>
  <w:style w:type="paragraph" w:styleId="3">
    <w:name w:val="heading 1"/>
    <w:basedOn w:val="1"/>
    <w:next w:val="1"/>
    <w:autoRedefine/>
    <w:qFormat/>
    <w:uiPriority w:val="1"/>
    <w:pPr>
      <w:ind w:left="297"/>
      <w:outlineLvl w:val="1"/>
    </w:pPr>
    <w:rPr>
      <w:rFonts w:ascii="黑体" w:hAnsi="黑体" w:eastAsia="黑体" w:cs="黑体"/>
      <w:sz w:val="40"/>
      <w:szCs w:val="40"/>
      <w:lang w:val="zh-CN" w:eastAsia="zh-CN" w:bidi="zh-CN"/>
    </w:rPr>
  </w:style>
  <w:style w:type="character" w:default="1" w:styleId="9">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560" w:lineRule="exact"/>
      <w:ind w:firstLine="880" w:firstLineChars="200"/>
      <w:jc w:val="both"/>
      <w:textAlignment w:val="baseline"/>
    </w:pPr>
    <w:rPr>
      <w:rFonts w:ascii="Arial" w:hAnsi="Arial" w:eastAsia="楷体"/>
      <w:kern w:val="2"/>
      <w:sz w:val="32"/>
      <w:szCs w:val="24"/>
      <w:lang w:val="en-US" w:eastAsia="zh-CN" w:bidi="ar-SA"/>
    </w:r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章标题"/>
    <w:basedOn w:val="1"/>
    <w:next w:val="11"/>
    <w:qFormat/>
    <w:uiPriority w:val="0"/>
    <w:pPr>
      <w:widowControl/>
      <w:spacing w:before="158" w:after="153" w:line="323" w:lineRule="atLeast"/>
      <w:ind w:right="-120"/>
      <w:jc w:val="center"/>
      <w:textAlignment w:val="baseline"/>
    </w:pPr>
    <w:rPr>
      <w:color w:val="FF0000"/>
      <w:kern w:val="0"/>
      <w:sz w:val="18"/>
      <w:szCs w:val="18"/>
    </w:rPr>
  </w:style>
  <w:style w:type="paragraph" w:customStyle="1" w:styleId="11">
    <w:name w:val="节标题"/>
    <w:basedOn w:val="1"/>
    <w:next w:val="1"/>
    <w:qFormat/>
    <w:uiPriority w:val="0"/>
    <w:pPr>
      <w:widowControl/>
      <w:spacing w:line="289" w:lineRule="atLeast"/>
      <w:jc w:val="center"/>
      <w:textAlignment w:val="baseline"/>
    </w:pPr>
    <w:rPr>
      <w:color w:val="000000"/>
      <w:kern w:val="0"/>
      <w:sz w:val="28"/>
      <w:szCs w:val="2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spacing w:before="214"/>
      <w:ind w:left="1017" w:hanging="245"/>
    </w:pPr>
    <w:rPr>
      <w:rFonts w:ascii="仿宋" w:hAnsi="仿宋" w:eastAsia="仿宋" w:cs="仿宋"/>
      <w:lang w:val="zh-CN" w:eastAsia="zh-CN" w:bidi="zh-CN"/>
    </w:rPr>
  </w:style>
  <w:style w:type="paragraph" w:customStyle="1" w:styleId="14">
    <w:name w:val="Table Paragraph"/>
    <w:basedOn w:val="1"/>
    <w:qFormat/>
    <w:uiPriority w:val="1"/>
    <w:rPr>
      <w:rFonts w:ascii="仿宋" w:hAnsi="仿宋" w:eastAsia="仿宋" w:cs="仿宋"/>
      <w:lang w:val="zh-CN" w:eastAsia="zh-CN" w:bidi="zh-CN"/>
    </w:rPr>
  </w:style>
  <w:style w:type="character" w:customStyle="1" w:styleId="15">
    <w:name w:val="font01"/>
    <w:basedOn w:val="9"/>
    <w:qFormat/>
    <w:uiPriority w:val="0"/>
    <w:rPr>
      <w:rFonts w:hint="eastAsia" w:ascii="仿宋" w:hAnsi="仿宋" w:eastAsia="仿宋" w:cs="仿宋"/>
      <w:color w:val="000000"/>
      <w:sz w:val="24"/>
      <w:szCs w:val="24"/>
      <w:u w:val="none"/>
    </w:rPr>
  </w:style>
  <w:style w:type="character" w:customStyle="1" w:styleId="16">
    <w:name w:val="font101"/>
    <w:basedOn w:val="9"/>
    <w:qFormat/>
    <w:uiPriority w:val="0"/>
    <w:rPr>
      <w:rFonts w:hint="eastAsia" w:ascii="仿宋" w:hAnsi="仿宋" w:eastAsia="仿宋" w:cs="仿宋"/>
      <w:color w:val="000000"/>
      <w:sz w:val="24"/>
      <w:szCs w:val="24"/>
      <w:u w:val="none"/>
    </w:rPr>
  </w:style>
  <w:style w:type="character" w:customStyle="1" w:styleId="17">
    <w:name w:val="font5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20120</Words>
  <Characters>20489</Characters>
  <TotalTime>4</TotalTime>
  <ScaleCrop>false</ScaleCrop>
  <LinksUpToDate>false</LinksUpToDate>
  <CharactersWithSpaces>20532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2022-09-28T12:25:00Z</dcterms:created>
  <dc:creator>Administrator</dc:creator>
  <cp:lastModifiedBy>哈哈*^o^*</cp:lastModifiedBy>
  <cp:lastPrinted>2022-10-21T08:37:00Z</cp:lastPrinted>
  <dcterms:modified xsi:type="dcterms:W3CDTF">2024-04-22T01:39:52Z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B44A1FC2D8474FC09DC25C0D94F63DD2</vt:lpwstr>
  </property>
</Properties>
</file>