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hint="eastAsia" w:ascii="Times New Roman" w:hAnsi="Times New Roman" w:eastAsia="方正小标宋_GBK" w:cs="Times New Roman"/>
          <w:bCs/>
          <w:color w:val="auto"/>
          <w:sz w:val="72"/>
          <w:szCs w:val="72"/>
          <w:highlight w:val="none"/>
          <w:lang w:val="en-US" w:eastAsia="zh-CN"/>
        </w:rPr>
      </w:pPr>
      <w:r>
        <w:rPr>
          <w:rFonts w:hint="eastAsia" w:ascii="Times New Roman" w:hAnsi="Times New Roman" w:eastAsia="方正小标宋_GBK" w:cs="Times New Roman"/>
          <w:bCs/>
          <w:color w:val="auto"/>
          <w:sz w:val="72"/>
          <w:szCs w:val="72"/>
          <w:highlight w:val="none"/>
          <w:lang w:val="en-US" w:eastAsia="zh-CN"/>
        </w:rPr>
        <w:t xml:space="preserve"> </w:t>
      </w:r>
    </w:p>
    <w:p>
      <w:pPr>
        <w:adjustRightInd w:val="0"/>
        <w:snapToGrid w:val="0"/>
        <w:jc w:val="center"/>
        <w:rPr>
          <w:rFonts w:hint="default" w:ascii="Times New Roman" w:hAnsi="Times New Roman" w:eastAsia="方正小标宋_GBK" w:cs="Times New Roman"/>
          <w:bCs/>
          <w:color w:val="auto"/>
          <w:sz w:val="72"/>
          <w:szCs w:val="72"/>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adjustRightInd w:val="0"/>
        <w:snapToGrid w:val="0"/>
        <w:spacing w:before="192" w:beforeLines="80"/>
        <w:jc w:val="center"/>
        <w:outlineLvl w:val="9"/>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adjustRightInd w:val="0"/>
        <w:snapToGrid w:val="0"/>
        <w:spacing w:before="192" w:beforeLines="80"/>
        <w:jc w:val="center"/>
        <w:rPr>
          <w:rFonts w:hint="default" w:ascii="Times New Roman" w:hAnsi="Times New Roman" w:eastAsia="楷体_GB2312" w:cs="Times New Roman"/>
          <w:bCs/>
          <w:color w:val="auto"/>
          <w:sz w:val="48"/>
          <w:szCs w:val="48"/>
          <w:highlight w:val="none"/>
          <w:lang w:eastAsia="zh-CN"/>
        </w:rPr>
      </w:pPr>
      <w:r>
        <w:rPr>
          <w:rFonts w:hint="default" w:ascii="Times New Roman" w:hAnsi="Times New Roman" w:eastAsia="楷体_GB2312" w:cs="Times New Roman"/>
          <w:bCs/>
          <w:color w:val="auto"/>
          <w:sz w:val="48"/>
          <w:szCs w:val="48"/>
          <w:highlight w:val="none"/>
          <w:lang w:eastAsia="zh-CN"/>
        </w:rPr>
        <w:t>（</w:t>
      </w:r>
      <w:r>
        <w:rPr>
          <w:rFonts w:hint="eastAsia" w:eastAsia="楷体_GB2312" w:cs="Times New Roman"/>
          <w:bCs/>
          <w:color w:val="auto"/>
          <w:sz w:val="48"/>
          <w:szCs w:val="48"/>
          <w:highlight w:val="none"/>
          <w:lang w:val="en-US" w:eastAsia="zh-CN"/>
        </w:rPr>
        <w:t>送审</w:t>
      </w:r>
      <w:r>
        <w:rPr>
          <w:rFonts w:hint="default" w:ascii="Times New Roman" w:hAnsi="Times New Roman" w:eastAsia="楷体_GB2312" w:cs="Times New Roman"/>
          <w:bCs/>
          <w:color w:val="auto"/>
          <w:sz w:val="48"/>
          <w:szCs w:val="48"/>
          <w:highlight w:val="none"/>
          <w:lang w:eastAsia="zh-CN"/>
        </w:rPr>
        <w:t>本）</w:t>
      </w:r>
    </w:p>
    <w:p>
      <w:pPr>
        <w:ind w:left="420" w:leftChars="200" w:firstLine="720" w:firstLineChars="300"/>
        <w:rPr>
          <w:rFonts w:hint="default" w:ascii="Times New Roman" w:hAnsi="Times New Roman" w:eastAsia="仿宋_GB2312" w:cs="Times New Roman"/>
          <w:color w:val="auto"/>
          <w:kern w:val="0"/>
          <w:sz w:val="24"/>
          <w:szCs w:val="20"/>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pStyle w:val="5"/>
        <w:rPr>
          <w:rFonts w:hint="default" w:ascii="Times New Roman" w:hAnsi="Times New Roman" w:eastAsia="仿宋_GB2312" w:cs="Times New Roman"/>
          <w:color w:val="auto"/>
          <w:kern w:val="0"/>
          <w:sz w:val="24"/>
          <w:highlight w:val="none"/>
        </w:rPr>
      </w:pPr>
    </w:p>
    <w:p>
      <w:pPr>
        <w:adjustRightInd w:val="0"/>
        <w:snapToGrid w:val="0"/>
        <w:spacing w:line="288" w:lineRule="auto"/>
        <w:outlineLvl w:val="9"/>
        <w:rPr>
          <w:rFonts w:hint="default" w:ascii="Times New Roman" w:hAnsi="Times New Roman" w:eastAsia="仿宋_GB2312" w:cs="Times New Roman"/>
          <w:color w:val="auto"/>
          <w:sz w:val="36"/>
          <w:szCs w:val="36"/>
          <w:highlight w:val="none"/>
          <w:u w:val="single"/>
        </w:rPr>
      </w:pPr>
    </w:p>
    <w:p>
      <w:pPr>
        <w:adjustRightInd w:val="0"/>
        <w:snapToGrid w:val="0"/>
        <w:spacing w:line="288" w:lineRule="auto"/>
        <w:ind w:firstLine="720" w:firstLineChars="200"/>
        <w:outlineLvl w:val="9"/>
        <w:rPr>
          <w:rFonts w:hint="default" w:ascii="Times New Roman" w:hAnsi="Times New Roman" w:eastAsia="仿宋_GB2312" w:cs="Times New Roman"/>
          <w:color w:val="auto"/>
          <w:sz w:val="36"/>
          <w:szCs w:val="36"/>
          <w:highlight w:val="none"/>
          <w:u w:val="single"/>
        </w:rPr>
      </w:pPr>
      <w:bookmarkStart w:id="0" w:name="_Hlk57884087"/>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rPr>
        <w:t xml:space="preserve">  </w:t>
      </w:r>
      <w:r>
        <w:rPr>
          <w:rFonts w:hint="eastAsia" w:ascii="Times New Roman" w:hAnsi="Times New Roman" w:eastAsia="仿宋_GB2312" w:cs="Times New Roman"/>
          <w:color w:val="auto"/>
          <w:sz w:val="36"/>
          <w:szCs w:val="36"/>
          <w:highlight w:val="none"/>
          <w:u w:val="single"/>
          <w:lang w:val="en-US" w:eastAsia="zh-CN"/>
        </w:rPr>
        <w:t xml:space="preserve">  年产</w:t>
      </w:r>
      <w:r>
        <w:rPr>
          <w:rFonts w:hint="eastAsia" w:eastAsia="仿宋_GB2312" w:cs="Times New Roman"/>
          <w:color w:val="auto"/>
          <w:sz w:val="36"/>
          <w:szCs w:val="36"/>
          <w:highlight w:val="none"/>
          <w:u w:val="single"/>
          <w:lang w:val="en-US" w:eastAsia="zh-CN"/>
        </w:rPr>
        <w:t>600</w:t>
      </w:r>
      <w:r>
        <w:rPr>
          <w:rFonts w:hint="eastAsia" w:ascii="Times New Roman" w:hAnsi="Times New Roman" w:eastAsia="仿宋_GB2312" w:cs="Times New Roman"/>
          <w:color w:val="auto"/>
          <w:sz w:val="36"/>
          <w:szCs w:val="36"/>
          <w:highlight w:val="none"/>
          <w:u w:val="single"/>
          <w:lang w:val="en-US" w:eastAsia="zh-CN"/>
        </w:rPr>
        <w:t>万只高频</w:t>
      </w:r>
      <w:r>
        <w:rPr>
          <w:rFonts w:hint="default" w:ascii="Times New Roman" w:hAnsi="Times New Roman" w:eastAsia="仿宋_GB2312" w:cs="Times New Roman"/>
          <w:color w:val="auto"/>
          <w:sz w:val="36"/>
          <w:szCs w:val="36"/>
          <w:highlight w:val="none"/>
          <w:u w:val="single"/>
          <w:lang w:eastAsia="zh-CN"/>
        </w:rPr>
        <w:t>变压器生产项目</w:t>
      </w:r>
      <w:r>
        <w:rPr>
          <w:rFonts w:hint="default" w:ascii="Times New Roman" w:hAnsi="Times New Roman" w:eastAsia="仿宋_GB2312" w:cs="Times New Roman"/>
          <w:color w:val="auto"/>
          <w:sz w:val="36"/>
          <w:szCs w:val="36"/>
          <w:highlight w:val="none"/>
          <w:u w:val="single"/>
          <w:lang w:val="en-US" w:eastAsia="zh-CN"/>
        </w:rPr>
        <w:t xml:space="preserve"> </w:t>
      </w:r>
    </w:p>
    <w:p>
      <w:pPr>
        <w:adjustRightInd w:val="0"/>
        <w:snapToGrid w:val="0"/>
        <w:spacing w:line="288" w:lineRule="auto"/>
        <w:ind w:firstLine="720" w:firstLineChars="200"/>
        <w:outlineLvl w:val="9"/>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eastAsia" w:eastAsia="仿宋_GB2312" w:cs="Times New Roman"/>
          <w:color w:val="auto"/>
          <w:sz w:val="36"/>
          <w:szCs w:val="36"/>
          <w:highlight w:val="none"/>
          <w:u w:val="single"/>
          <w:lang w:val="en-US" w:eastAsia="zh-CN"/>
        </w:rPr>
        <w:t xml:space="preserve">  </w:t>
      </w:r>
      <w:r>
        <w:rPr>
          <w:rFonts w:hint="eastAsia" w:ascii="Times New Roman" w:hAnsi="Times New Roman" w:eastAsia="仿宋_GB2312" w:cs="Times New Roman"/>
          <w:color w:val="auto"/>
          <w:sz w:val="36"/>
          <w:szCs w:val="36"/>
          <w:highlight w:val="none"/>
          <w:u w:val="single"/>
          <w:lang w:eastAsia="zh-CN"/>
        </w:rPr>
        <w:t>蓬溪宝林电子有限公司</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pPr>
        <w:adjustRightInd w:val="0"/>
        <w:snapToGrid w:val="0"/>
        <w:spacing w:line="288" w:lineRule="auto"/>
        <w:ind w:firstLine="720" w:firstLineChars="20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w:t>
      </w:r>
      <w:r>
        <w:rPr>
          <w:rFonts w:hint="default" w:ascii="Times New Roman" w:hAnsi="Times New Roman" w:eastAsia="仿宋_GB2312" w:cs="Times New Roman"/>
          <w:color w:val="auto"/>
          <w:sz w:val="36"/>
          <w:szCs w:val="36"/>
          <w:highlight w:val="none"/>
          <w:u w:val="single"/>
          <w:lang w:val="en-US" w:eastAsia="zh-CN"/>
        </w:rPr>
        <w:t>2</w:t>
      </w:r>
      <w:r>
        <w:rPr>
          <w:rFonts w:hint="eastAsia" w:eastAsia="仿宋_GB2312" w:cs="Times New Roman"/>
          <w:color w:val="auto"/>
          <w:sz w:val="36"/>
          <w:szCs w:val="36"/>
          <w:highlight w:val="none"/>
          <w:u w:val="single"/>
          <w:lang w:val="en-US" w:eastAsia="zh-CN"/>
        </w:rPr>
        <w:t>4</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2</w:t>
      </w:r>
      <w:r>
        <w:rPr>
          <w:rFonts w:hint="default" w:ascii="Times New Roman" w:hAnsi="Times New Roman" w:eastAsia="仿宋_GB2312" w:cs="Times New Roman"/>
          <w:color w:val="auto"/>
          <w:sz w:val="36"/>
          <w:szCs w:val="36"/>
          <w:highlight w:val="none"/>
          <w:u w:val="single"/>
        </w:rPr>
        <w:t xml:space="preserve">月           </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pPr>
        <w:adjustRightInd w:val="0"/>
        <w:snapToGrid w:val="0"/>
        <w:spacing w:line="288" w:lineRule="auto"/>
        <w:jc w:val="center"/>
        <w:outlineLvl w:val="9"/>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19"/>
        <w:tblW w:w="91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52"/>
        <w:gridCol w:w="2867"/>
        <w:gridCol w:w="2212"/>
        <w:gridCol w:w="29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建设项目名称</w:t>
            </w:r>
          </w:p>
        </w:tc>
        <w:tc>
          <w:tcPr>
            <w:tcW w:w="8031" w:type="dxa"/>
            <w:gridSpan w:val="3"/>
            <w:noWrap w:val="0"/>
            <w:vAlign w:val="center"/>
          </w:tcPr>
          <w:p>
            <w:pPr>
              <w:widowControl/>
              <w:jc w:val="center"/>
              <w:rPr>
                <w:rFonts w:hint="default" w:ascii="Times New Roman" w:hAnsi="Times New Roman" w:eastAsia="宋体" w:cs="Times New Roman"/>
                <w:color w:val="auto"/>
                <w:kern w:val="0"/>
                <w:sz w:val="24"/>
                <w:highlight w:val="none"/>
                <w:lang w:eastAsia="zh-CN" w:bidi="ar"/>
              </w:rPr>
            </w:pPr>
            <w:r>
              <w:rPr>
                <w:rFonts w:hint="eastAsia" w:ascii="Times New Roman" w:hAnsi="Times New Roman" w:cs="Times New Roman"/>
                <w:color w:val="auto"/>
                <w:kern w:val="0"/>
                <w:sz w:val="24"/>
                <w:highlight w:val="none"/>
                <w:lang w:eastAsia="zh-CN" w:bidi="ar"/>
              </w:rPr>
              <w:t>年产</w:t>
            </w:r>
            <w:r>
              <w:rPr>
                <w:rFonts w:hint="eastAsia" w:cs="Times New Roman"/>
                <w:color w:val="auto"/>
                <w:kern w:val="0"/>
                <w:sz w:val="24"/>
                <w:highlight w:val="none"/>
                <w:lang w:val="en-US" w:eastAsia="zh-CN" w:bidi="ar"/>
              </w:rPr>
              <w:t>60</w:t>
            </w:r>
            <w:r>
              <w:rPr>
                <w:rFonts w:hint="eastAsia" w:ascii="Times New Roman" w:hAnsi="Times New Roman" w:cs="Times New Roman"/>
                <w:color w:val="auto"/>
                <w:kern w:val="0"/>
                <w:sz w:val="24"/>
                <w:highlight w:val="none"/>
                <w:lang w:eastAsia="zh-CN" w:bidi="ar"/>
              </w:rPr>
              <w:t>0万只高频变压器生产项目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项目代码</w:t>
            </w:r>
          </w:p>
        </w:tc>
        <w:tc>
          <w:tcPr>
            <w:tcW w:w="8031" w:type="dxa"/>
            <w:gridSpan w:val="3"/>
            <w:noWrap w:val="0"/>
            <w:vAlign w:val="center"/>
          </w:tcPr>
          <w:p>
            <w:pPr>
              <w:widowControl/>
              <w:jc w:val="center"/>
              <w:rPr>
                <w:rFonts w:hint="default" w:ascii="Times New Roman" w:hAnsi="Times New Roman" w:eastAsia="宋体" w:cs="Times New Roman"/>
                <w:color w:val="auto"/>
                <w:kern w:val="0"/>
                <w:sz w:val="24"/>
                <w:highlight w:val="none"/>
                <w:lang w:eastAsia="zh-CN" w:bidi="ar"/>
              </w:rPr>
            </w:pPr>
            <w:r>
              <w:rPr>
                <w:rFonts w:hint="eastAsia" w:cs="Times New Roman"/>
                <w:color w:val="auto"/>
                <w:sz w:val="24"/>
                <w:highlight w:val="none"/>
                <w:lang w:val="en-US" w:eastAsia="zh-CN"/>
              </w:rPr>
              <w:t>2312-510921-99-01-560596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widowControl/>
              <w:jc w:val="center"/>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建设单位联系人</w:t>
            </w:r>
          </w:p>
        </w:tc>
        <w:tc>
          <w:tcPr>
            <w:tcW w:w="2867" w:type="dxa"/>
            <w:noWrap w:val="0"/>
            <w:vAlign w:val="center"/>
          </w:tcPr>
          <w:p>
            <w:pPr>
              <w:widowControl/>
              <w:jc w:val="center"/>
              <w:rPr>
                <w:rFonts w:hint="default"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谢文林</w:t>
            </w:r>
          </w:p>
        </w:tc>
        <w:tc>
          <w:tcPr>
            <w:tcW w:w="2212" w:type="dxa"/>
            <w:noWrap w:val="0"/>
            <w:vAlign w:val="center"/>
          </w:tcPr>
          <w:p>
            <w:pPr>
              <w:widowControl/>
              <w:jc w:val="center"/>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联系方式</w:t>
            </w:r>
          </w:p>
        </w:tc>
        <w:tc>
          <w:tcPr>
            <w:tcW w:w="2952" w:type="dxa"/>
            <w:noWrap w:val="0"/>
            <w:vAlign w:val="center"/>
          </w:tcPr>
          <w:p>
            <w:pPr>
              <w:widowControl/>
              <w:jc w:val="center"/>
              <w:rPr>
                <w:rFonts w:hint="default"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w:t>
            </w:r>
            <w:bookmarkStart w:id="11" w:name="_GoBack"/>
            <w:bookmarkEnd w:id="1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widowControl/>
              <w:jc w:val="center"/>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建设地点</w:t>
            </w:r>
          </w:p>
        </w:tc>
        <w:tc>
          <w:tcPr>
            <w:tcW w:w="8031" w:type="dxa"/>
            <w:gridSpan w:val="3"/>
            <w:noWrap w:val="0"/>
            <w:vAlign w:val="center"/>
          </w:tcPr>
          <w:p>
            <w:pPr>
              <w:widowControl/>
              <w:jc w:val="center"/>
              <w:rPr>
                <w:rFonts w:hint="default" w:ascii="Times New Roman" w:hAnsi="Times New Roman" w:eastAsia="宋体" w:cs="Times New Roman"/>
                <w:color w:val="auto"/>
                <w:kern w:val="0"/>
                <w:sz w:val="24"/>
                <w:highlight w:val="none"/>
                <w:lang w:eastAsia="zh-CN" w:bidi="ar"/>
              </w:rPr>
            </w:pPr>
            <w:r>
              <w:rPr>
                <w:rFonts w:hint="default" w:ascii="Times New Roman" w:hAnsi="Times New Roman" w:cs="Times New Roman"/>
                <w:color w:val="auto"/>
                <w:kern w:val="0"/>
                <w:sz w:val="24"/>
                <w:highlight w:val="none"/>
                <w:lang w:eastAsia="zh-CN" w:bidi="ar"/>
              </w:rPr>
              <w:t>遂宁市蓬溪县赤城镇上游工业园区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地理坐标</w:t>
            </w:r>
          </w:p>
        </w:tc>
        <w:tc>
          <w:tcPr>
            <w:tcW w:w="8031" w:type="dxa"/>
            <w:gridSpan w:val="3"/>
            <w:noWrap w:val="0"/>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105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 xml:space="preserve">41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5.581</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rPr>
              <w:t xml:space="preserve"> 30 </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43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rPr>
              <w:t xml:space="preserve"> </w:t>
            </w:r>
            <w:r>
              <w:rPr>
                <w:rFonts w:hint="eastAsia" w:ascii="Times New Roman" w:hAnsi="Times New Roman" w:cs="Times New Roman"/>
                <w:color w:val="auto"/>
                <w:sz w:val="24"/>
                <w:highlight w:val="none"/>
                <w:u w:val="single"/>
                <w:lang w:val="en-US" w:eastAsia="zh-CN"/>
              </w:rPr>
              <w:t>59.351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2" w:type="dxa"/>
            <w:noWrap w:val="0"/>
            <w:tcMar>
              <w:top w:w="16" w:type="dxa"/>
              <w:left w:w="16" w:type="dxa"/>
              <w:right w:w="16" w:type="dxa"/>
            </w:tcMar>
            <w:vAlign w:val="center"/>
          </w:tcPr>
          <w:p>
            <w:pPr>
              <w:keepNext w:val="0"/>
              <w:keepLines w:val="0"/>
              <w:widowControl/>
              <w:suppressLineNumbers w:val="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国民经济</w:t>
            </w:r>
          </w:p>
          <w:p>
            <w:pPr>
              <w:keepNext w:val="0"/>
              <w:keepLines w:val="0"/>
              <w:widowControl/>
              <w:suppressLineNumbers w:val="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行业类别</w:t>
            </w:r>
          </w:p>
        </w:tc>
        <w:tc>
          <w:tcPr>
            <w:tcW w:w="2867" w:type="dxa"/>
            <w:noWrap w:val="0"/>
            <w:vAlign w:val="center"/>
          </w:tcPr>
          <w:p>
            <w:pPr>
              <w:keepNext w:val="0"/>
              <w:keepLines w:val="0"/>
              <w:widowControl/>
              <w:suppressLineNumbers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3981</w:t>
            </w:r>
            <w:r>
              <w:rPr>
                <w:rFonts w:hint="default" w:ascii="Times New Roman" w:hAnsi="Times New Roman" w:eastAsia="宋体" w:cs="Times New Roman"/>
                <w:color w:val="auto"/>
                <w:sz w:val="24"/>
                <w:highlight w:val="none"/>
                <w:lang w:val="en-US" w:eastAsia="zh-CN"/>
              </w:rPr>
              <w:t xml:space="preserve"> 电阻电容电感元件制造</w:t>
            </w:r>
          </w:p>
        </w:tc>
        <w:tc>
          <w:tcPr>
            <w:tcW w:w="2212" w:type="dxa"/>
            <w:noWrap w:val="0"/>
            <w:vAlign w:val="center"/>
          </w:tcPr>
          <w:p>
            <w:pPr>
              <w:keepNext w:val="0"/>
              <w:keepLines w:val="0"/>
              <w:widowControl/>
              <w:suppressLineNumbers w:val="0"/>
              <w:jc w:val="center"/>
              <w:rPr>
                <w:rFonts w:hint="default" w:ascii="Times New Roman" w:hAnsi="Times New Roman" w:eastAsia="宋体" w:cs="Times New Roman"/>
                <w:color w:val="auto"/>
                <w:sz w:val="24"/>
                <w:highlight w:val="none"/>
                <w:lang w:eastAsia="zh-CN"/>
              </w:rPr>
            </w:pPr>
            <w:bookmarkStart w:id="1" w:name="_Hlk49843745"/>
            <w:r>
              <w:rPr>
                <w:rFonts w:hint="default" w:ascii="Times New Roman" w:hAnsi="Times New Roman" w:eastAsia="宋体" w:cs="Times New Roman"/>
                <w:color w:val="auto"/>
                <w:sz w:val="24"/>
                <w:highlight w:val="none"/>
                <w:lang w:eastAsia="zh-CN"/>
              </w:rPr>
              <w:t>建设项目</w:t>
            </w:r>
          </w:p>
          <w:p>
            <w:pPr>
              <w:keepNext w:val="0"/>
              <w:keepLines w:val="0"/>
              <w:widowControl/>
              <w:suppressLineNumbers w:val="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行业类别</w:t>
            </w:r>
            <w:bookmarkEnd w:id="1"/>
          </w:p>
        </w:tc>
        <w:tc>
          <w:tcPr>
            <w:tcW w:w="2952" w:type="dxa"/>
            <w:noWrap w:val="0"/>
            <w:vAlign w:val="center"/>
          </w:tcPr>
          <w:p>
            <w:pPr>
              <w:keepNext w:val="0"/>
              <w:keepLines w:val="0"/>
              <w:widowControl/>
              <w:suppressLineNumbers w:val="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三十六、计算机、通信和其他电子设备制造业 39，</w:t>
            </w:r>
            <w:r>
              <w:rPr>
                <w:rFonts w:hint="eastAsia" w:ascii="Times New Roman" w:hAnsi="Times New Roman" w:eastAsia="宋体" w:cs="Times New Roman"/>
                <w:color w:val="auto"/>
                <w:sz w:val="24"/>
                <w:highlight w:val="none"/>
                <w:lang w:val="en-US" w:eastAsia="zh-CN"/>
              </w:rPr>
              <w:t>81</w:t>
            </w:r>
            <w:r>
              <w:rPr>
                <w:rFonts w:hint="eastAsia" w:ascii="Times New Roman" w:hAnsi="Times New Roman" w:eastAsia="宋体" w:cs="Times New Roman"/>
                <w:color w:val="auto"/>
                <w:sz w:val="24"/>
                <w:highlight w:val="none"/>
                <w:lang w:eastAsia="zh-CN"/>
              </w:rPr>
              <w:t>电子元件及电子专用材料制造 398中的“使用有机溶剂的”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w:t>
            </w:r>
          </w:p>
        </w:tc>
        <w:tc>
          <w:tcPr>
            <w:tcW w:w="2867" w:type="dxa"/>
            <w:noWrap w:val="0"/>
            <w:vAlign w:val="center"/>
          </w:tcPr>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新建（迁建）</w:t>
            </w:r>
          </w:p>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改建</w:t>
            </w:r>
          </w:p>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扩建</w:t>
            </w:r>
          </w:p>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技术改造</w:t>
            </w:r>
          </w:p>
        </w:tc>
        <w:tc>
          <w:tcPr>
            <w:tcW w:w="2212" w:type="dxa"/>
            <w:noWrap w:val="0"/>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w:t>
            </w:r>
          </w:p>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申报情形</w:t>
            </w:r>
          </w:p>
        </w:tc>
        <w:tc>
          <w:tcPr>
            <w:tcW w:w="2952" w:type="dxa"/>
            <w:noWrap w:val="0"/>
            <w:vAlign w:val="center"/>
          </w:tcPr>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首次申报项目</w:t>
            </w:r>
          </w:p>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□不予批准后再次申报项目</w:t>
            </w:r>
          </w:p>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□超五年重新审核项目</w:t>
            </w:r>
          </w:p>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项目审批（核准/备案）部门（选填）</w:t>
            </w:r>
          </w:p>
        </w:tc>
        <w:tc>
          <w:tcPr>
            <w:tcW w:w="2867" w:type="dxa"/>
            <w:noWrap w:val="0"/>
            <w:vAlign w:val="center"/>
          </w:tcPr>
          <w:p>
            <w:pPr>
              <w:adjustRightInd w:val="0"/>
              <w:snapToGrid w:val="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蓬溪县行政审批局</w:t>
            </w:r>
          </w:p>
        </w:tc>
        <w:tc>
          <w:tcPr>
            <w:tcW w:w="2212" w:type="dxa"/>
            <w:noWrap w:val="0"/>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项目审批（核准/备案）文号（选填）</w:t>
            </w:r>
          </w:p>
        </w:tc>
        <w:tc>
          <w:tcPr>
            <w:tcW w:w="2952" w:type="dxa"/>
            <w:noWrap w:val="0"/>
            <w:vAlign w:val="center"/>
          </w:tcPr>
          <w:p>
            <w:pPr>
              <w:adjustRightInd w:val="0"/>
              <w:snapToGrid w:val="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川投资备【2312-510921-99-01-560596】FGQB-0325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总投资（万元）</w:t>
            </w:r>
          </w:p>
        </w:tc>
        <w:tc>
          <w:tcPr>
            <w:tcW w:w="2867" w:type="dxa"/>
            <w:noWrap w:val="0"/>
            <w:vAlign w:val="center"/>
          </w:tcPr>
          <w:p>
            <w:pPr>
              <w:adjustRightInd w:val="0"/>
              <w:snapToGrid w:val="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50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环保投资（万元）</w:t>
            </w:r>
          </w:p>
        </w:tc>
        <w:tc>
          <w:tcPr>
            <w:tcW w:w="2952" w:type="dxa"/>
            <w:noWrap w:val="0"/>
            <w:vAlign w:val="center"/>
          </w:tcPr>
          <w:p>
            <w:pPr>
              <w:adjustRightInd w:val="0"/>
              <w:snapToGrid w:val="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环保投资占比（%）</w:t>
            </w:r>
          </w:p>
        </w:tc>
        <w:tc>
          <w:tcPr>
            <w:tcW w:w="2867" w:type="dxa"/>
            <w:noWrap w:val="0"/>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2952" w:type="dxa"/>
            <w:noWrap w:val="0"/>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是否开工建设</w:t>
            </w:r>
          </w:p>
        </w:tc>
        <w:tc>
          <w:tcPr>
            <w:tcW w:w="2867" w:type="dxa"/>
            <w:noWrap w:val="0"/>
            <w:vAlign w:val="center"/>
          </w:tcPr>
          <w:p>
            <w:pPr>
              <w:adjustRightInd w:val="0"/>
              <w:snapToGrid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否</w:t>
            </w:r>
          </w:p>
          <w:p>
            <w:pPr>
              <w:adjustRightInd w:val="0"/>
              <w:snapToGrid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□是：</w:t>
            </w:r>
            <w:r>
              <w:rPr>
                <w:rFonts w:hint="default" w:ascii="Times New Roman" w:hAnsi="Times New Roman" w:cs="Times New Roman"/>
                <w:color w:val="auto"/>
                <w:sz w:val="24"/>
                <w:highlight w:val="none"/>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用地（用海）</w:t>
            </w:r>
          </w:p>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6"/>
                <w:sz w:val="24"/>
                <w:highlight w:val="none"/>
              </w:rPr>
              <w:t>面积（m</w:t>
            </w:r>
            <w:r>
              <w:rPr>
                <w:rFonts w:hint="default" w:ascii="Times New Roman" w:hAnsi="Times New Roman" w:cs="Times New Roman"/>
                <w:color w:val="auto"/>
                <w:spacing w:val="-6"/>
                <w:sz w:val="24"/>
                <w:highlight w:val="none"/>
                <w:vertAlign w:val="superscript"/>
              </w:rPr>
              <w:t>2</w:t>
            </w:r>
            <w:r>
              <w:rPr>
                <w:rFonts w:hint="default" w:ascii="Times New Roman" w:hAnsi="Times New Roman" w:cs="Times New Roman"/>
                <w:color w:val="auto"/>
                <w:spacing w:val="-6"/>
                <w:sz w:val="24"/>
                <w:highlight w:val="none"/>
              </w:rPr>
              <w:t>）</w:t>
            </w:r>
          </w:p>
        </w:tc>
        <w:tc>
          <w:tcPr>
            <w:tcW w:w="2952" w:type="dxa"/>
            <w:noWrap w:val="0"/>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1146.46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专项评价设置情况</w:t>
            </w:r>
          </w:p>
        </w:tc>
        <w:tc>
          <w:tcPr>
            <w:tcW w:w="8031" w:type="dxa"/>
            <w:gridSpan w:val="3"/>
            <w:noWrap w:val="0"/>
            <w:vAlign w:val="center"/>
          </w:tcPr>
          <w:p>
            <w:pPr>
              <w:autoSpaceDE w:val="0"/>
              <w:autoSpaceDN w:val="0"/>
              <w:adjustRightInd w:val="0"/>
              <w:snapToGrid w:val="0"/>
              <w:spacing w:before="120" w:beforeLines="50" w:line="360" w:lineRule="auto"/>
              <w:ind w:firstLine="482"/>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根据建设项目排污情况及所涉环境敏感程度，本项目专项评价应设置情况见下表。</w:t>
            </w:r>
          </w:p>
          <w:p>
            <w:pPr>
              <w:tabs>
                <w:tab w:val="left" w:pos="662"/>
              </w:tabs>
              <w:kinsoku w:val="0"/>
              <w:overflowPunct w:val="0"/>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表1-1  本项目专项评价设置一览表</w:t>
            </w:r>
          </w:p>
          <w:tbl>
            <w:tblPr>
              <w:tblStyle w:val="19"/>
              <w:tblW w:w="5000" w:type="pct"/>
              <w:jc w:val="center"/>
              <w:tblLayout w:type="fixed"/>
              <w:tblCellMar>
                <w:top w:w="0" w:type="dxa"/>
                <w:left w:w="0" w:type="dxa"/>
                <w:bottom w:w="0" w:type="dxa"/>
                <w:right w:w="0" w:type="dxa"/>
              </w:tblCellMar>
            </w:tblPr>
            <w:tblGrid>
              <w:gridCol w:w="996"/>
              <w:gridCol w:w="4506"/>
              <w:gridCol w:w="1745"/>
              <w:gridCol w:w="568"/>
            </w:tblGrid>
            <w:tr>
              <w:tblPrEx>
                <w:tblCellMar>
                  <w:top w:w="0" w:type="dxa"/>
                  <w:left w:w="0" w:type="dxa"/>
                  <w:bottom w:w="0" w:type="dxa"/>
                  <w:right w:w="0" w:type="dxa"/>
                </w:tblCellMar>
              </w:tblPrEx>
              <w:trPr>
                <w:trHeight w:val="397" w:hRule="atLeast"/>
                <w:jc w:val="center"/>
              </w:trPr>
              <w:tc>
                <w:tcPr>
                  <w:tcW w:w="637" w:type="pct"/>
                  <w:tcBorders>
                    <w:top w:val="single" w:color="000000" w:sz="12"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专项评价的类别</w:t>
                  </w:r>
                </w:p>
              </w:tc>
              <w:tc>
                <w:tcPr>
                  <w:tcW w:w="2882" w:type="pct"/>
                  <w:tcBorders>
                    <w:top w:val="single" w:color="000000" w:sz="12"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设置原则</w:t>
                  </w:r>
                </w:p>
              </w:tc>
              <w:tc>
                <w:tcPr>
                  <w:tcW w:w="1116" w:type="pct"/>
                  <w:tcBorders>
                    <w:top w:val="single" w:color="000000" w:sz="12"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本项目</w:t>
                  </w:r>
                </w:p>
              </w:tc>
              <w:tc>
                <w:tcPr>
                  <w:tcW w:w="363" w:type="pct"/>
                  <w:tcBorders>
                    <w:top w:val="single" w:color="000000" w:sz="12" w:space="0"/>
                    <w:left w:val="single" w:color="000000" w:sz="4" w:space="0"/>
                    <w:bottom w:val="single" w:color="000000" w:sz="4" w:space="0"/>
                  </w:tcBorders>
                  <w:noWrap w:val="0"/>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是否设置</w:t>
                  </w:r>
                </w:p>
              </w:tc>
            </w:tr>
            <w:tr>
              <w:tblPrEx>
                <w:tblCellMar>
                  <w:top w:w="0" w:type="dxa"/>
                  <w:left w:w="0" w:type="dxa"/>
                  <w:bottom w:w="0" w:type="dxa"/>
                  <w:right w:w="0" w:type="dxa"/>
                </w:tblCellMar>
              </w:tblPrEx>
              <w:trPr>
                <w:trHeight w:val="397" w:hRule="atLeast"/>
                <w:jc w:val="center"/>
              </w:trPr>
              <w:tc>
                <w:tcPr>
                  <w:tcW w:w="637" w:type="pct"/>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大气</w:t>
                  </w:r>
                </w:p>
              </w:tc>
              <w:tc>
                <w:tcPr>
                  <w:tcW w:w="2882"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排放废气含有毒有害污染物1、二噁英、苯并[a]芘、氰化物、氯气且厂界外500米范围内有环境空气保护目标2的建设项目</w:t>
                  </w:r>
                </w:p>
              </w:tc>
              <w:tc>
                <w:tcPr>
                  <w:tcW w:w="1116"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本项目不涉及排放含有毒有害污染物1、二噁英、苯并[a]芘、氰化物、氯气污染物。</w:t>
                  </w:r>
                </w:p>
              </w:tc>
              <w:tc>
                <w:tcPr>
                  <w:tcW w:w="363" w:type="pct"/>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tblPrEx>
                <w:tblCellMar>
                  <w:top w:w="0" w:type="dxa"/>
                  <w:left w:w="0" w:type="dxa"/>
                  <w:bottom w:w="0" w:type="dxa"/>
                  <w:right w:w="0" w:type="dxa"/>
                </w:tblCellMar>
              </w:tblPrEx>
              <w:trPr>
                <w:trHeight w:val="397" w:hRule="atLeast"/>
                <w:jc w:val="center"/>
              </w:trPr>
              <w:tc>
                <w:tcPr>
                  <w:tcW w:w="637" w:type="pct"/>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地表水</w:t>
                  </w:r>
                </w:p>
              </w:tc>
              <w:tc>
                <w:tcPr>
                  <w:tcW w:w="2882"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新增</w:t>
                  </w:r>
                  <w:r>
                    <w:rPr>
                      <w:rFonts w:hint="default" w:ascii="Times New Roman" w:hAnsi="Times New Roman" w:cs="Times New Roman"/>
                      <w:bCs/>
                      <w:color w:val="auto"/>
                      <w:szCs w:val="21"/>
                      <w:highlight w:val="none"/>
                      <w:lang w:eastAsia="zh-CN"/>
                    </w:rPr>
                    <w:t>生产废水</w:t>
                  </w:r>
                  <w:r>
                    <w:rPr>
                      <w:rFonts w:hint="default" w:ascii="Times New Roman" w:hAnsi="Times New Roman" w:cs="Times New Roman"/>
                      <w:bCs/>
                      <w:color w:val="auto"/>
                      <w:szCs w:val="21"/>
                      <w:highlight w:val="none"/>
                    </w:rPr>
                    <w:t>直排建设项目（槽罐车外送污水处理厂的除外）；新增废水直排的污水集中处理厂</w:t>
                  </w:r>
                </w:p>
              </w:tc>
              <w:tc>
                <w:tcPr>
                  <w:tcW w:w="1116"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不涉及</w:t>
                  </w:r>
                </w:p>
              </w:tc>
              <w:tc>
                <w:tcPr>
                  <w:tcW w:w="363" w:type="pct"/>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tblPrEx>
                <w:tblCellMar>
                  <w:top w:w="0" w:type="dxa"/>
                  <w:left w:w="0" w:type="dxa"/>
                  <w:bottom w:w="0" w:type="dxa"/>
                  <w:right w:w="0" w:type="dxa"/>
                </w:tblCellMar>
              </w:tblPrEx>
              <w:trPr>
                <w:trHeight w:val="397" w:hRule="atLeast"/>
                <w:jc w:val="center"/>
              </w:trPr>
              <w:tc>
                <w:tcPr>
                  <w:tcW w:w="637" w:type="pct"/>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环境风险</w:t>
                  </w:r>
                </w:p>
              </w:tc>
              <w:tc>
                <w:tcPr>
                  <w:tcW w:w="2882"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有毒有害和易燃易爆危险物质存储量超过临界量</w:t>
                  </w:r>
                  <w:r>
                    <w:rPr>
                      <w:rFonts w:hint="default" w:ascii="Times New Roman" w:hAnsi="Times New Roman" w:cs="Times New Roman"/>
                      <w:bCs/>
                      <w:color w:val="auto"/>
                      <w:szCs w:val="21"/>
                      <w:highlight w:val="none"/>
                      <w:vertAlign w:val="superscript"/>
                    </w:rPr>
                    <w:t>3</w:t>
                  </w:r>
                  <w:r>
                    <w:rPr>
                      <w:rFonts w:hint="default" w:ascii="Times New Roman" w:hAnsi="Times New Roman" w:cs="Times New Roman"/>
                      <w:bCs/>
                      <w:color w:val="auto"/>
                      <w:szCs w:val="21"/>
                      <w:highlight w:val="none"/>
                    </w:rPr>
                    <w:t>的建设项目</w:t>
                  </w:r>
                </w:p>
              </w:tc>
              <w:tc>
                <w:tcPr>
                  <w:tcW w:w="1116"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不涉及</w:t>
                  </w:r>
                </w:p>
              </w:tc>
              <w:tc>
                <w:tcPr>
                  <w:tcW w:w="363" w:type="pct"/>
                  <w:tcBorders>
                    <w:top w:val="single" w:color="000000" w:sz="4" w:space="0"/>
                    <w:left w:val="single" w:color="000000" w:sz="4" w:space="0"/>
                    <w:bottom w:val="single" w:color="000000" w:sz="4"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tblPrEx>
                <w:tblCellMar>
                  <w:top w:w="0" w:type="dxa"/>
                  <w:left w:w="0" w:type="dxa"/>
                  <w:bottom w:w="0" w:type="dxa"/>
                  <w:right w:w="0" w:type="dxa"/>
                </w:tblCellMar>
              </w:tblPrEx>
              <w:trPr>
                <w:trHeight w:val="397" w:hRule="atLeast"/>
                <w:jc w:val="center"/>
              </w:trPr>
              <w:tc>
                <w:tcPr>
                  <w:tcW w:w="637" w:type="pct"/>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生态</w:t>
                  </w:r>
                </w:p>
              </w:tc>
              <w:tc>
                <w:tcPr>
                  <w:tcW w:w="2882"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取水口下游500米范围内有重要水生生物的自然产卵场、索饵场、越冬场和洄游通道的新增河道取水的污染类建设项目</w:t>
                  </w:r>
                </w:p>
              </w:tc>
              <w:tc>
                <w:tcPr>
                  <w:tcW w:w="1116"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不涉及</w:t>
                  </w:r>
                </w:p>
              </w:tc>
              <w:tc>
                <w:tcPr>
                  <w:tcW w:w="363" w:type="pct"/>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tblPrEx>
                <w:tblCellMar>
                  <w:top w:w="0" w:type="dxa"/>
                  <w:left w:w="0" w:type="dxa"/>
                  <w:bottom w:w="0" w:type="dxa"/>
                  <w:right w:w="0" w:type="dxa"/>
                </w:tblCellMar>
              </w:tblPrEx>
              <w:trPr>
                <w:trHeight w:val="397" w:hRule="atLeast"/>
                <w:jc w:val="center"/>
              </w:trPr>
              <w:tc>
                <w:tcPr>
                  <w:tcW w:w="637" w:type="pct"/>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海洋</w:t>
                  </w:r>
                </w:p>
              </w:tc>
              <w:tc>
                <w:tcPr>
                  <w:tcW w:w="2882"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直接向海排放污染物的海洋工程建设项目</w:t>
                  </w:r>
                </w:p>
              </w:tc>
              <w:tc>
                <w:tcPr>
                  <w:tcW w:w="1116" w:type="pct"/>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不涉及</w:t>
                  </w:r>
                </w:p>
              </w:tc>
              <w:tc>
                <w:tcPr>
                  <w:tcW w:w="363" w:type="pct"/>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tblPrEx>
                <w:tblCellMar>
                  <w:top w:w="0" w:type="dxa"/>
                  <w:left w:w="0" w:type="dxa"/>
                  <w:bottom w:w="0" w:type="dxa"/>
                  <w:right w:w="0" w:type="dxa"/>
                </w:tblCellMar>
              </w:tblPrEx>
              <w:trPr>
                <w:trHeight w:val="397" w:hRule="atLeast"/>
                <w:jc w:val="center"/>
              </w:trPr>
              <w:tc>
                <w:tcPr>
                  <w:tcW w:w="5000" w:type="pct"/>
                  <w:gridSpan w:val="4"/>
                  <w:tcBorders>
                    <w:top w:val="single" w:color="000000" w:sz="4" w:space="0"/>
                    <w:bottom w:val="single" w:color="000000" w:sz="12" w:space="0"/>
                  </w:tcBorders>
                  <w:noWrap w:val="0"/>
                  <w:vAlign w:val="center"/>
                </w:tcPr>
                <w:p>
                  <w:pPr>
                    <w:kinsoku w:val="0"/>
                    <w:overflowPunct w:val="0"/>
                    <w:autoSpaceDE w:val="0"/>
                    <w:autoSpaceDN w:val="0"/>
                    <w:adjustRightInd w:val="0"/>
                    <w:snapToGrid w:val="0"/>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注：1.废气中有毒有害污染物指纳入《有毒有害大气污染物名录》的污染物（不包括无排放标准</w:t>
                  </w:r>
                  <w:r>
                    <w:rPr>
                      <w:rFonts w:hint="default" w:ascii="Times New Roman" w:hAnsi="Times New Roman" w:cs="Times New Roman"/>
                      <w:color w:val="auto"/>
                      <w:spacing w:val="-99"/>
                      <w:kern w:val="0"/>
                      <w:szCs w:val="21"/>
                      <w:highlight w:val="none"/>
                    </w:rPr>
                    <w:t xml:space="preserve"> </w:t>
                  </w:r>
                  <w:r>
                    <w:rPr>
                      <w:rFonts w:hint="default" w:ascii="Times New Roman" w:hAnsi="Times New Roman" w:cs="Times New Roman"/>
                      <w:color w:val="auto"/>
                      <w:kern w:val="0"/>
                      <w:szCs w:val="21"/>
                      <w:highlight w:val="none"/>
                    </w:rPr>
                    <w:t>的污染物）。</w:t>
                  </w:r>
                </w:p>
                <w:p>
                  <w:pPr>
                    <w:overflowPunct w:val="0"/>
                    <w:autoSpaceDE w:val="0"/>
                    <w:autoSpaceDN w:val="0"/>
                    <w:adjustRightInd w:val="0"/>
                    <w:snapToGrid w:val="0"/>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2.环境空气保护目标指自然保护区、风景名胜区、居住区、文化区和农村地区中人群较集中的区域。</w:t>
                  </w:r>
                </w:p>
                <w:p>
                  <w:pPr>
                    <w:overflowPunct w:val="0"/>
                    <w:autoSpaceDE w:val="0"/>
                    <w:autoSpaceDN w:val="0"/>
                    <w:adjustRightInd w:val="0"/>
                    <w:snapToGrid w:val="0"/>
                    <w:ind w:firstLine="408"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pacing w:val="-3"/>
                      <w:kern w:val="0"/>
                      <w:szCs w:val="21"/>
                      <w:highlight w:val="none"/>
                    </w:rPr>
                    <w:t>3.临界量及其计算方法可参考《建设项目环境风险评价技术导则》（HJ</w:t>
                  </w:r>
                  <w:r>
                    <w:rPr>
                      <w:rFonts w:hint="default" w:ascii="Times New Roman" w:hAnsi="Times New Roman" w:cs="Times New Roman"/>
                      <w:color w:val="auto"/>
                      <w:spacing w:val="-54"/>
                      <w:kern w:val="0"/>
                      <w:szCs w:val="21"/>
                      <w:highlight w:val="none"/>
                    </w:rPr>
                    <w:t xml:space="preserve"> </w:t>
                  </w:r>
                  <w:r>
                    <w:rPr>
                      <w:rFonts w:hint="default" w:ascii="Times New Roman" w:hAnsi="Times New Roman" w:cs="Times New Roman"/>
                      <w:color w:val="auto"/>
                      <w:spacing w:val="-5"/>
                      <w:kern w:val="0"/>
                      <w:szCs w:val="21"/>
                      <w:highlight w:val="none"/>
                    </w:rPr>
                    <w:t>169）附录</w:t>
                  </w:r>
                  <w:r>
                    <w:rPr>
                      <w:rFonts w:hint="default" w:ascii="Times New Roman" w:hAnsi="Times New Roman" w:cs="Times New Roman"/>
                      <w:color w:val="auto"/>
                      <w:spacing w:val="-52"/>
                      <w:kern w:val="0"/>
                      <w:szCs w:val="21"/>
                      <w:highlight w:val="none"/>
                    </w:rPr>
                    <w:t xml:space="preserve"> </w:t>
                  </w:r>
                  <w:r>
                    <w:rPr>
                      <w:rFonts w:hint="default" w:ascii="Times New Roman" w:hAnsi="Times New Roman" w:cs="Times New Roman"/>
                      <w:color w:val="auto"/>
                      <w:spacing w:val="-7"/>
                      <w:kern w:val="0"/>
                      <w:szCs w:val="21"/>
                      <w:highlight w:val="none"/>
                    </w:rPr>
                    <w:t>B、附录</w:t>
                  </w:r>
                  <w:r>
                    <w:rPr>
                      <w:rFonts w:hint="default" w:ascii="Times New Roman" w:hAnsi="Times New Roman" w:cs="Times New Roman"/>
                      <w:color w:val="auto"/>
                      <w:spacing w:val="-52"/>
                      <w:kern w:val="0"/>
                      <w:szCs w:val="21"/>
                      <w:highlight w:val="none"/>
                    </w:rPr>
                    <w:t xml:space="preserve"> </w:t>
                  </w:r>
                  <w:r>
                    <w:rPr>
                      <w:rFonts w:hint="default" w:ascii="Times New Roman" w:hAnsi="Times New Roman" w:cs="Times New Roman"/>
                      <w:color w:val="auto"/>
                      <w:kern w:val="0"/>
                      <w:szCs w:val="21"/>
                      <w:highlight w:val="none"/>
                    </w:rPr>
                    <w:t>C。</w:t>
                  </w:r>
                </w:p>
              </w:tc>
            </w:tr>
          </w:tbl>
          <w:p>
            <w:pPr>
              <w:overflowPunct w:val="0"/>
              <w:autoSpaceDE w:val="0"/>
              <w:autoSpaceDN w:val="0"/>
              <w:adjustRightInd w:val="0"/>
              <w:snapToGrid w:val="0"/>
              <w:spacing w:line="360" w:lineRule="auto"/>
              <w:ind w:firstLine="452"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7"/>
                <w:sz w:val="24"/>
                <w:highlight w:val="none"/>
              </w:rPr>
              <w:t>此外，本项目土壤、声环境</w:t>
            </w:r>
            <w:r>
              <w:rPr>
                <w:rFonts w:hint="default" w:ascii="Times New Roman" w:hAnsi="Times New Roman" w:cs="Times New Roman"/>
                <w:color w:val="auto"/>
                <w:spacing w:val="4"/>
                <w:sz w:val="24"/>
                <w:highlight w:val="none"/>
              </w:rPr>
              <w:t>不开展专项评价，项目不涉及集中式饮用水水源和热水、矿泉水、温泉等特殊地下水资源保护区，因此不开展地下水专项评价。</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规划情况</w:t>
            </w:r>
          </w:p>
        </w:tc>
        <w:tc>
          <w:tcPr>
            <w:tcW w:w="8031"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蓬溪县上游工业园管理委员会《关于上游工业集中发展区规划调整的请示》（蓬上游工业园〔2012〕40号）；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蓬溪县人民政府《关于同意调整上游工业集中发展区主导产业的批复》（蓬府函〔2012〕78号）；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四川省人民政府《关于设立四川蒲江经济开发区等64家省级开发区的批复》(川府函[2019] 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规划环境影响</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评价情况</w:t>
            </w:r>
          </w:p>
        </w:tc>
        <w:tc>
          <w:tcPr>
            <w:tcW w:w="8031"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规划环境影响评价文件名称：《四川蓬溪经济开发区（上游片区）（暨蓬溪县上游工业园产业聚集区）规划修编环境影响报告书》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召集审查机关：遂宁市生态环境局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color w:val="auto"/>
                <w:highlight w:val="none"/>
                <w:lang w:eastAsia="zh-CN"/>
              </w:rPr>
            </w:pPr>
            <w:r>
              <w:rPr>
                <w:rFonts w:hint="default" w:ascii="Times New Roman" w:hAnsi="Times New Roman" w:cs="Times New Roman"/>
                <w:color w:val="auto"/>
                <w:kern w:val="0"/>
                <w:sz w:val="24"/>
                <w:highlight w:val="none"/>
                <w:lang w:eastAsia="zh-CN"/>
              </w:rPr>
              <w:t>审查文件名称及文号：《四川蓬溪经济开发区（上游片区）（暨蓬溪县上游工业园产业聚集区）规划修编环境影响报告书审查意见的函》（遂环函[2022] 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规划及规划环境影响评价符合性分析</w:t>
            </w:r>
          </w:p>
        </w:tc>
        <w:tc>
          <w:tcPr>
            <w:tcW w:w="8031"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1、基本情况</w:t>
            </w:r>
          </w:p>
          <w:p>
            <w:pPr>
              <w:adjustRightInd w:val="0"/>
              <w:snapToGrid w:val="0"/>
              <w:spacing w:line="360" w:lineRule="auto"/>
              <w:ind w:firstLine="480" w:firstLineChars="200"/>
              <w:rPr>
                <w:color w:val="auto"/>
                <w:sz w:val="24"/>
                <w:highlight w:val="none"/>
              </w:rPr>
            </w:pPr>
            <w:r>
              <w:rPr>
                <w:color w:val="auto"/>
                <w:sz w:val="24"/>
                <w:highlight w:val="none"/>
              </w:rPr>
              <w:t>2019年1月，四川省人民政府出具《关于设立四川蒲江经济开发区等64家省级开发区的批复》</w:t>
            </w:r>
            <w:r>
              <w:rPr>
                <w:rFonts w:hint="eastAsia"/>
                <w:color w:val="auto"/>
                <w:sz w:val="24"/>
                <w:highlight w:val="none"/>
                <w:lang w:eastAsia="zh-CN"/>
              </w:rPr>
              <w:t>（</w:t>
            </w:r>
            <w:r>
              <w:rPr>
                <w:color w:val="auto"/>
                <w:sz w:val="24"/>
                <w:highlight w:val="none"/>
              </w:rPr>
              <w:t>川府函[2019] 20号</w:t>
            </w:r>
            <w:r>
              <w:rPr>
                <w:rFonts w:hint="eastAsia"/>
                <w:color w:val="auto"/>
                <w:sz w:val="24"/>
                <w:highlight w:val="none"/>
                <w:lang w:eastAsia="zh-CN"/>
              </w:rPr>
              <w:t>）</w:t>
            </w:r>
            <w:r>
              <w:rPr>
                <w:color w:val="auto"/>
                <w:sz w:val="24"/>
                <w:highlight w:val="none"/>
              </w:rPr>
              <w:t>，同意设立四川蓬溪经济开发区。蓬溪经开区以家具、服装、食品饮料为主导产业，核准面积5.7437 km</w:t>
            </w:r>
            <w:r>
              <w:rPr>
                <w:color w:val="auto"/>
                <w:sz w:val="24"/>
                <w:highlight w:val="none"/>
                <w:vertAlign w:val="superscript"/>
              </w:rPr>
              <w:t>2</w:t>
            </w:r>
            <w:r>
              <w:rPr>
                <w:rFonts w:hint="eastAsia"/>
                <w:color w:val="auto"/>
                <w:sz w:val="24"/>
                <w:highlight w:val="none"/>
              </w:rPr>
              <w:t>，</w:t>
            </w:r>
            <w:r>
              <w:rPr>
                <w:color w:val="auto"/>
                <w:sz w:val="24"/>
                <w:highlight w:val="none"/>
              </w:rPr>
              <w:t>其中上游片区2.6195 km</w:t>
            </w:r>
            <w:r>
              <w:rPr>
                <w:color w:val="auto"/>
                <w:sz w:val="24"/>
                <w:highlight w:val="none"/>
                <w:vertAlign w:val="superscript"/>
              </w:rPr>
              <w:t>2</w:t>
            </w:r>
            <w:r>
              <w:rPr>
                <w:rFonts w:hint="eastAsia"/>
                <w:color w:val="auto"/>
                <w:sz w:val="24"/>
                <w:highlight w:val="none"/>
              </w:rPr>
              <w:t>，</w:t>
            </w:r>
            <w:r>
              <w:rPr>
                <w:color w:val="auto"/>
                <w:sz w:val="24"/>
                <w:highlight w:val="none"/>
              </w:rPr>
              <w:t>重点发展门业家居、纺织服装等产业，金桥片区3.1242km</w:t>
            </w:r>
            <w:r>
              <w:rPr>
                <w:color w:val="auto"/>
                <w:sz w:val="24"/>
                <w:highlight w:val="none"/>
                <w:vertAlign w:val="superscript"/>
              </w:rPr>
              <w:t>2</w:t>
            </w:r>
            <w:r>
              <w:rPr>
                <w:color w:val="auto"/>
                <w:sz w:val="24"/>
                <w:highlight w:val="none"/>
              </w:rPr>
              <w:t>，重点发展食品饮料等产业。</w:t>
            </w:r>
          </w:p>
          <w:p>
            <w:pPr>
              <w:adjustRightInd w:val="0"/>
              <w:snapToGrid w:val="0"/>
              <w:spacing w:line="360" w:lineRule="auto"/>
              <w:ind w:firstLine="480" w:firstLineChars="200"/>
              <w:rPr>
                <w:color w:val="auto"/>
                <w:sz w:val="24"/>
                <w:highlight w:val="none"/>
              </w:rPr>
            </w:pPr>
            <w:r>
              <w:rPr>
                <w:rFonts w:hint="eastAsia"/>
                <w:color w:val="auto"/>
                <w:sz w:val="24"/>
                <w:highlight w:val="none"/>
              </w:rPr>
              <w:t>2022年</w:t>
            </w:r>
            <w:r>
              <w:rPr>
                <w:color w:val="auto"/>
                <w:sz w:val="24"/>
                <w:highlight w:val="none"/>
              </w:rPr>
              <w:t>，四川蓬溪经开区管委会启动了园区修编工作，编制了《四川蓬溪经济开发区</w:t>
            </w:r>
            <w:r>
              <w:rPr>
                <w:rFonts w:hint="eastAsia"/>
                <w:color w:val="auto"/>
                <w:sz w:val="24"/>
                <w:highlight w:val="none"/>
                <w:lang w:eastAsia="zh-CN"/>
              </w:rPr>
              <w:t>（</w:t>
            </w:r>
            <w:r>
              <w:rPr>
                <w:color w:val="auto"/>
                <w:sz w:val="24"/>
                <w:highlight w:val="none"/>
              </w:rPr>
              <w:t>上游片区</w:t>
            </w:r>
            <w:r>
              <w:rPr>
                <w:rFonts w:hint="eastAsia"/>
                <w:color w:val="auto"/>
                <w:sz w:val="24"/>
                <w:highlight w:val="none"/>
                <w:lang w:eastAsia="zh-CN"/>
              </w:rPr>
              <w:t>）（</w:t>
            </w:r>
            <w:r>
              <w:rPr>
                <w:color w:val="auto"/>
                <w:sz w:val="24"/>
                <w:highlight w:val="none"/>
              </w:rPr>
              <w:t>暨蓬溪县上游工业园产业聚集区</w:t>
            </w:r>
            <w:r>
              <w:rPr>
                <w:rFonts w:hint="eastAsia"/>
                <w:color w:val="auto"/>
                <w:sz w:val="24"/>
                <w:highlight w:val="none"/>
                <w:lang w:eastAsia="zh-CN"/>
              </w:rPr>
              <w:t>）</w:t>
            </w:r>
            <w:r>
              <w:rPr>
                <w:color w:val="auto"/>
                <w:sz w:val="24"/>
                <w:highlight w:val="none"/>
              </w:rPr>
              <w:t>控制性详细规划修编》。</w:t>
            </w:r>
          </w:p>
          <w:p>
            <w:pPr>
              <w:adjustRightInd w:val="0"/>
              <w:snapToGrid w:val="0"/>
              <w:spacing w:line="360" w:lineRule="auto"/>
              <w:ind w:firstLine="480" w:firstLineChars="200"/>
              <w:rPr>
                <w:color w:val="auto"/>
                <w:sz w:val="24"/>
                <w:highlight w:val="none"/>
              </w:rPr>
            </w:pPr>
            <w:r>
              <w:rPr>
                <w:rFonts w:hint="eastAsia"/>
                <w:color w:val="auto"/>
                <w:sz w:val="24"/>
                <w:highlight w:val="none"/>
              </w:rPr>
              <w:t>修编后，</w:t>
            </w:r>
            <w:r>
              <w:rPr>
                <w:color w:val="auto"/>
                <w:sz w:val="24"/>
                <w:highlight w:val="none"/>
              </w:rPr>
              <w:t>上游工业园</w:t>
            </w:r>
            <w:r>
              <w:rPr>
                <w:rFonts w:hint="eastAsia"/>
                <w:color w:val="auto"/>
                <w:sz w:val="24"/>
                <w:highlight w:val="none"/>
              </w:rPr>
              <w:t>四至范围：</w:t>
            </w:r>
            <w:r>
              <w:rPr>
                <w:color w:val="auto"/>
                <w:sz w:val="24"/>
                <w:highlight w:val="none"/>
              </w:rPr>
              <w:t>南至普安街道任家桥村5组，北至芝溪河南岸（沿河岸线退10m间距），东至鸣凤镇白猴村4组，西至赤城镇跃进村5组，规划范围南北长约4.2km</w:t>
            </w:r>
            <w:r>
              <w:rPr>
                <w:rFonts w:hint="eastAsia"/>
                <w:color w:val="auto"/>
                <w:sz w:val="24"/>
                <w:highlight w:val="none"/>
                <w:lang w:eastAsia="zh-CN"/>
              </w:rPr>
              <w:t>，</w:t>
            </w:r>
            <w:r>
              <w:rPr>
                <w:color w:val="auto"/>
                <w:sz w:val="24"/>
                <w:highlight w:val="none"/>
              </w:rPr>
              <w:t>东西宽约4.5km，总面积约11.7 km</w:t>
            </w:r>
            <w:r>
              <w:rPr>
                <w:color w:val="auto"/>
                <w:sz w:val="24"/>
                <w:highlight w:val="none"/>
                <w:vertAlign w:val="superscript"/>
              </w:rPr>
              <w:t>2</w:t>
            </w:r>
            <w:r>
              <w:rPr>
                <w:color w:val="auto"/>
                <w:sz w:val="24"/>
                <w:highlight w:val="none"/>
              </w:rPr>
              <w:t>。</w:t>
            </w:r>
            <w:r>
              <w:rPr>
                <w:rFonts w:hint="eastAsia"/>
                <w:b/>
                <w:bCs/>
                <w:color w:val="auto"/>
                <w:sz w:val="24"/>
                <w:highlight w:val="none"/>
              </w:rPr>
              <w:t>主导产业：门业及智能家居产业、线缆线束产业。</w:t>
            </w:r>
          </w:p>
          <w:p>
            <w:pPr>
              <w:widowControl/>
              <w:spacing w:line="360" w:lineRule="auto"/>
              <w:ind w:firstLine="482" w:firstLineChars="200"/>
              <w:rPr>
                <w:rFonts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2、</w:t>
            </w:r>
            <w:r>
              <w:rPr>
                <w:rFonts w:hint="eastAsia" w:ascii="Times New Roman" w:hAnsi="Times New Roman" w:eastAsia="宋体" w:cs="Times New Roman"/>
                <w:b/>
                <w:bCs/>
                <w:color w:val="auto"/>
                <w:kern w:val="0"/>
                <w:sz w:val="24"/>
                <w:highlight w:val="none"/>
                <w:lang w:eastAsia="zh-CN"/>
              </w:rPr>
              <w:t>园区</w:t>
            </w:r>
            <w:r>
              <w:rPr>
                <w:rFonts w:hint="eastAsia" w:ascii="Times New Roman" w:hAnsi="Times New Roman" w:eastAsia="宋体" w:cs="Times New Roman"/>
                <w:b/>
                <w:bCs/>
                <w:color w:val="auto"/>
                <w:kern w:val="0"/>
                <w:sz w:val="24"/>
                <w:highlight w:val="none"/>
                <w:lang w:val="en-US" w:eastAsia="zh-CN"/>
              </w:rPr>
              <w:t>行业准入</w:t>
            </w:r>
            <w:r>
              <w:rPr>
                <w:rFonts w:ascii="Times New Roman" w:hAnsi="Times New Roman" w:eastAsia="宋体" w:cs="Times New Roman"/>
                <w:b/>
                <w:bCs/>
                <w:color w:val="auto"/>
                <w:kern w:val="0"/>
                <w:sz w:val="24"/>
                <w:highlight w:val="none"/>
                <w:lang w:val="en-US" w:eastAsia="zh-CN"/>
              </w:rPr>
              <w:t xml:space="preserve"> </w:t>
            </w:r>
          </w:p>
          <w:p>
            <w:pPr>
              <w:widowControl/>
              <w:spacing w:line="360" w:lineRule="auto"/>
              <w:ind w:firstLine="482"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（1）鼓励类</w:t>
            </w:r>
            <w:r>
              <w:rPr>
                <w:rFonts w:hint="eastAsia" w:ascii="Times New Roman" w:hAnsi="Times New Roman" w:eastAsia="宋体" w:cs="Times New Roman"/>
                <w:color w:val="auto"/>
                <w:kern w:val="0"/>
                <w:sz w:val="24"/>
                <w:highlight w:val="none"/>
                <w:lang w:val="en-US" w:eastAsia="zh-CN"/>
              </w:rPr>
              <w:t>：</w:t>
            </w:r>
          </w:p>
          <w:p>
            <w:pPr>
              <w:widowControl/>
              <w:spacing w:line="360" w:lineRule="auto"/>
              <w:ind w:firstLine="480" w:firstLineChars="200"/>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 xml:space="preserve">鼓励发展门业及智能家居产业、线缆线束产业及与主导产业相符的项目。 </w:t>
            </w:r>
          </w:p>
          <w:p>
            <w:pPr>
              <w:widowControl/>
              <w:spacing w:line="360" w:lineRule="auto"/>
              <w:ind w:firstLine="480" w:firstLineChars="200"/>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 xml:space="preserve">门业及智能家居产业：主要包括木门窗，金属门窗，木制家具，竹、藤家具，金属家具，塑料家具，其他家具等。 </w:t>
            </w:r>
          </w:p>
          <w:p>
            <w:pPr>
              <w:widowControl/>
              <w:spacing w:line="360" w:lineRule="auto"/>
              <w:ind w:firstLine="480" w:firstLineChars="200"/>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 xml:space="preserve">线缆线束产业：主要为电线、电缆制造。 </w:t>
            </w:r>
          </w:p>
          <w:p>
            <w:pPr>
              <w:widowControl/>
              <w:spacing w:line="360" w:lineRule="auto"/>
              <w:ind w:firstLine="480" w:firstLineChars="200"/>
              <w:rPr>
                <w:color w:val="auto"/>
                <w:sz w:val="24"/>
                <w:highlight w:val="none"/>
              </w:rPr>
            </w:pPr>
            <w:r>
              <w:rPr>
                <w:rFonts w:hint="eastAsia" w:ascii="Times New Roman" w:hAnsi="Times New Roman" w:eastAsia="宋体" w:cs="Times New Roman"/>
                <w:color w:val="auto"/>
                <w:kern w:val="0"/>
                <w:sz w:val="24"/>
                <w:highlight w:val="none"/>
                <w:lang w:val="en-US" w:eastAsia="zh-CN"/>
              </w:rPr>
              <w:t xml:space="preserve">鼓励其发展主导产业或重要项目的上下游企业，有利于区域实现循环经济和可持续发展的企业，若与规划区或片区主业发展不形成交叉影响。 </w:t>
            </w:r>
          </w:p>
          <w:p>
            <w:pPr>
              <w:keepNext w:val="0"/>
              <w:keepLines w:val="0"/>
              <w:pageBreakBefore w:val="0"/>
              <w:widowControl/>
              <w:kinsoku/>
              <w:wordWrap/>
              <w:overflowPunct/>
              <w:topLinePunct w:val="0"/>
              <w:autoSpaceDE/>
              <w:autoSpaceDN/>
              <w:bidi w:val="0"/>
              <w:adjustRightInd/>
              <w:snapToGrid/>
              <w:spacing w:line="240" w:lineRule="auto"/>
              <w:ind w:firstLine="422" w:firstLineChars="200"/>
              <w:jc w:val="center"/>
              <w:textAlignment w:val="auto"/>
              <w:rPr>
                <w:rFonts w:hint="eastAsia"/>
                <w:b/>
                <w:bCs/>
                <w:color w:val="auto"/>
                <w:kern w:val="0"/>
                <w:sz w:val="24"/>
                <w:highlight w:val="none"/>
              </w:rPr>
            </w:pPr>
            <w:r>
              <w:rPr>
                <w:rFonts w:hint="eastAsia" w:ascii="Times New Roman" w:hAnsi="Times New Roman" w:eastAsia="宋体" w:cs="Times New Roman"/>
                <w:b/>
                <w:bCs/>
                <w:color w:val="auto"/>
                <w:kern w:val="0"/>
                <w:sz w:val="21"/>
                <w:szCs w:val="21"/>
                <w:highlight w:val="none"/>
                <w:lang w:val="en-US" w:eastAsia="zh-CN"/>
              </w:rPr>
              <w:t>表 1-2规划主导产业分析</w:t>
            </w:r>
          </w:p>
          <w:tbl>
            <w:tblPr>
              <w:tblStyle w:val="20"/>
              <w:tblW w:w="783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403"/>
              <w:gridCol w:w="37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96" w:type="dxa"/>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r>
                    <w:rPr>
                      <w:rFonts w:hint="eastAsia" w:ascii="宋体" w:hAnsi="宋体" w:eastAsia="宋体" w:cs="宋体"/>
                      <w:b w:val="0"/>
                      <w:bCs w:val="0"/>
                      <w:color w:val="auto"/>
                      <w:kern w:val="0"/>
                      <w:sz w:val="21"/>
                      <w:szCs w:val="21"/>
                      <w:highlight w:val="none"/>
                      <w:vertAlign w:val="baseline"/>
                      <w:lang w:eastAsia="zh-CN"/>
                    </w:rPr>
                    <w:t>行业</w:t>
                  </w:r>
                </w:p>
              </w:tc>
              <w:tc>
                <w:tcPr>
                  <w:tcW w:w="2403" w:type="dxa"/>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r>
                    <w:rPr>
                      <w:rFonts w:hint="eastAsia" w:ascii="宋体" w:hAnsi="宋体" w:eastAsia="宋体" w:cs="宋体"/>
                      <w:b w:val="0"/>
                      <w:bCs w:val="0"/>
                      <w:color w:val="auto"/>
                      <w:kern w:val="0"/>
                      <w:sz w:val="21"/>
                      <w:szCs w:val="21"/>
                      <w:highlight w:val="none"/>
                      <w:vertAlign w:val="baseline"/>
                      <w:lang w:eastAsia="zh-CN"/>
                    </w:rPr>
                    <w:t>国民经济类别</w:t>
                  </w:r>
                </w:p>
              </w:tc>
              <w:tc>
                <w:tcPr>
                  <w:tcW w:w="3740" w:type="dxa"/>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r>
                    <w:rPr>
                      <w:rFonts w:hint="eastAsia" w:ascii="宋体" w:hAnsi="宋体" w:eastAsia="宋体" w:cs="宋体"/>
                      <w:b w:val="0"/>
                      <w:bCs w:val="0"/>
                      <w:color w:val="auto"/>
                      <w:kern w:val="0"/>
                      <w:sz w:val="21"/>
                      <w:szCs w:val="21"/>
                      <w:highlight w:val="none"/>
                      <w:vertAlign w:val="baseli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96" w:type="dxa"/>
                  <w:vMerge w:val="restart"/>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r>
                    <w:rPr>
                      <w:rFonts w:hint="eastAsia" w:ascii="宋体" w:hAnsi="宋体" w:eastAsia="宋体" w:cs="宋体"/>
                      <w:b w:val="0"/>
                      <w:bCs w:val="0"/>
                      <w:color w:val="auto"/>
                      <w:kern w:val="0"/>
                      <w:sz w:val="21"/>
                      <w:szCs w:val="21"/>
                      <w:highlight w:val="none"/>
                      <w:vertAlign w:val="baseline"/>
                      <w:lang w:eastAsia="zh-CN"/>
                    </w:rPr>
                    <w:t>门业及智能家居</w:t>
                  </w:r>
                </w:p>
              </w:tc>
              <w:tc>
                <w:tcPr>
                  <w:tcW w:w="2403" w:type="dxa"/>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C2032木门窗制造</w:t>
                  </w:r>
                </w:p>
              </w:tc>
              <w:tc>
                <w:tcPr>
                  <w:tcW w:w="3740" w:type="dxa"/>
                  <w:vMerge w:val="restart"/>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highlight w:val="none"/>
                    </w:rPr>
                    <w:t>禁止引入溶剂型涂料涂装的木质家具（高流量低压 [HVLP]喷漆工艺除外）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96" w:type="dxa"/>
                  <w:vMerge w:val="continue"/>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p>
              </w:tc>
              <w:tc>
                <w:tcPr>
                  <w:tcW w:w="2403" w:type="dxa"/>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C201家具木材加工</w:t>
                  </w:r>
                </w:p>
              </w:tc>
              <w:tc>
                <w:tcPr>
                  <w:tcW w:w="3740" w:type="dxa"/>
                  <w:vMerge w:val="continue"/>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96" w:type="dxa"/>
                  <w:vMerge w:val="continue"/>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p>
              </w:tc>
              <w:tc>
                <w:tcPr>
                  <w:tcW w:w="2403" w:type="dxa"/>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C21家具产业</w:t>
                  </w:r>
                </w:p>
              </w:tc>
              <w:tc>
                <w:tcPr>
                  <w:tcW w:w="3740" w:type="dxa"/>
                  <w:vMerge w:val="continue"/>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96" w:type="dxa"/>
                  <w:vMerge w:val="continue"/>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p>
              </w:tc>
              <w:tc>
                <w:tcPr>
                  <w:tcW w:w="2403" w:type="dxa"/>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C3312金属门窗制造</w:t>
                  </w:r>
                </w:p>
              </w:tc>
              <w:tc>
                <w:tcPr>
                  <w:tcW w:w="3740" w:type="dxa"/>
                  <w:vMerge w:val="continue"/>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96" w:type="dxa"/>
                  <w:noWrap w:val="0"/>
                  <w:vAlign w:val="center"/>
                </w:tcPr>
                <w:p>
                  <w:pPr>
                    <w:widowControl/>
                    <w:spacing w:line="360" w:lineRule="auto"/>
                    <w:jc w:val="center"/>
                    <w:rPr>
                      <w:rFonts w:hint="eastAsia" w:ascii="宋体" w:hAnsi="宋体" w:eastAsia="宋体" w:cs="宋体"/>
                      <w:b w:val="0"/>
                      <w:bCs w:val="0"/>
                      <w:color w:val="auto"/>
                      <w:kern w:val="0"/>
                      <w:sz w:val="21"/>
                      <w:szCs w:val="21"/>
                      <w:highlight w:val="none"/>
                      <w:vertAlign w:val="baseline"/>
                      <w:lang w:eastAsia="zh-CN"/>
                    </w:rPr>
                  </w:pPr>
                  <w:r>
                    <w:rPr>
                      <w:rFonts w:hint="eastAsia" w:ascii="宋体" w:hAnsi="宋体" w:eastAsia="宋体" w:cs="宋体"/>
                      <w:b w:val="0"/>
                      <w:bCs w:val="0"/>
                      <w:color w:val="auto"/>
                      <w:kern w:val="0"/>
                      <w:sz w:val="21"/>
                      <w:szCs w:val="21"/>
                      <w:highlight w:val="none"/>
                      <w:vertAlign w:val="baseline"/>
                      <w:lang w:eastAsia="zh-CN"/>
                    </w:rPr>
                    <w:t>线缆线束</w:t>
                  </w:r>
                </w:p>
              </w:tc>
              <w:tc>
                <w:tcPr>
                  <w:tcW w:w="2403" w:type="dxa"/>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C3831电线电缆</w:t>
                  </w:r>
                </w:p>
              </w:tc>
              <w:tc>
                <w:tcPr>
                  <w:tcW w:w="3740" w:type="dxa"/>
                  <w:noWrap w:val="0"/>
                  <w:vAlign w:val="center"/>
                </w:tcPr>
                <w:p>
                  <w:pPr>
                    <w:widowControl/>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禁止引入6千伏及以上（陆上用）干法交联电力电缆项目</w:t>
                  </w:r>
                </w:p>
              </w:tc>
            </w:tr>
          </w:tbl>
          <w:p>
            <w:pPr>
              <w:widowControl/>
              <w:spacing w:line="360" w:lineRule="auto"/>
              <w:ind w:firstLine="482" w:firstLineChars="200"/>
              <w:rPr>
                <w:rFonts w:hint="eastAsia"/>
                <w:b/>
                <w:bCs/>
                <w:color w:val="auto"/>
                <w:kern w:val="0"/>
                <w:sz w:val="24"/>
                <w:highlight w:val="none"/>
                <w:lang w:eastAsia="zh-CN"/>
              </w:rPr>
            </w:pPr>
            <w:r>
              <w:rPr>
                <w:rFonts w:hint="eastAsia"/>
                <w:b/>
                <w:bCs/>
                <w:color w:val="auto"/>
                <w:kern w:val="0"/>
                <w:sz w:val="24"/>
                <w:highlight w:val="none"/>
                <w:lang w:eastAsia="zh-CN"/>
              </w:rPr>
              <w:t>（</w:t>
            </w:r>
            <w:r>
              <w:rPr>
                <w:rFonts w:hint="eastAsia"/>
                <w:b/>
                <w:bCs/>
                <w:color w:val="auto"/>
                <w:kern w:val="0"/>
                <w:sz w:val="24"/>
                <w:highlight w:val="none"/>
                <w:lang w:val="en-US" w:eastAsia="zh-CN"/>
              </w:rPr>
              <w:t>2）</w:t>
            </w:r>
            <w:r>
              <w:rPr>
                <w:rFonts w:hint="eastAsia"/>
                <w:b/>
                <w:bCs/>
                <w:color w:val="auto"/>
                <w:kern w:val="0"/>
                <w:sz w:val="24"/>
                <w:highlight w:val="none"/>
                <w:lang w:eastAsia="zh-CN"/>
              </w:rPr>
              <w:t>禁止类：</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r>
              <w:rPr>
                <w:rFonts w:hint="eastAsia" w:ascii="Times New Roman" w:hAnsi="Times New Roman" w:eastAsia="宋体" w:cs="Times New Roman"/>
                <w:b w:val="0"/>
                <w:bCs w:val="0"/>
                <w:color w:val="auto"/>
                <w:kern w:val="0"/>
                <w:sz w:val="24"/>
                <w:highlight w:val="none"/>
                <w:lang w:val="en-US" w:eastAsia="zh-CN"/>
              </w:rPr>
              <w:t>门业及智能家居产业园：禁止引入溶剂型涂料涂装的木质家具（高流量低压[HVLP]喷漆工艺除外）</w:t>
            </w:r>
          </w:p>
          <w:p>
            <w:pPr>
              <w:widowControl/>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r>
              <w:rPr>
                <w:rFonts w:hint="eastAsia" w:ascii="Times New Roman" w:hAnsi="Times New Roman" w:eastAsia="宋体" w:cs="Times New Roman"/>
                <w:b w:val="0"/>
                <w:bCs w:val="0"/>
                <w:color w:val="auto"/>
                <w:kern w:val="0"/>
                <w:sz w:val="24"/>
                <w:highlight w:val="none"/>
                <w:lang w:val="en-US" w:eastAsia="zh-CN"/>
              </w:rPr>
              <w:t xml:space="preserve">线缆线束产业园：禁止引入6千伏及以上（陆上用）干法交联电力电缆项目。 </w:t>
            </w:r>
          </w:p>
          <w:p>
            <w:pPr>
              <w:widowControl/>
              <w:spacing w:line="360" w:lineRule="auto"/>
              <w:ind w:firstLine="480" w:firstLineChars="200"/>
              <w:rPr>
                <w:rFonts w:hint="eastAsia"/>
                <w:b w:val="0"/>
                <w:bCs w:val="0"/>
                <w:color w:val="auto"/>
                <w:kern w:val="0"/>
                <w:sz w:val="24"/>
                <w:highlight w:val="none"/>
                <w:lang w:eastAsia="zh-CN"/>
              </w:rPr>
            </w:pPr>
            <w:r>
              <w:rPr>
                <w:rFonts w:hint="eastAsia"/>
                <w:b w:val="0"/>
                <w:bCs w:val="0"/>
                <w:color w:val="auto"/>
                <w:kern w:val="0"/>
                <w:sz w:val="24"/>
                <w:highlight w:val="none"/>
                <w:lang w:val="en-US" w:eastAsia="zh-CN"/>
              </w:rPr>
              <w:t xml:space="preserve">禁止引入不符合法律法规、产业政策及相关环境管理要求的项目； </w:t>
            </w:r>
          </w:p>
          <w:p>
            <w:pPr>
              <w:widowControl/>
              <w:spacing w:line="360" w:lineRule="auto"/>
              <w:ind w:firstLine="480" w:firstLineChars="200"/>
              <w:rPr>
                <w:rFonts w:hint="eastAsia"/>
                <w:b w:val="0"/>
                <w:bCs w:val="0"/>
                <w:color w:val="auto"/>
                <w:kern w:val="0"/>
                <w:sz w:val="24"/>
                <w:highlight w:val="none"/>
                <w:lang w:eastAsia="zh-CN"/>
              </w:rPr>
            </w:pPr>
            <w:r>
              <w:rPr>
                <w:rFonts w:hint="eastAsia"/>
                <w:b w:val="0"/>
                <w:bCs w:val="0"/>
                <w:color w:val="auto"/>
                <w:kern w:val="0"/>
                <w:sz w:val="24"/>
                <w:highlight w:val="none"/>
                <w:lang w:val="en-US" w:eastAsia="zh-CN"/>
              </w:rPr>
              <w:t xml:space="preserve">禁止引入《环境保护综合名录》中涉及的“高污染、高环境风险”项目。 </w:t>
            </w:r>
          </w:p>
          <w:p>
            <w:pPr>
              <w:widowControl/>
              <w:spacing w:line="360" w:lineRule="auto"/>
              <w:ind w:firstLine="480" w:firstLineChars="200"/>
              <w:rPr>
                <w:rFonts w:hint="eastAsia"/>
                <w:b w:val="0"/>
                <w:bCs w:val="0"/>
                <w:color w:val="auto"/>
                <w:kern w:val="0"/>
                <w:sz w:val="24"/>
                <w:highlight w:val="none"/>
                <w:lang w:eastAsia="zh-CN"/>
              </w:rPr>
            </w:pPr>
            <w:r>
              <w:rPr>
                <w:rFonts w:hint="eastAsia"/>
                <w:b w:val="0"/>
                <w:bCs w:val="0"/>
                <w:color w:val="auto"/>
                <w:kern w:val="0"/>
                <w:sz w:val="24"/>
                <w:highlight w:val="none"/>
                <w:lang w:val="en-US" w:eastAsia="zh-CN"/>
              </w:rPr>
              <w:t xml:space="preserve">禁止引入清洁生产水平不能达二级或国内先进水平的项目。 </w:t>
            </w:r>
          </w:p>
          <w:p>
            <w:pPr>
              <w:widowControl/>
              <w:spacing w:line="360" w:lineRule="auto"/>
              <w:ind w:firstLine="480" w:firstLineChars="200"/>
              <w:rPr>
                <w:rFonts w:hint="eastAsia"/>
                <w:b w:val="0"/>
                <w:bCs w:val="0"/>
                <w:color w:val="auto"/>
                <w:kern w:val="0"/>
                <w:sz w:val="24"/>
                <w:highlight w:val="none"/>
                <w:lang w:eastAsia="zh-CN"/>
              </w:rPr>
            </w:pPr>
            <w:r>
              <w:rPr>
                <w:rFonts w:hint="eastAsia"/>
                <w:b w:val="0"/>
                <w:bCs w:val="0"/>
                <w:color w:val="auto"/>
                <w:kern w:val="0"/>
                <w:sz w:val="24"/>
                <w:highlight w:val="none"/>
                <w:lang w:val="en-US" w:eastAsia="zh-CN"/>
              </w:rPr>
              <w:t xml:space="preserve">禁止新建医药、农药、制浆（含废纸制浆）、造纸、印染染整、制革、水泥、专业电镀、制革、洗选、含前工序的集成电路、平板玻璃、印制电路板、石墨及炭素制品、有色金属冶炼（钒、钛除外）等与主导产业环境不相容或不属于主导产业的高污染行业。 </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bCs/>
                <w:color w:val="auto"/>
                <w:kern w:val="0"/>
                <w:sz w:val="24"/>
                <w:highlight w:val="none"/>
                <w:lang w:val="en-US" w:eastAsia="zh-CN"/>
              </w:rPr>
            </w:pPr>
            <w:r>
              <w:rPr>
                <w:rFonts w:hint="eastAsia"/>
                <w:b w:val="0"/>
                <w:bCs w:val="0"/>
                <w:color w:val="auto"/>
                <w:kern w:val="0"/>
                <w:sz w:val="24"/>
                <w:highlight w:val="none"/>
                <w:lang w:val="en-US" w:eastAsia="zh-CN"/>
              </w:rPr>
              <w:t>禁止引入酒精饮料及酒类制造、屠宰、粮食及饲料加工、农产品加工等废水排放大的行业。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b/>
                <w:bCs/>
                <w:color w:val="auto"/>
                <w:kern w:val="0"/>
                <w:sz w:val="24"/>
                <w:highlight w:val="none"/>
                <w:lang w:val="en-US" w:eastAsia="zh-CN"/>
              </w:rPr>
            </w:pPr>
            <w:r>
              <w:rPr>
                <w:rFonts w:hint="eastAsia"/>
                <w:b/>
                <w:bCs/>
                <w:color w:val="auto"/>
                <w:kern w:val="0"/>
                <w:sz w:val="24"/>
                <w:highlight w:val="none"/>
              </w:rPr>
              <w:t>本项目</w:t>
            </w:r>
            <w:r>
              <w:rPr>
                <w:rFonts w:hint="eastAsia"/>
                <w:b/>
                <w:bCs/>
                <w:color w:val="auto"/>
                <w:kern w:val="0"/>
                <w:sz w:val="24"/>
                <w:highlight w:val="none"/>
                <w:lang w:val="en-US" w:eastAsia="zh-CN"/>
              </w:rPr>
              <w:t>为高频变压器生产项目，</w:t>
            </w:r>
            <w:r>
              <w:rPr>
                <w:rFonts w:hint="eastAsia" w:ascii="Times New Roman" w:hAnsi="Times New Roman" w:eastAsia="宋体" w:cs="Times New Roman"/>
                <w:b/>
                <w:bCs/>
                <w:color w:val="auto"/>
                <w:kern w:val="0"/>
                <w:sz w:val="24"/>
                <w:highlight w:val="none"/>
                <w:lang w:eastAsia="zh-CN"/>
              </w:rPr>
              <w:t>属于国民经济分类中的C3981电阻电容电感元件制造</w:t>
            </w:r>
            <w:r>
              <w:rPr>
                <w:rFonts w:hint="eastAsia" w:ascii="Times New Roman" w:hAnsi="Times New Roman" w:eastAsia="宋体" w:cs="Times New Roman"/>
                <w:b/>
                <w:bCs/>
                <w:color w:val="auto"/>
                <w:kern w:val="0"/>
                <w:sz w:val="24"/>
                <w:highlight w:val="none"/>
              </w:rPr>
              <w:t>，</w:t>
            </w:r>
            <w:r>
              <w:rPr>
                <w:rFonts w:hint="eastAsia" w:ascii="Times New Roman" w:hAnsi="Times New Roman" w:eastAsia="宋体" w:cs="Times New Roman"/>
                <w:b/>
                <w:bCs/>
                <w:color w:val="auto"/>
                <w:kern w:val="0"/>
                <w:sz w:val="24"/>
                <w:highlight w:val="none"/>
                <w:lang w:val="en-US" w:eastAsia="zh-CN"/>
              </w:rPr>
              <w:t>不属于园区鼓励类和禁止类项目</w:t>
            </w:r>
            <w:r>
              <w:rPr>
                <w:rFonts w:hint="eastAsia" w:cs="Times New Roman"/>
                <w:b/>
                <w:bCs/>
                <w:color w:val="auto"/>
                <w:kern w:val="0"/>
                <w:sz w:val="24"/>
                <w:highlight w:val="none"/>
                <w:lang w:val="en-US" w:eastAsia="zh-CN"/>
              </w:rPr>
              <w:t>，属于</w:t>
            </w:r>
            <w:r>
              <w:rPr>
                <w:rFonts w:hint="eastAsia"/>
                <w:b/>
                <w:bCs/>
                <w:color w:val="auto"/>
                <w:kern w:val="0"/>
                <w:sz w:val="24"/>
                <w:highlight w:val="none"/>
              </w:rPr>
              <w:t>园区的</w:t>
            </w:r>
            <w:r>
              <w:rPr>
                <w:rFonts w:hint="eastAsia"/>
                <w:b/>
                <w:bCs/>
                <w:color w:val="auto"/>
                <w:kern w:val="0"/>
                <w:sz w:val="24"/>
                <w:highlight w:val="none"/>
                <w:lang w:val="en-US" w:eastAsia="zh-CN"/>
              </w:rPr>
              <w:t>允许类</w:t>
            </w:r>
            <w:r>
              <w:rPr>
                <w:rFonts w:hint="eastAsia"/>
                <w:b/>
                <w:bCs/>
                <w:color w:val="auto"/>
                <w:kern w:val="0"/>
                <w:sz w:val="24"/>
                <w:highlight w:val="none"/>
              </w:rPr>
              <w:t>产业，</w:t>
            </w:r>
            <w:r>
              <w:rPr>
                <w:rFonts w:hint="eastAsia"/>
                <w:b/>
                <w:bCs/>
                <w:color w:val="auto"/>
                <w:kern w:val="0"/>
                <w:sz w:val="24"/>
                <w:highlight w:val="none"/>
                <w:lang w:eastAsia="zh-CN"/>
              </w:rPr>
              <w:t>因此</w:t>
            </w:r>
            <w:r>
              <w:rPr>
                <w:rFonts w:hint="eastAsia"/>
                <w:b/>
                <w:bCs/>
                <w:color w:val="auto"/>
                <w:kern w:val="0"/>
                <w:sz w:val="24"/>
                <w:highlight w:val="none"/>
              </w:rPr>
              <w:t>符合园区</w:t>
            </w:r>
            <w:r>
              <w:rPr>
                <w:rFonts w:hint="eastAsia"/>
                <w:b/>
                <w:bCs/>
                <w:color w:val="auto"/>
                <w:kern w:val="0"/>
                <w:sz w:val="24"/>
                <w:highlight w:val="none"/>
                <w:lang w:eastAsia="zh-CN"/>
              </w:rPr>
              <w:t>产业</w:t>
            </w:r>
            <w:r>
              <w:rPr>
                <w:rFonts w:hint="eastAsia"/>
                <w:b/>
                <w:bCs/>
                <w:color w:val="auto"/>
                <w:kern w:val="0"/>
                <w:sz w:val="24"/>
                <w:highlight w:val="none"/>
              </w:rPr>
              <w:t>规划。</w:t>
            </w:r>
          </w:p>
          <w:p>
            <w:pPr>
              <w:numPr>
                <w:ilvl w:val="0"/>
                <w:numId w:val="0"/>
              </w:numPr>
              <w:autoSpaceDE w:val="0"/>
              <w:autoSpaceDN w:val="0"/>
              <w:adjustRightInd w:val="0"/>
              <w:snapToGrid w:val="0"/>
              <w:spacing w:line="360" w:lineRule="auto"/>
              <w:ind w:leftChars="200"/>
              <w:jc w:val="left"/>
              <w:rPr>
                <w:rFonts w:hint="eastAsia"/>
                <w:b/>
                <w:bCs/>
                <w:color w:val="auto"/>
                <w:kern w:val="0"/>
                <w:sz w:val="24"/>
                <w:highlight w:val="none"/>
                <w:lang w:eastAsia="zh-CN"/>
              </w:rPr>
            </w:pPr>
            <w:r>
              <w:rPr>
                <w:rFonts w:hint="eastAsia"/>
                <w:b/>
                <w:bCs/>
                <w:color w:val="auto"/>
                <w:kern w:val="0"/>
                <w:sz w:val="24"/>
                <w:highlight w:val="none"/>
                <w:lang w:val="en-US" w:eastAsia="zh-CN"/>
              </w:rPr>
              <w:t>3、</w:t>
            </w:r>
            <w:r>
              <w:rPr>
                <w:rFonts w:hint="eastAsia"/>
                <w:b/>
                <w:bCs/>
                <w:color w:val="auto"/>
                <w:kern w:val="0"/>
                <w:sz w:val="24"/>
                <w:highlight w:val="none"/>
                <w:lang w:eastAsia="zh-CN"/>
              </w:rPr>
              <w:t>园区关于大气污染防治措施的要求</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auto"/>
                <w:highlight w:val="none"/>
                <w:lang w:eastAsia="zh-CN"/>
              </w:rPr>
            </w:pPr>
            <w:r>
              <w:rPr>
                <w:rFonts w:hint="eastAsia" w:ascii="Times New Roman" w:hAnsi="Times New Roman" w:eastAsia="宋体" w:cs="Times New Roman"/>
                <w:color w:val="auto"/>
                <w:highlight w:val="none"/>
                <w:lang w:eastAsia="zh-CN"/>
              </w:rPr>
              <w:t>四川蓬溪经济开发区（上游片区） （暨蓬溪县上游工业园产业聚集区）规划修编中提出</w:t>
            </w:r>
            <w:r>
              <w:rPr>
                <w:rFonts w:hint="eastAsia" w:ascii="Times New Roman" w:hAnsi="Times New Roman" w:cs="Times New Roman"/>
                <w:color w:val="auto"/>
                <w:highlight w:val="none"/>
                <w:lang w:eastAsia="zh-CN"/>
              </w:rPr>
              <w:t>：</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园区主要采用天然气及电作为能源，禁止使用燃煤。</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提高入园企业大气污染物排放的清洁生产水平，引进企业必须采取先进、可靠的废气治理措施，确保废气排放满足《大气污染物综合排放标准》（GB 16297-1996）二级标准或相应行业标准要求。</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严格按照《国家大气污染防治行动计划》、《四川省大气污染防治行动计划实施细则》、《四川省打赢蓝天保卫战实施方案》的相关要求，加强园区内所涉及的生产、输送和存储过程挥发性有机污染物排放控制；推进规划区内有机废气污染治理，加强有机废气回收利用；新、改、扩建项目若涉及排放挥发性有机物的车间，应安装废气回收/净化装置，确保有机污染物达标排放。</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为防止规划区无组织排放废气扰民或物料泄漏导致大气污染扰民，除在下一步建设项目环评中落实卫生防护距离外，园区应留有足够距离的隔离带。提高入园门槛，园区新引入项目应与邻近场镇和邻近规划集中居住区之间的距离应符合产业准入、卫生防护距离、环境风险防护要求。</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本项目位于园区内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本项目主要能源为电，不涉及燃烧装置和</w:t>
            </w:r>
            <w:r>
              <w:rPr>
                <w:rFonts w:hint="default" w:ascii="Times New Roman" w:hAnsi="Times New Roman" w:cs="Times New Roman"/>
                <w:color w:val="auto"/>
                <w:highlight w:val="none"/>
                <w:lang w:eastAsia="zh-CN"/>
              </w:rPr>
              <w:t>燃料</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lang w:eastAsia="zh-CN"/>
              </w:rPr>
              <w:t>使用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项目生产过程中涉及到的</w:t>
            </w:r>
            <w:r>
              <w:rPr>
                <w:rFonts w:hint="eastAsia" w:ascii="Times New Roman" w:hAnsi="Times New Roman" w:eastAsia="宋体" w:cs="Times New Roman"/>
                <w:bCs/>
                <w:color w:val="auto"/>
                <w:kern w:val="0"/>
                <w:szCs w:val="21"/>
                <w:highlight w:val="none"/>
                <w:lang w:val="zh-CN"/>
              </w:rPr>
              <w:t>VOCs物料，</w:t>
            </w:r>
            <w:r>
              <w:rPr>
                <w:rFonts w:hint="eastAsia" w:ascii="Times New Roman" w:hAnsi="Times New Roman" w:cs="Times New Roman"/>
                <w:color w:val="auto"/>
                <w:highlight w:val="none"/>
                <w:lang w:val="en-US" w:eastAsia="zh-CN"/>
              </w:rPr>
              <w:t>助焊剂、稀释剂、绝缘漆均</w:t>
            </w:r>
            <w:r>
              <w:rPr>
                <w:rFonts w:hint="eastAsia" w:ascii="Times New Roman" w:hAnsi="Times New Roman" w:eastAsia="宋体" w:cs="Times New Roman"/>
                <w:bCs/>
                <w:color w:val="auto"/>
                <w:kern w:val="0"/>
                <w:szCs w:val="21"/>
                <w:highlight w:val="none"/>
              </w:rPr>
              <w:t>储存于</w:t>
            </w:r>
            <w:r>
              <w:rPr>
                <w:rFonts w:hint="eastAsia" w:ascii="Times New Roman" w:hAnsi="Times New Roman" w:eastAsia="宋体" w:cs="Times New Roman"/>
                <w:bCs/>
                <w:color w:val="auto"/>
                <w:kern w:val="0"/>
                <w:szCs w:val="21"/>
                <w:highlight w:val="none"/>
                <w:lang w:val="zh-CN"/>
              </w:rPr>
              <w:t>密闭</w:t>
            </w:r>
            <w:r>
              <w:rPr>
                <w:rFonts w:hint="eastAsia" w:ascii="Times New Roman" w:hAnsi="Times New Roman" w:eastAsia="宋体" w:cs="Times New Roman"/>
                <w:bCs/>
                <w:color w:val="auto"/>
                <w:kern w:val="0"/>
                <w:szCs w:val="21"/>
                <w:highlight w:val="none"/>
              </w:rPr>
              <w:t>桶内，转移时直接转移</w:t>
            </w:r>
            <w:r>
              <w:rPr>
                <w:rFonts w:hint="eastAsia" w:ascii="Times New Roman" w:hAnsi="Times New Roman" w:eastAsia="宋体" w:cs="Times New Roman"/>
                <w:bCs/>
                <w:color w:val="auto"/>
                <w:kern w:val="0"/>
                <w:szCs w:val="21"/>
                <w:highlight w:val="none"/>
                <w:lang w:val="zh-CN"/>
              </w:rPr>
              <w:t>密闭</w:t>
            </w:r>
            <w:r>
              <w:rPr>
                <w:rFonts w:hint="eastAsia" w:ascii="Times New Roman" w:hAnsi="Times New Roman" w:eastAsia="宋体" w:cs="Times New Roman"/>
                <w:bCs/>
                <w:color w:val="auto"/>
                <w:kern w:val="0"/>
                <w:szCs w:val="21"/>
                <w:highlight w:val="none"/>
              </w:rPr>
              <w:t>桶</w:t>
            </w:r>
            <w:r>
              <w:rPr>
                <w:rFonts w:hint="eastAsia" w:ascii="Times New Roman" w:hAnsi="Times New Roman" w:eastAsia="宋体" w:cs="Times New Roman"/>
                <w:bCs/>
                <w:color w:val="auto"/>
                <w:kern w:val="0"/>
                <w:szCs w:val="21"/>
                <w:highlight w:val="none"/>
                <w:lang w:eastAsia="zh-CN"/>
              </w:rPr>
              <w:t>；</w:t>
            </w:r>
            <w:r>
              <w:rPr>
                <w:rFonts w:hint="eastAsia" w:ascii="Times New Roman" w:hAnsi="Times New Roman" w:eastAsia="宋体" w:cs="Times New Roman"/>
                <w:bCs/>
                <w:color w:val="auto"/>
                <w:kern w:val="0"/>
                <w:szCs w:val="21"/>
                <w:highlight w:val="none"/>
                <w:lang w:val="en-US" w:eastAsia="zh-CN"/>
              </w:rPr>
              <w:t>项目产生的激光脱皮废气、焊锡废气</w:t>
            </w:r>
            <w:r>
              <w:rPr>
                <w:rFonts w:hint="eastAsia" w:ascii="Times New Roman" w:hAnsi="Times New Roman" w:cs="Times New Roman"/>
                <w:bCs/>
                <w:color w:val="auto"/>
                <w:kern w:val="0"/>
                <w:szCs w:val="21"/>
                <w:highlight w:val="none"/>
                <w:lang w:val="en-US" w:eastAsia="zh-CN"/>
              </w:rPr>
              <w:t>经</w:t>
            </w:r>
            <w:r>
              <w:rPr>
                <w:rFonts w:hint="eastAsia" w:ascii="Times New Roman" w:hAnsi="Times New Roman" w:cs="Times New Roman"/>
                <w:color w:val="auto"/>
                <w:highlight w:val="none"/>
                <w:lang w:val="en-US" w:eastAsia="zh-CN"/>
              </w:rPr>
              <w:t>集气罩</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过滤棉+二级活性炭吸附装置</w:t>
            </w:r>
            <w:r>
              <w:rPr>
                <w:rFonts w:hint="default" w:ascii="Times New Roman" w:hAnsi="Times New Roman" w:cs="Times New Roman"/>
                <w:color w:val="auto"/>
                <w:highlight w:val="none"/>
                <w:lang w:eastAsia="zh-CN"/>
              </w:rPr>
              <w:t>”处理后经</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5m排气筒（DA00</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达标</w:t>
            </w:r>
            <w:r>
              <w:rPr>
                <w:rFonts w:hint="default" w:ascii="Times New Roman" w:hAnsi="Times New Roman" w:cs="Times New Roman"/>
                <w:color w:val="auto"/>
                <w:highlight w:val="none"/>
                <w:lang w:eastAsia="zh-CN"/>
              </w:rPr>
              <w:t>排放</w:t>
            </w:r>
            <w:r>
              <w:rPr>
                <w:rFonts w:hint="eastAsia" w:ascii="Times New Roman" w:hAnsi="Times New Roman" w:eastAsia="宋体" w:cs="Times New Roman"/>
                <w:bCs/>
                <w:color w:val="auto"/>
                <w:kern w:val="0"/>
                <w:szCs w:val="21"/>
                <w:highlight w:val="none"/>
                <w:lang w:val="en-US" w:eastAsia="zh-CN"/>
              </w:rPr>
              <w:t>、浸漆和</w:t>
            </w:r>
            <w:r>
              <w:rPr>
                <w:rFonts w:hint="default" w:ascii="Times New Roman" w:hAnsi="Times New Roman" w:cs="Times New Roman"/>
                <w:color w:val="auto"/>
                <w:highlight w:val="none"/>
                <w:lang w:eastAsia="zh-CN"/>
              </w:rPr>
              <w:t>烘干废气经“</w:t>
            </w:r>
            <w:r>
              <w:rPr>
                <w:rFonts w:hint="eastAsia" w:ascii="Times New Roman" w:hAnsi="Times New Roman" w:cs="Times New Roman"/>
                <w:bCs/>
                <w:color w:val="auto"/>
                <w:kern w:val="0"/>
                <w:szCs w:val="21"/>
                <w:highlight w:val="none"/>
                <w:lang w:val="en-US" w:eastAsia="zh-CN"/>
              </w:rPr>
              <w:t>封闭设备集气管收集</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过滤棉+二级活性炭吸附装置</w:t>
            </w:r>
            <w:r>
              <w:rPr>
                <w:rFonts w:hint="default" w:ascii="Times New Roman" w:hAnsi="Times New Roman" w:cs="Times New Roman"/>
                <w:color w:val="auto"/>
                <w:highlight w:val="none"/>
                <w:lang w:eastAsia="zh-CN"/>
              </w:rPr>
              <w:t>”处理后经</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5m排气筒（DA00</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达标</w:t>
            </w:r>
            <w:r>
              <w:rPr>
                <w:rFonts w:hint="default" w:ascii="Times New Roman" w:hAnsi="Times New Roman" w:cs="Times New Roman"/>
                <w:color w:val="auto"/>
                <w:highlight w:val="none"/>
                <w:lang w:eastAsia="zh-CN"/>
              </w:rPr>
              <w:t>排放</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spacing w:val="-1"/>
                <w:sz w:val="24"/>
                <w:szCs w:val="32"/>
                <w:highlight w:val="none"/>
                <w:lang w:bidi="ar"/>
              </w:rPr>
              <w:t>对项目周边居民产生的不良影响</w:t>
            </w:r>
            <w:r>
              <w:rPr>
                <w:rFonts w:hint="eastAsia" w:cs="Times New Roman"/>
                <w:color w:val="auto"/>
                <w:spacing w:val="-1"/>
                <w:sz w:val="24"/>
                <w:szCs w:val="32"/>
                <w:highlight w:val="none"/>
                <w:lang w:val="en-US" w:eastAsia="zh-CN" w:bidi="ar"/>
              </w:rPr>
              <w:t>较小</w:t>
            </w:r>
            <w:r>
              <w:rPr>
                <w:rFonts w:hint="default" w:ascii="Times New Roman" w:hAnsi="Times New Roman" w:cs="Times New Roman"/>
                <w:color w:val="auto"/>
                <w:highlight w:val="none"/>
                <w:lang w:eastAsia="zh-CN"/>
              </w:rPr>
              <w:t>。</w:t>
            </w:r>
          </w:p>
          <w:p>
            <w:pPr>
              <w:pStyle w:val="37"/>
              <w:ind w:left="0" w:right="0"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根据生态环境部环境工程评估中心关于《建设项目环境影响报告表》内容、格式及编制技术指南常见问题解答“《建设项目环境影响评价技术导则 总纲》（HJ2.1-2016）未对卫生防护距离提出评价要求，建设项目环境影响报告表编制技术指南不做要求”。因此，本项目无需划定卫生防护距离。</w:t>
            </w:r>
          </w:p>
          <w:p>
            <w:pPr>
              <w:pStyle w:val="37"/>
              <w:ind w:left="0" w:right="0" w:firstLine="48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综上，本项目拟采取的大气污染防治措施符合园区规划环评中提出的要求。</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3" w:hRule="atLeast"/>
          <w:jc w:val="center"/>
        </w:trPr>
        <w:tc>
          <w:tcPr>
            <w:tcW w:w="115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其他符合性分析</w:t>
            </w:r>
          </w:p>
        </w:tc>
        <w:tc>
          <w:tcPr>
            <w:tcW w:w="8031" w:type="dxa"/>
            <w:gridSpan w:val="3"/>
            <w:noWrap w:val="0"/>
            <w:vAlign w:val="center"/>
          </w:tcPr>
          <w:p>
            <w:pPr>
              <w:autoSpaceDE w:val="0"/>
              <w:autoSpaceDN w:val="0"/>
              <w:adjustRightInd w:val="0"/>
              <w:snapToGrid w:val="0"/>
              <w:spacing w:line="360" w:lineRule="auto"/>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（1）本项目为</w:t>
            </w:r>
            <w:r>
              <w:rPr>
                <w:rFonts w:hint="eastAsia" w:ascii="Times New Roman" w:hAnsi="Times New Roman" w:cs="Times New Roman"/>
                <w:color w:val="auto"/>
                <w:kern w:val="0"/>
                <w:sz w:val="24"/>
                <w:highlight w:val="none"/>
                <w:lang w:eastAsia="zh-CN"/>
              </w:rPr>
              <w:t>高频变压器生产</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根据《国民</w:t>
            </w:r>
            <w:r>
              <w:rPr>
                <w:rFonts w:hint="default" w:ascii="Times New Roman" w:hAnsi="Times New Roman" w:cs="Times New Roman"/>
                <w:color w:val="auto"/>
                <w:kern w:val="0"/>
                <w:sz w:val="24"/>
                <w:highlight w:val="none"/>
              </w:rPr>
              <w:t>经济行业分类与代码》（GB/T4754-2017），项目属于“</w:t>
            </w:r>
            <w:r>
              <w:rPr>
                <w:rFonts w:hint="default" w:ascii="Times New Roman" w:hAnsi="Times New Roman" w:eastAsia="宋体" w:cs="Times New Roman"/>
                <w:color w:val="auto"/>
                <w:sz w:val="24"/>
                <w:highlight w:val="none"/>
                <w:lang w:val="en-US" w:eastAsia="zh-CN"/>
              </w:rPr>
              <w:t>C3981 电阻电容电感元件制造</w:t>
            </w:r>
            <w:r>
              <w:rPr>
                <w:rFonts w:hint="default" w:ascii="Times New Roman" w:hAnsi="Times New Roman" w:cs="Times New Roman"/>
                <w:color w:val="auto"/>
                <w:kern w:val="0"/>
                <w:sz w:val="24"/>
                <w:highlight w:val="none"/>
              </w:rPr>
              <w:t>”，根据中华人民共和国国家发展和改革委员会《产业结构调整指导目录（20</w:t>
            </w:r>
            <w:r>
              <w:rPr>
                <w:rFonts w:hint="eastAsia" w:cs="Times New Roman"/>
                <w:color w:val="auto"/>
                <w:kern w:val="0"/>
                <w:sz w:val="24"/>
                <w:highlight w:val="none"/>
                <w:lang w:val="en-US" w:eastAsia="zh-CN"/>
              </w:rPr>
              <w:t>24</w:t>
            </w:r>
            <w:r>
              <w:rPr>
                <w:rFonts w:hint="default" w:ascii="Times New Roman" w:hAnsi="Times New Roman" w:cs="Times New Roman"/>
                <w:color w:val="auto"/>
                <w:kern w:val="0"/>
                <w:sz w:val="24"/>
                <w:highlight w:val="none"/>
              </w:rPr>
              <w:t>年本）》可知，本项目不属于鼓励类、限制类和淘汰类，允许类不列入《产业结构调整指导目录》，因此本项目属于“允许类”。</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本项目生产设备中不涉及《产业结构调整指导目录（20</w:t>
            </w:r>
            <w:r>
              <w:rPr>
                <w:rFonts w:hint="eastAsia" w:cs="Times New Roman"/>
                <w:color w:val="auto"/>
                <w:kern w:val="0"/>
                <w:sz w:val="24"/>
                <w:highlight w:val="none"/>
                <w:lang w:val="en-US" w:eastAsia="zh-CN"/>
              </w:rPr>
              <w:t>24</w:t>
            </w:r>
            <w:r>
              <w:rPr>
                <w:rFonts w:hint="default" w:ascii="Times New Roman" w:hAnsi="Times New Roman" w:cs="Times New Roman"/>
                <w:color w:val="auto"/>
                <w:kern w:val="0"/>
                <w:sz w:val="24"/>
                <w:highlight w:val="none"/>
              </w:rPr>
              <w:t xml:space="preserve"> 年本）》中明令淘汰、限制的工艺装备</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不会</w:t>
            </w:r>
            <w:r>
              <w:rPr>
                <w:rFonts w:hint="default" w:ascii="Times New Roman" w:hAnsi="Times New Roman" w:cs="Times New Roman"/>
                <w:color w:val="auto"/>
                <w:kern w:val="0"/>
                <w:sz w:val="24"/>
                <w:highlight w:val="none"/>
              </w:rPr>
              <w:t>阻碍实现碳达峰碳中和目标。</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本项目</w:t>
            </w:r>
            <w:r>
              <w:rPr>
                <w:rFonts w:hint="eastAsia" w:ascii="Times New Roman" w:hAnsi="Times New Roman" w:eastAsia="宋体" w:cs="Times New Roman"/>
                <w:color w:val="auto"/>
                <w:kern w:val="0"/>
                <w:sz w:val="24"/>
                <w:highlight w:val="none"/>
                <w:lang w:val="en-US" w:eastAsia="zh-CN"/>
              </w:rPr>
              <w:t>202</w:t>
            </w: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年</w:t>
            </w:r>
            <w:r>
              <w:rPr>
                <w:rFonts w:hint="eastAsia" w:ascii="Times New Roman" w:hAnsi="Times New Roman" w:eastAsia="宋体" w:cs="Times New Roman"/>
                <w:color w:val="auto"/>
                <w:kern w:val="0"/>
                <w:sz w:val="24"/>
                <w:highlight w:val="none"/>
                <w:lang w:val="en-US" w:eastAsia="zh-CN"/>
              </w:rPr>
              <w:t>1</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rPr>
              <w:t>月</w:t>
            </w:r>
            <w:r>
              <w:rPr>
                <w:rFonts w:hint="eastAsia" w:cs="Times New Roman"/>
                <w:color w:val="auto"/>
                <w:kern w:val="0"/>
                <w:sz w:val="24"/>
                <w:highlight w:val="none"/>
                <w:lang w:val="en-US" w:eastAsia="zh-CN"/>
              </w:rPr>
              <w:t>19</w:t>
            </w:r>
            <w:r>
              <w:rPr>
                <w:rFonts w:hint="default" w:ascii="Times New Roman" w:hAnsi="Times New Roman" w:eastAsia="宋体" w:cs="Times New Roman"/>
                <w:color w:val="auto"/>
                <w:kern w:val="0"/>
                <w:sz w:val="24"/>
                <w:highlight w:val="none"/>
              </w:rPr>
              <w:t>日经蓬溪县行政审批局备案，备案号为：</w:t>
            </w:r>
            <w:r>
              <w:rPr>
                <w:rFonts w:hint="default" w:ascii="Times New Roman" w:hAnsi="Times New Roman" w:eastAsia="宋体" w:cs="Times New Roman"/>
                <w:color w:val="auto"/>
                <w:kern w:val="0"/>
                <w:sz w:val="24"/>
                <w:highlight w:val="none"/>
                <w:lang w:val="en-US" w:eastAsia="zh-CN"/>
              </w:rPr>
              <w:t>川投资备【2312-510921-99-01-560596】FGQB-0325 号</w:t>
            </w:r>
          </w:p>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根据以上分析，本项目属于允许发展的产业，同时本项目建设符合有关法律法规要求及当地环保部门的要求，故本项目的建设是符合国家和地方产业政策要求的。</w:t>
            </w:r>
          </w:p>
          <w:p>
            <w:pPr>
              <w:autoSpaceDE w:val="0"/>
              <w:autoSpaceDN w:val="0"/>
              <w:adjustRightInd w:val="0"/>
              <w:snapToGrid w:val="0"/>
              <w:spacing w:line="360" w:lineRule="auto"/>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 xml:space="preserve">二、与蓬溪县土地利用规划的符合性分析 </w:t>
            </w:r>
          </w:p>
          <w:p>
            <w:pPr>
              <w:widowControl/>
              <w:spacing w:line="360" w:lineRule="auto"/>
              <w:ind w:firstLine="480" w:firstLineChars="200"/>
              <w:rPr>
                <w:rFonts w:hint="default" w:ascii="Times New Roman" w:hAnsi="Times New Roman" w:eastAsia="宋体" w:cs="Times New Roman"/>
                <w:bCs/>
                <w:color w:val="auto"/>
                <w:kern w:val="0"/>
                <w:sz w:val="24"/>
                <w:highlight w:val="none"/>
                <w:lang w:val="en-US" w:eastAsia="zh-CN" w:bidi="ar"/>
              </w:rPr>
            </w:pPr>
            <w:r>
              <w:rPr>
                <w:rFonts w:hint="default" w:ascii="Times New Roman" w:hAnsi="Times New Roman" w:eastAsia="宋体" w:cs="Times New Roman"/>
                <w:bCs/>
                <w:color w:val="auto"/>
                <w:kern w:val="0"/>
                <w:sz w:val="24"/>
                <w:highlight w:val="none"/>
                <w:lang w:val="en-US" w:eastAsia="zh-CN" w:bidi="ar"/>
              </w:rPr>
              <w:t>本项目</w:t>
            </w:r>
            <w:r>
              <w:rPr>
                <w:rFonts w:hint="default" w:ascii="Times New Roman" w:hAnsi="Times New Roman" w:eastAsia="宋体" w:cs="Times New Roman"/>
                <w:bCs/>
                <w:color w:val="auto"/>
                <w:kern w:val="0"/>
                <w:sz w:val="24"/>
                <w:highlight w:val="none"/>
                <w:lang w:bidi="ar"/>
              </w:rPr>
              <w:t>位</w:t>
            </w:r>
            <w:r>
              <w:rPr>
                <w:rFonts w:hint="default" w:ascii="Times New Roman" w:hAnsi="Times New Roman" w:cs="Times New Roman"/>
                <w:bCs/>
                <w:color w:val="auto"/>
                <w:kern w:val="0"/>
                <w:sz w:val="24"/>
                <w:highlight w:val="none"/>
                <w:lang w:bidi="ar"/>
              </w:rPr>
              <w:t>于</w:t>
            </w:r>
            <w:r>
              <w:rPr>
                <w:rFonts w:hint="default" w:ascii="Times New Roman" w:hAnsi="Times New Roman" w:cs="Times New Roman"/>
                <w:bCs/>
                <w:color w:val="auto"/>
                <w:kern w:val="0"/>
                <w:sz w:val="24"/>
                <w:highlight w:val="none"/>
                <w:lang w:eastAsia="zh-CN" w:bidi="ar"/>
              </w:rPr>
              <w:t>遂宁市</w:t>
            </w:r>
            <w:r>
              <w:rPr>
                <w:rFonts w:hint="default" w:ascii="Times New Roman" w:hAnsi="Times New Roman" w:cs="Times New Roman"/>
                <w:bCs/>
                <w:color w:val="auto"/>
                <w:kern w:val="0"/>
                <w:sz w:val="24"/>
                <w:highlight w:val="none"/>
                <w:lang w:bidi="ar"/>
              </w:rPr>
              <w:t>蓬溪县上游工业园</w:t>
            </w:r>
            <w:r>
              <w:rPr>
                <w:rFonts w:hint="default" w:ascii="Times New Roman" w:hAnsi="Times New Roman" w:eastAsia="宋体" w:cs="Times New Roman"/>
                <w:bCs/>
                <w:color w:val="auto"/>
                <w:kern w:val="0"/>
                <w:sz w:val="24"/>
                <w:highlight w:val="none"/>
                <w:lang w:bidi="ar"/>
              </w:rPr>
              <w:t>，</w:t>
            </w:r>
            <w:r>
              <w:rPr>
                <w:rFonts w:hint="default" w:ascii="Times New Roman" w:hAnsi="Times New Roman" w:eastAsia="宋体" w:cs="Times New Roman"/>
                <w:bCs/>
                <w:color w:val="auto"/>
                <w:kern w:val="0"/>
                <w:sz w:val="24"/>
                <w:highlight w:val="none"/>
                <w:lang w:val="en-US" w:eastAsia="zh-CN" w:bidi="ar"/>
              </w:rPr>
              <w:t>租赁蓬溪县门拓建设有限责任公司厂房，</w:t>
            </w:r>
            <w:r>
              <w:rPr>
                <w:rFonts w:hint="eastAsia" w:ascii="Times New Roman" w:hAnsi="Times New Roman" w:eastAsia="宋体" w:cs="Times New Roman"/>
                <w:bCs/>
                <w:color w:val="auto"/>
                <w:kern w:val="0"/>
                <w:sz w:val="24"/>
                <w:highlight w:val="none"/>
                <w:lang w:val="en-US" w:eastAsia="zh-CN" w:bidi="ar"/>
              </w:rPr>
              <w:t>面积1146.46m</w:t>
            </w:r>
            <w:r>
              <w:rPr>
                <w:rFonts w:hint="eastAsia" w:ascii="Times New Roman" w:hAnsi="Times New Roman" w:eastAsia="宋体" w:cs="Times New Roman"/>
                <w:bCs/>
                <w:color w:val="auto"/>
                <w:kern w:val="0"/>
                <w:sz w:val="24"/>
                <w:highlight w:val="none"/>
                <w:vertAlign w:val="superscript"/>
                <w:lang w:val="en-US" w:eastAsia="zh-CN" w:bidi="ar"/>
              </w:rPr>
              <w:t>2</w:t>
            </w:r>
            <w:r>
              <w:rPr>
                <w:rFonts w:hint="eastAsia" w:ascii="Times New Roman" w:hAnsi="Times New Roman" w:eastAsia="宋体" w:cs="Times New Roman"/>
                <w:bCs/>
                <w:color w:val="auto"/>
                <w:kern w:val="0"/>
                <w:sz w:val="24"/>
                <w:highlight w:val="none"/>
                <w:lang w:val="en-US" w:eastAsia="zh-CN" w:bidi="ar"/>
              </w:rPr>
              <w:t>，</w:t>
            </w:r>
            <w:r>
              <w:rPr>
                <w:rFonts w:hint="default" w:ascii="Times New Roman" w:hAnsi="Times New Roman" w:eastAsia="宋体" w:cs="Times New Roman"/>
                <w:bCs/>
                <w:color w:val="auto"/>
                <w:kern w:val="0"/>
                <w:sz w:val="24"/>
                <w:highlight w:val="none"/>
                <w:lang w:val="en-US" w:eastAsia="zh-CN" w:bidi="ar"/>
              </w:rPr>
              <w:t>建设</w:t>
            </w:r>
            <w:r>
              <w:rPr>
                <w:rFonts w:hint="eastAsia" w:cs="Times New Roman"/>
                <w:bCs/>
                <w:color w:val="auto"/>
                <w:kern w:val="0"/>
                <w:sz w:val="24"/>
                <w:highlight w:val="none"/>
                <w:lang w:val="en-US" w:eastAsia="zh-CN" w:bidi="ar"/>
              </w:rPr>
              <w:t>“</w:t>
            </w:r>
            <w:r>
              <w:rPr>
                <w:rFonts w:hint="eastAsia" w:ascii="Times New Roman" w:hAnsi="Times New Roman" w:eastAsia="宋体" w:cs="Times New Roman"/>
                <w:bCs/>
                <w:color w:val="auto"/>
                <w:kern w:val="0"/>
                <w:sz w:val="24"/>
                <w:highlight w:val="none"/>
                <w:lang w:val="en-US" w:eastAsia="zh-CN" w:bidi="ar"/>
              </w:rPr>
              <w:t>年产</w:t>
            </w:r>
            <w:r>
              <w:rPr>
                <w:rFonts w:hint="eastAsia" w:cs="Times New Roman"/>
                <w:bCs/>
                <w:color w:val="auto"/>
                <w:kern w:val="0"/>
                <w:sz w:val="24"/>
                <w:highlight w:val="none"/>
                <w:lang w:val="en-US" w:eastAsia="zh-CN" w:bidi="ar"/>
              </w:rPr>
              <w:t>60</w:t>
            </w:r>
            <w:r>
              <w:rPr>
                <w:rFonts w:hint="eastAsia" w:ascii="Times New Roman" w:hAnsi="Times New Roman" w:eastAsia="宋体" w:cs="Times New Roman"/>
                <w:bCs/>
                <w:color w:val="auto"/>
                <w:kern w:val="0"/>
                <w:sz w:val="24"/>
                <w:highlight w:val="none"/>
                <w:lang w:val="en-US" w:eastAsia="zh-CN" w:bidi="ar"/>
              </w:rPr>
              <w:t>0万只高频</w:t>
            </w:r>
            <w:r>
              <w:rPr>
                <w:rFonts w:hint="default" w:ascii="Times New Roman" w:hAnsi="Times New Roman" w:eastAsia="宋体" w:cs="Times New Roman"/>
                <w:bCs/>
                <w:color w:val="auto"/>
                <w:kern w:val="0"/>
                <w:sz w:val="24"/>
                <w:highlight w:val="none"/>
                <w:lang w:val="en-US" w:eastAsia="zh-CN" w:bidi="ar"/>
              </w:rPr>
              <w:t>变压器生产项目</w:t>
            </w:r>
            <w:r>
              <w:rPr>
                <w:rFonts w:hint="eastAsia" w:cs="Times New Roman"/>
                <w:bCs/>
                <w:color w:val="auto"/>
                <w:kern w:val="0"/>
                <w:sz w:val="24"/>
                <w:highlight w:val="none"/>
                <w:lang w:val="en-US" w:eastAsia="zh-CN" w:bidi="ar"/>
              </w:rPr>
              <w:t>”</w:t>
            </w:r>
            <w:r>
              <w:rPr>
                <w:rFonts w:hint="default" w:ascii="Times New Roman" w:hAnsi="Times New Roman" w:eastAsia="宋体" w:cs="Times New Roman"/>
                <w:bCs/>
                <w:color w:val="auto"/>
                <w:kern w:val="0"/>
                <w:sz w:val="24"/>
                <w:highlight w:val="none"/>
                <w:lang w:val="en-US" w:eastAsia="zh-CN" w:bidi="ar"/>
              </w:rPr>
              <w:t>。根据蓬溪县门拓建设有限责任公司厂房</w:t>
            </w:r>
            <w:r>
              <w:rPr>
                <w:rFonts w:hint="eastAsia" w:cs="Times New Roman"/>
                <w:bCs/>
                <w:color w:val="auto"/>
                <w:kern w:val="0"/>
                <w:sz w:val="24"/>
                <w:highlight w:val="none"/>
                <w:lang w:val="en-US" w:eastAsia="zh-CN" w:bidi="ar"/>
              </w:rPr>
              <w:t>不动产权</w:t>
            </w:r>
            <w:r>
              <w:rPr>
                <w:rFonts w:hint="default" w:ascii="Times New Roman" w:hAnsi="Times New Roman" w:eastAsia="宋体" w:cs="Times New Roman"/>
                <w:bCs/>
                <w:color w:val="auto"/>
                <w:kern w:val="0"/>
                <w:sz w:val="24"/>
                <w:highlight w:val="none"/>
                <w:lang w:val="en-US" w:eastAsia="zh-CN" w:bidi="ar"/>
              </w:rPr>
              <w:t>证（（20</w:t>
            </w:r>
            <w:r>
              <w:rPr>
                <w:rFonts w:hint="eastAsia" w:cs="Times New Roman"/>
                <w:bCs/>
                <w:color w:val="auto"/>
                <w:kern w:val="0"/>
                <w:sz w:val="24"/>
                <w:highlight w:val="none"/>
                <w:lang w:val="en-US" w:eastAsia="zh-CN" w:bidi="ar"/>
              </w:rPr>
              <w:t>2</w:t>
            </w:r>
            <w:r>
              <w:rPr>
                <w:rFonts w:hint="default" w:ascii="Times New Roman" w:hAnsi="Times New Roman" w:eastAsia="宋体" w:cs="Times New Roman"/>
                <w:bCs/>
                <w:color w:val="auto"/>
                <w:kern w:val="0"/>
                <w:sz w:val="24"/>
                <w:highlight w:val="none"/>
                <w:lang w:val="en-US" w:eastAsia="zh-CN" w:bidi="ar"/>
              </w:rPr>
              <w:t>1）</w:t>
            </w:r>
            <w:r>
              <w:rPr>
                <w:rFonts w:hint="eastAsia" w:cs="Times New Roman"/>
                <w:bCs/>
                <w:color w:val="auto"/>
                <w:kern w:val="0"/>
                <w:sz w:val="24"/>
                <w:highlight w:val="none"/>
                <w:lang w:val="en-US" w:eastAsia="zh-CN" w:bidi="ar"/>
              </w:rPr>
              <w:t>蓬溪县不动产权</w:t>
            </w:r>
            <w:r>
              <w:rPr>
                <w:rFonts w:hint="default" w:ascii="Times New Roman" w:hAnsi="Times New Roman" w:eastAsia="宋体" w:cs="Times New Roman"/>
                <w:bCs/>
                <w:color w:val="auto"/>
                <w:kern w:val="0"/>
                <w:sz w:val="24"/>
                <w:highlight w:val="none"/>
                <w:lang w:val="en-US" w:eastAsia="zh-CN" w:bidi="ar"/>
              </w:rPr>
              <w:t>第</w:t>
            </w:r>
            <w:r>
              <w:rPr>
                <w:rFonts w:hint="eastAsia" w:cs="Times New Roman"/>
                <w:bCs/>
                <w:color w:val="auto"/>
                <w:kern w:val="0"/>
                <w:sz w:val="24"/>
                <w:highlight w:val="none"/>
                <w:lang w:val="en-US" w:eastAsia="zh-CN" w:bidi="ar"/>
              </w:rPr>
              <w:t>0015073</w:t>
            </w:r>
            <w:r>
              <w:rPr>
                <w:rFonts w:hint="default" w:ascii="Times New Roman" w:hAnsi="Times New Roman" w:eastAsia="宋体" w:cs="Times New Roman"/>
                <w:bCs/>
                <w:color w:val="auto"/>
                <w:kern w:val="0"/>
                <w:sz w:val="24"/>
                <w:highlight w:val="none"/>
                <w:lang w:val="en-US" w:eastAsia="zh-CN" w:bidi="ar"/>
              </w:rPr>
              <w:t>号），项目地块用地性质为工业用地。</w:t>
            </w:r>
          </w:p>
          <w:p>
            <w:pPr>
              <w:widowControl/>
              <w:spacing w:line="360" w:lineRule="auto"/>
              <w:ind w:firstLine="480" w:firstLineChars="200"/>
              <w:rPr>
                <w:rFonts w:hint="eastAsia"/>
                <w:color w:val="auto"/>
                <w:kern w:val="0"/>
                <w:sz w:val="24"/>
                <w:highlight w:val="none"/>
                <w:lang w:val="en-US" w:eastAsia="zh-CN"/>
              </w:rPr>
            </w:pPr>
            <w:r>
              <w:rPr>
                <w:color w:val="auto"/>
                <w:kern w:val="0"/>
                <w:sz w:val="24"/>
                <w:highlight w:val="none"/>
              </w:rPr>
              <w:t>根据蓬溪县上游工业园产业聚集区发展规划（2020-2035）土地利用规划图可知，项目用地为</w:t>
            </w:r>
            <w:r>
              <w:rPr>
                <w:rFonts w:hint="eastAsia"/>
                <w:color w:val="auto"/>
                <w:kern w:val="0"/>
                <w:sz w:val="24"/>
                <w:highlight w:val="none"/>
                <w:lang w:val="en-US" w:eastAsia="zh-CN"/>
              </w:rPr>
              <w:t>规划</w:t>
            </w:r>
            <w:r>
              <w:rPr>
                <w:color w:val="auto"/>
                <w:kern w:val="0"/>
                <w:sz w:val="24"/>
                <w:highlight w:val="none"/>
              </w:rPr>
              <w:t>工业用地。</w:t>
            </w:r>
          </w:p>
          <w:p>
            <w:pPr>
              <w:widowControl/>
              <w:spacing w:line="360" w:lineRule="auto"/>
              <w:ind w:firstLine="480" w:firstLineChars="200"/>
              <w:rPr>
                <w:rFonts w:hint="default" w:ascii="Times New Roman" w:hAnsi="Times New Roman" w:cs="Times New Roman"/>
                <w:bCs/>
                <w:color w:val="auto"/>
                <w:kern w:val="0"/>
                <w:sz w:val="24"/>
                <w:highlight w:val="none"/>
                <w:lang w:bidi="ar"/>
              </w:rPr>
            </w:pPr>
            <w:r>
              <w:rPr>
                <w:rFonts w:hint="eastAsia" w:cs="Times New Roman"/>
                <w:bCs/>
                <w:color w:val="auto"/>
                <w:kern w:val="0"/>
                <w:sz w:val="24"/>
                <w:highlight w:val="none"/>
                <w:lang w:val="en-US" w:eastAsia="zh-CN" w:bidi="ar"/>
              </w:rPr>
              <w:t>本项目于2024年1月2日取得了四川蓬溪经济开发区管理委员会出具的位于园区的情况说明（见附件），该项目位于园区内</w:t>
            </w:r>
            <w:r>
              <w:rPr>
                <w:rFonts w:hint="default" w:ascii="Times New Roman" w:hAnsi="Times New Roman" w:cs="Times New Roman"/>
                <w:bCs/>
                <w:color w:val="auto"/>
                <w:kern w:val="0"/>
                <w:sz w:val="24"/>
                <w:highlight w:val="none"/>
                <w:lang w:bidi="ar"/>
              </w:rPr>
              <w:t>。</w:t>
            </w:r>
            <w:r>
              <w:rPr>
                <w:rFonts w:hint="eastAsia" w:cs="Times New Roman"/>
                <w:bCs/>
                <w:color w:val="auto"/>
                <w:kern w:val="0"/>
                <w:sz w:val="24"/>
                <w:highlight w:val="none"/>
                <w:lang w:val="en-US" w:eastAsia="zh-CN" w:bidi="ar"/>
              </w:rPr>
              <w:t>本项目为高频变压器生产项目，</w:t>
            </w:r>
            <w:r>
              <w:rPr>
                <w:rFonts w:hint="default" w:ascii="Times New Roman" w:hAnsi="Times New Roman" w:cs="Times New Roman"/>
                <w:bCs/>
                <w:color w:val="auto"/>
                <w:kern w:val="0"/>
                <w:sz w:val="24"/>
                <w:highlight w:val="none"/>
                <w:lang w:bidi="ar"/>
              </w:rPr>
              <w:t>项目建设不属于国土资源部和国家发展和改革委员会“关于发布实施《限制用地项目目录（2012年本）》和《禁止用地项目目录（2012年本）》的通知（国土资发〔2012〕98号）”中规定的限制用地和禁止用地项目。</w:t>
            </w:r>
          </w:p>
          <w:p>
            <w:pPr>
              <w:keepNext w:val="0"/>
              <w:keepLines w:val="0"/>
              <w:pageBreakBefore w:val="0"/>
              <w:widowControl/>
              <w:kinsoku/>
              <w:overflowPunct/>
              <w:topLinePunct w:val="0"/>
              <w:bidi w:val="0"/>
              <w:spacing w:line="360" w:lineRule="auto"/>
              <w:ind w:firstLine="482" w:firstLineChars="200"/>
              <w:jc w:val="left"/>
              <w:textAlignment w:val="auto"/>
              <w:rPr>
                <w:rFonts w:hint="default" w:ascii="Times New Roman" w:hAnsi="Times New Roman" w:cs="Times New Roman"/>
                <w:bCs/>
                <w:color w:val="auto"/>
                <w:kern w:val="0"/>
                <w:sz w:val="24"/>
                <w:highlight w:val="none"/>
                <w:lang w:bidi="ar"/>
              </w:rPr>
            </w:pPr>
            <w:r>
              <w:rPr>
                <w:rFonts w:hint="default" w:ascii="Times New Roman" w:hAnsi="Times New Roman" w:cs="Times New Roman"/>
                <w:b/>
                <w:color w:val="auto"/>
                <w:kern w:val="0"/>
                <w:sz w:val="24"/>
                <w:highlight w:val="none"/>
                <w:lang w:bidi="ar"/>
              </w:rPr>
              <w:t>因此，本项目建设符合蓬溪县土地利用规划。</w:t>
            </w:r>
          </w:p>
          <w:p>
            <w:pPr>
              <w:keepNext w:val="0"/>
              <w:keepLines w:val="0"/>
              <w:pageBreakBefore w:val="0"/>
              <w:kinsoku/>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三、“三线一单”符合性分析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根据四川省生态环境厅办公室发布的《产业园区规划环评“三线一单”符合性分析技术要点(试行)》和《项目环评“三线一单”符合性分析技术要点(试行)》的通知(川环办函[2021]469 号)可知，若建设项目位于产业园区内，且产业园区规划环境影响评价中已经开展了园区与“三线一单”符合性分析，则项目环评只需分析与产业园区规划环评生态环境准入要求的符合性；</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kern w:val="0"/>
                <w:sz w:val="24"/>
                <w:szCs w:val="24"/>
                <w:highlight w:val="none"/>
                <w:lang w:eastAsia="zh-CN"/>
              </w:rPr>
            </w:pPr>
            <w:r>
              <w:rPr>
                <w:rFonts w:hint="eastAsia" w:ascii="Times New Roman" w:hAnsi="Times New Roman" w:eastAsia="宋体"/>
                <w:b w:val="0"/>
                <w:bCs w:val="0"/>
                <w:color w:val="auto"/>
                <w:sz w:val="24"/>
                <w:szCs w:val="24"/>
                <w:highlight w:val="none"/>
                <w:lang w:val="en-US" w:eastAsia="zh-CN"/>
              </w:rPr>
              <w:t>根据《遂宁市人民政府关于落实生态保护红线、环境质量底线、资源利用上线和生态环境准入清单实施生态环境分区管控的通知》（遂府函〔2021〕74号），在四川省政务服务网发布的四川省“三线一单”数据分析系统和“三线一单” 符合性分析系统，对本项目进行了查询，结果见下图。</w:t>
            </w:r>
          </w:p>
          <w:p>
            <w:pPr>
              <w:wordWrap w:val="0"/>
              <w:spacing w:line="500" w:lineRule="atLeast"/>
              <w:jc w:val="center"/>
              <w:rPr>
                <w:rFonts w:hint="eastAsia" w:ascii="Times New Roman" w:hAnsi="Times New Roman" w:eastAsia="宋体"/>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2576195</wp:posOffset>
                      </wp:positionH>
                      <wp:positionV relativeFrom="paragraph">
                        <wp:posOffset>2212975</wp:posOffset>
                      </wp:positionV>
                      <wp:extent cx="914400" cy="2590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a:noFill/>
                              </a:ln>
                              <a:effectLst/>
                            </wps:spPr>
                            <wps:txbx>
                              <w:txbxContent>
                                <w:p>
                                  <w:pPr>
                                    <w:rPr>
                                      <w:rFonts w:hint="eastAsia"/>
                                      <w:b/>
                                      <w:bCs/>
                                      <w:color w:val="FF0000"/>
                                      <w:sz w:val="15"/>
                                      <w:szCs w:val="15"/>
                                    </w:rPr>
                                  </w:pPr>
                                </w:p>
                              </w:txbxContent>
                            </wps:txbx>
                            <wps:bodyPr upright="1"/>
                          </wps:wsp>
                        </a:graphicData>
                      </a:graphic>
                    </wp:anchor>
                  </w:drawing>
                </mc:Choice>
                <mc:Fallback>
                  <w:pict>
                    <v:shape id="_x0000_s1026" o:spid="_x0000_s1026" o:spt="202" type="#_x0000_t202" style="position:absolute;left:0pt;margin-left:202.85pt;margin-top:174.25pt;height:20.4pt;width:72pt;z-index:251660288;mso-width-relative:page;mso-height-relative:page;" filled="f" stroked="f" coordsize="21600,21600" o:gfxdata="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oUrXDNgAAAALAQAADwAAAAAAAAABACAAAAA4AAAAZHJzL2Rv&#10;d25yZXYueG1sUEsBAhQAFAAAAAgAh07iQE/4VLuyAQAAXQMAAA4AAAAAAAAAAQAgAAAAPQEAAGRy&#10;cy9lMm9Eb2MueG1sUEsFBgAAAAAGAAYAWQEAAGEFAAAAAA==&#10;">
                      <v:fill on="f" focussize="0,0"/>
                      <v:stroke on="f"/>
                      <v:imagedata o:title=""/>
                      <o:lock v:ext="edit" aspectratio="f"/>
                      <v:textbox>
                        <w:txbxContent>
                          <w:p>
                            <w:pPr>
                              <w:rPr>
                                <w:rFonts w:hint="eastAsia"/>
                                <w:b/>
                                <w:bCs/>
                                <w:color w:val="FF0000"/>
                                <w:sz w:val="15"/>
                                <w:szCs w:val="15"/>
                              </w:rPr>
                            </w:pPr>
                          </w:p>
                        </w:txbxContent>
                      </v:textbox>
                    </v:shape>
                  </w:pict>
                </mc:Fallback>
              </mc:AlternateContent>
            </w:r>
            <w:r>
              <w:rPr>
                <w:color w:val="auto"/>
                <w:highlight w:val="none"/>
              </w:rPr>
              <w:drawing>
                <wp:inline distT="0" distB="0" distL="114300" distR="114300">
                  <wp:extent cx="4958080" cy="3617595"/>
                  <wp:effectExtent l="0" t="0" r="13970" b="19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4958080" cy="3617595"/>
                          </a:xfrm>
                          <a:prstGeom prst="rect">
                            <a:avLst/>
                          </a:prstGeom>
                          <a:noFill/>
                          <a:ln>
                            <a:noFill/>
                          </a:ln>
                        </pic:spPr>
                      </pic:pic>
                    </a:graphicData>
                  </a:graphic>
                </wp:inline>
              </w:drawing>
            </w:r>
          </w:p>
          <w:p>
            <w:pPr>
              <w:wordWrap w:val="0"/>
              <w:spacing w:line="240" w:lineRule="auto"/>
              <w:jc w:val="center"/>
              <w:rPr>
                <w:rFonts w:hint="eastAsia" w:ascii="Times New Roman" w:hAnsi="Times New Roman" w:eastAsia="宋体" w:cs="Times New Roman"/>
                <w:b/>
                <w:bCs w:val="0"/>
                <w:color w:val="auto"/>
                <w:kern w:val="0"/>
                <w:sz w:val="24"/>
                <w:highlight w:val="none"/>
                <w:lang w:val="en-US" w:eastAsia="zh-CN" w:bidi="ar"/>
              </w:rPr>
            </w:pPr>
            <w:r>
              <w:rPr>
                <w:rFonts w:hint="eastAsia" w:ascii="Times New Roman" w:hAnsi="Times New Roman" w:eastAsia="宋体"/>
                <w:b/>
                <w:bCs/>
                <w:color w:val="auto"/>
                <w:sz w:val="21"/>
                <w:szCs w:val="21"/>
                <w:highlight w:val="none"/>
                <w:lang w:val="en-US" w:eastAsia="zh-CN"/>
              </w:rPr>
              <w:t>图1-1 本项目与四川省政务网“三线一单”符合性核实情况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项目位于遂宁市蓬溪县环境综合管控单元工业重点管控单元（管控单元名称：蓬溪县上游工业园产业聚集区，管控单元编号：ZH51092120004），项目与管控单元相对位置如下图所示：（图中▼表示项目位置）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4"/>
                <w:szCs w:val="20"/>
                <w:highlight w:val="none"/>
                <w:lang w:val="en-US" w:eastAsia="zh-CN" w:bidi="ar-SA"/>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2172335</wp:posOffset>
                      </wp:positionH>
                      <wp:positionV relativeFrom="paragraph">
                        <wp:posOffset>2243455</wp:posOffset>
                      </wp:positionV>
                      <wp:extent cx="104775" cy="83185"/>
                      <wp:effectExtent l="11430" t="6350" r="17145" b="24765"/>
                      <wp:wrapNone/>
                      <wp:docPr id="28" name="流程图: 合并 28"/>
                      <wp:cNvGraphicFramePr/>
                      <a:graphic xmlns:a="http://schemas.openxmlformats.org/drawingml/2006/main">
                        <a:graphicData uri="http://schemas.microsoft.com/office/word/2010/wordprocessingShape">
                          <wps:wsp>
                            <wps:cNvSpPr/>
                            <wps:spPr>
                              <a:xfrm>
                                <a:off x="3864610" y="3517900"/>
                                <a:ext cx="104775" cy="83185"/>
                              </a:xfrm>
                              <a:prstGeom prst="flowChartMerge">
                                <a:avLst/>
                              </a:prstGeom>
                              <a:solidFill>
                                <a:sysClr val="windowText" lastClr="00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8" type="#_x0000_t128" style="position:absolute;left:0pt;margin-left:171.05pt;margin-top:176.65pt;height:6.55pt;width:8.25pt;z-index:251661312;v-text-anchor:middle;mso-width-relative:page;mso-height-relative:page;" fillcolor="#000000" filled="t" stroked="t" coordsize="21600,21600" o:gfxdata="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AWekTx2wAAAAsBAAAPAAAAAAAAAAEA&#10;IAAAADgAAABkcnMvZG93bnJldi54bWxQSwECFAAUAAAACACHTuJA5I/gNaECAAApBQAADgAAAAAA&#10;AAABACAAAABAAQAAZHJzL2Uyb0RvYy54bWxQSwUGAAAAAAYABgBZAQAAUwYAAAAA&#10;">
                      <v:fill on="t" focussize="0,0"/>
                      <v:stroke weight="1pt" color="#000000 [3213]" miterlimit="8" joinstyle="miter"/>
                      <v:imagedata o:title=""/>
                      <o:lock v:ext="edit" aspectratio="f"/>
                    </v:shape>
                  </w:pict>
                </mc:Fallback>
              </mc:AlternateContent>
            </w:r>
            <w:r>
              <w:rPr>
                <w:color w:val="auto"/>
                <w:highlight w:val="none"/>
              </w:rPr>
              <w:drawing>
                <wp:inline distT="0" distB="0" distL="114300" distR="114300">
                  <wp:extent cx="4718050" cy="3023235"/>
                  <wp:effectExtent l="0" t="0" r="6350" b="571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9"/>
                          <a:stretch>
                            <a:fillRect/>
                          </a:stretch>
                        </pic:blipFill>
                        <pic:spPr>
                          <a:xfrm>
                            <a:off x="0" y="0"/>
                            <a:ext cx="4718050" cy="3023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kern w:val="0"/>
                <w:sz w:val="24"/>
                <w:highlight w:val="none"/>
                <w:lang w:eastAsia="zh-CN" w:bidi="ar"/>
              </w:rPr>
            </w:pPr>
            <w:r>
              <w:rPr>
                <w:rFonts w:ascii="Times New Roman" w:hAnsi="Times New Roman" w:eastAsia="宋体" w:cs="Times New Roman"/>
                <w:b/>
                <w:bCs/>
                <w:color w:val="auto"/>
                <w:kern w:val="2"/>
                <w:sz w:val="21"/>
                <w:szCs w:val="21"/>
                <w:highlight w:val="none"/>
                <w:lang w:val="en-US" w:eastAsia="zh-CN" w:bidi="ar-SA"/>
              </w:rPr>
              <w:t>图1-</w:t>
            </w:r>
            <w:r>
              <w:rPr>
                <w:rFonts w:hint="eastAsia" w:ascii="Times New Roman" w:hAnsi="Times New Roman" w:eastAsia="宋体" w:cs="Times New Roman"/>
                <w:b/>
                <w:bCs/>
                <w:color w:val="auto"/>
                <w:kern w:val="2"/>
                <w:sz w:val="21"/>
                <w:szCs w:val="21"/>
                <w:highlight w:val="none"/>
                <w:lang w:val="en-US" w:eastAsia="zh-CN" w:bidi="ar-SA"/>
              </w:rPr>
              <w:t>2</w:t>
            </w:r>
            <w:r>
              <w:rPr>
                <w:rFonts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本项目与管控单元相对位置</w:t>
            </w:r>
          </w:p>
          <w:p>
            <w:pPr>
              <w:spacing w:line="360" w:lineRule="auto"/>
              <w:jc w:val="center"/>
              <w:rPr>
                <w:rFonts w:hint="eastAsia" w:ascii="Times New Roman" w:hAnsi="Times New Roman" w:eastAsia="宋体" w:cs="Times New Roman"/>
                <w:bCs/>
                <w:color w:val="auto"/>
                <w:kern w:val="0"/>
                <w:sz w:val="24"/>
                <w:highlight w:val="none"/>
                <w:lang w:eastAsia="zh-CN" w:bidi="ar"/>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2931160</wp:posOffset>
                      </wp:positionH>
                      <wp:positionV relativeFrom="paragraph">
                        <wp:posOffset>869950</wp:posOffset>
                      </wp:positionV>
                      <wp:extent cx="998855" cy="324485"/>
                      <wp:effectExtent l="246380" t="0" r="12065" b="399415"/>
                      <wp:wrapNone/>
                      <wp:docPr id="24" name="矩形标注 24"/>
                      <wp:cNvGraphicFramePr/>
                      <a:graphic xmlns:a="http://schemas.openxmlformats.org/drawingml/2006/main">
                        <a:graphicData uri="http://schemas.microsoft.com/office/word/2010/wordprocessingShape">
                          <wps:wsp>
                            <wps:cNvSpPr/>
                            <wps:spPr>
                              <a:xfrm>
                                <a:off x="4443095" y="5593080"/>
                                <a:ext cx="998855" cy="324485"/>
                              </a:xfrm>
                              <a:prstGeom prst="wedgeRectCallout">
                                <a:avLst>
                                  <a:gd name="adj1" fmla="val -74666"/>
                                  <a:gd name="adj2" fmla="val 169960"/>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C00000"/>
                                      <w:lang w:val="en-US" w:eastAsia="zh-CN"/>
                                    </w:rPr>
                                  </w:pPr>
                                  <w:r>
                                    <w:rPr>
                                      <w:rFonts w:hint="eastAsia"/>
                                      <w:b/>
                                      <w:bCs/>
                                      <w:color w:val="C00000"/>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0.8pt;margin-top:68.5pt;height:25.55pt;width:78.65pt;z-index:251663360;v-text-anchor:middle;mso-width-relative:page;mso-height-relative:page;" fillcolor="#FFFFFF [3212]" filled="t" stroked="f" coordsize="21600,21600" o:gfxdata="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FgAAAGRycy9QSwECFAAUAAAACACHTuJA9T10&#10;n9cAAAALAQAADwAAAAAAAAABACAAAAA4AAAAZHJzL2Rvd25yZXYueG1sUEsBAhQAFAAAAAgAh07i&#10;QNs8DIy4AgAASAUAAA4AAAAAAAAAAQAgAAAAPAEAAGRycy9lMm9Eb2MueG1sUEsFBgAAAAAGAAYA&#10;WQEAAGYGAAAAAA==&#10;" adj="-5328,47511">
                      <v:fill on="t" focussize="0,0"/>
                      <v:stroke on="f" weight="1pt" miterlimit="8" joinstyle="miter"/>
                      <v:imagedata o:title=""/>
                      <o:lock v:ext="edit" aspectratio="f"/>
                      <v:textbox>
                        <w:txbxContent>
                          <w:p>
                            <w:pPr>
                              <w:jc w:val="center"/>
                              <w:rPr>
                                <w:rFonts w:hint="default" w:eastAsia="宋体"/>
                                <w:color w:val="C00000"/>
                                <w:lang w:val="en-US" w:eastAsia="zh-CN"/>
                              </w:rPr>
                            </w:pPr>
                            <w:r>
                              <w:rPr>
                                <w:rFonts w:hint="eastAsia"/>
                                <w:b/>
                                <w:bCs/>
                                <w:color w:val="C00000"/>
                                <w:lang w:val="en-US" w:eastAsia="zh-CN"/>
                              </w:rPr>
                              <w:t>本项目所在地</w:t>
                            </w:r>
                          </w:p>
                        </w:txbxContent>
                      </v:textbox>
                    </v:shape>
                  </w:pict>
                </mc:Fallback>
              </mc:AlternateContent>
            </w: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INCLUDEPICTURE \d "https://inews.gtimg.com/newsapp_bt/0/13713914578/1000" \* MERGEFORMATINET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drawing>
                <wp:inline distT="0" distB="0" distL="114300" distR="114300">
                  <wp:extent cx="4745355" cy="3353435"/>
                  <wp:effectExtent l="0" t="0" r="17145" b="18415"/>
                  <wp:docPr id="2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56"/>
                          <pic:cNvPicPr>
                            <a:picLocks noChangeAspect="1"/>
                          </pic:cNvPicPr>
                        </pic:nvPicPr>
                        <pic:blipFill>
                          <a:blip r:embed="rId10"/>
                          <a:stretch>
                            <a:fillRect/>
                          </a:stretch>
                        </pic:blipFill>
                        <pic:spPr>
                          <a:xfrm>
                            <a:off x="0" y="0"/>
                            <a:ext cx="4745355" cy="3353435"/>
                          </a:xfrm>
                          <a:prstGeom prst="rect">
                            <a:avLst/>
                          </a:prstGeom>
                          <a:noFill/>
                          <a:ln>
                            <a:noFill/>
                          </a:ln>
                        </pic:spPr>
                      </pic:pic>
                    </a:graphicData>
                  </a:graphic>
                </wp:inline>
              </w:drawing>
            </w:r>
            <w:r>
              <w:rPr>
                <w:rFonts w:ascii="宋体" w:hAnsi="宋体" w:eastAsia="宋体" w:cs="宋体"/>
                <w:color w:val="auto"/>
                <w:sz w:val="24"/>
                <w:szCs w:val="24"/>
                <w:highlight w:val="none"/>
              </w:rPr>
              <w:fldChar w:fldCharType="end"/>
            </w:r>
          </w:p>
          <w:p>
            <w:pPr>
              <w:widowControl/>
              <w:spacing w:line="360" w:lineRule="auto"/>
              <w:ind w:firstLine="420"/>
              <w:jc w:val="center"/>
              <w:rPr>
                <w:rFonts w:hint="eastAsia" w:ascii="Times New Roman" w:hAnsi="Times New Roman" w:eastAsia="宋体" w:cs="Times New Roman"/>
                <w:bCs/>
                <w:color w:val="auto"/>
                <w:kern w:val="0"/>
                <w:sz w:val="24"/>
                <w:highlight w:val="none"/>
                <w:lang w:eastAsia="zh-CN" w:bidi="ar"/>
              </w:rPr>
            </w:pPr>
            <w:r>
              <w:rPr>
                <w:rFonts w:hint="eastAsia" w:ascii="宋体" w:hAnsi="宋体" w:cs="宋体"/>
                <w:b/>
                <w:bCs/>
                <w:color w:val="auto"/>
                <w:kern w:val="0"/>
                <w:szCs w:val="21"/>
                <w:highlight w:val="none"/>
                <w:lang w:bidi="ar"/>
              </w:rPr>
              <w:t>图1-</w:t>
            </w:r>
            <w:r>
              <w:rPr>
                <w:rFonts w:hint="eastAsia" w:ascii="宋体" w:hAnsi="宋体" w:cs="宋体"/>
                <w:b/>
                <w:bCs/>
                <w:color w:val="auto"/>
                <w:kern w:val="0"/>
                <w:szCs w:val="21"/>
                <w:highlight w:val="none"/>
                <w:lang w:val="en-US" w:eastAsia="zh-CN" w:bidi="ar"/>
              </w:rPr>
              <w:t>3</w:t>
            </w:r>
            <w:r>
              <w:rPr>
                <w:rFonts w:hint="eastAsia" w:ascii="宋体" w:hAnsi="宋体" w:cs="宋体"/>
                <w:b/>
                <w:bCs/>
                <w:color w:val="auto"/>
                <w:kern w:val="0"/>
                <w:szCs w:val="21"/>
                <w:highlight w:val="none"/>
                <w:lang w:bidi="ar"/>
              </w:rPr>
              <w:t xml:space="preserve">  本项目</w:t>
            </w:r>
            <w:r>
              <w:rPr>
                <w:rFonts w:ascii="宋体" w:hAnsi="宋体" w:cs="宋体"/>
                <w:b/>
                <w:bCs/>
                <w:color w:val="auto"/>
                <w:kern w:val="0"/>
                <w:szCs w:val="21"/>
                <w:highlight w:val="none"/>
                <w:lang w:bidi="ar"/>
              </w:rPr>
              <w:t>与</w:t>
            </w:r>
            <w:r>
              <w:rPr>
                <w:rFonts w:hint="eastAsia" w:ascii="宋体" w:hAnsi="宋体" w:cs="宋体"/>
                <w:b/>
                <w:bCs/>
                <w:color w:val="auto"/>
                <w:kern w:val="0"/>
                <w:szCs w:val="21"/>
                <w:highlight w:val="none"/>
                <w:lang w:val="en-US" w:eastAsia="zh-CN" w:bidi="ar"/>
              </w:rPr>
              <w:t>遂宁市环境</w:t>
            </w:r>
            <w:r>
              <w:rPr>
                <w:rFonts w:ascii="宋体" w:hAnsi="宋体" w:cs="宋体"/>
                <w:b/>
                <w:bCs/>
                <w:color w:val="auto"/>
                <w:kern w:val="0"/>
                <w:szCs w:val="21"/>
                <w:highlight w:val="none"/>
                <w:lang w:bidi="ar"/>
              </w:rPr>
              <w:t>管控单元相对位置</w:t>
            </w:r>
          </w:p>
          <w:p>
            <w:pPr>
              <w:spacing w:line="360" w:lineRule="auto"/>
              <w:jc w:val="center"/>
              <w:rPr>
                <w:rFonts w:hint="eastAsia" w:ascii="Times New Roman" w:hAnsi="Times New Roman" w:eastAsia="宋体" w:cs="Times New Roman"/>
                <w:bCs/>
                <w:color w:val="auto"/>
                <w:kern w:val="0"/>
                <w:sz w:val="24"/>
                <w:highlight w:val="none"/>
                <w:lang w:eastAsia="zh-CN" w:bidi="ar"/>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3026410</wp:posOffset>
                      </wp:positionH>
                      <wp:positionV relativeFrom="paragraph">
                        <wp:posOffset>3346450</wp:posOffset>
                      </wp:positionV>
                      <wp:extent cx="1000125" cy="279400"/>
                      <wp:effectExtent l="0" t="0" r="9525" b="6350"/>
                      <wp:wrapNone/>
                      <wp:docPr id="29" name="流程图: 过程 29"/>
                      <wp:cNvGraphicFramePr/>
                      <a:graphic xmlns:a="http://schemas.openxmlformats.org/drawingml/2006/main">
                        <a:graphicData uri="http://schemas.microsoft.com/office/word/2010/wordprocessingShape">
                          <wps:wsp>
                            <wps:cNvSpPr/>
                            <wps:spPr>
                              <a:xfrm>
                                <a:off x="4824095" y="4515485"/>
                                <a:ext cx="1000125" cy="279400"/>
                              </a:xfrm>
                              <a:prstGeom prst="flowChartProcess">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C00000"/>
                                      <w:lang w:val="en-US" w:eastAsia="zh-CN"/>
                                    </w:rPr>
                                  </w:pPr>
                                  <w:r>
                                    <w:rPr>
                                      <w:rFonts w:hint="eastAsia"/>
                                      <w:b/>
                                      <w:bCs/>
                                      <w:color w:val="C00000"/>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8.3pt;margin-top:263.5pt;height:22pt;width:78.75pt;z-index:251665408;v-text-anchor:middle;mso-width-relative:page;mso-height-relative:page;" fillcolor="#FFFFFF [3212]" filled="t" stroked="f" coordsize="21600,21600" o:gfxdata="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FgAA&#10;AGRycy9QSwECFAAUAAAACACHTuJAxnw1RdkAAAALAQAADwAAAAAAAAABACAAAAA4AAAAZHJzL2Rv&#10;d25yZXYueG1sUEsBAhQAFAAAAAgAh07iQDjco7CVAgAA+wQAAA4AAAAAAAAAAQAgAAAAPgEAAGRy&#10;cy9lMm9Eb2MueG1sUEsFBgAAAAAGAAYAWQEAAEUGAAAAAA==&#10;">
                      <v:fill on="t" focussize="0,0"/>
                      <v:stroke on="f" weight="1pt" miterlimit="8" joinstyle="miter"/>
                      <v:imagedata o:title=""/>
                      <o:lock v:ext="edit" aspectratio="f"/>
                      <v:textbox>
                        <w:txbxContent>
                          <w:p>
                            <w:pPr>
                              <w:jc w:val="center"/>
                              <w:rPr>
                                <w:rFonts w:hint="default" w:eastAsia="宋体"/>
                                <w:b/>
                                <w:bCs/>
                                <w:color w:val="C00000"/>
                                <w:lang w:val="en-US" w:eastAsia="zh-CN"/>
                              </w:rPr>
                            </w:pPr>
                            <w:r>
                              <w:rPr>
                                <w:rFonts w:hint="eastAsia"/>
                                <w:b/>
                                <w:bCs/>
                                <w:color w:val="C00000"/>
                                <w:lang w:val="en-US" w:eastAsia="zh-CN"/>
                              </w:rPr>
                              <w:t>本项目所在地</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2864485</wp:posOffset>
                      </wp:positionH>
                      <wp:positionV relativeFrom="paragraph">
                        <wp:posOffset>3375025</wp:posOffset>
                      </wp:positionV>
                      <wp:extent cx="142875" cy="135255"/>
                      <wp:effectExtent l="0" t="0" r="9525" b="17145"/>
                      <wp:wrapNone/>
                      <wp:docPr id="26" name="五角星 26"/>
                      <wp:cNvGraphicFramePr/>
                      <a:graphic xmlns:a="http://schemas.openxmlformats.org/drawingml/2006/main">
                        <a:graphicData uri="http://schemas.microsoft.com/office/word/2010/wordprocessingShape">
                          <wps:wsp>
                            <wps:cNvSpPr/>
                            <wps:spPr>
                              <a:xfrm>
                                <a:off x="4538345" y="4515485"/>
                                <a:ext cx="142875" cy="135255"/>
                              </a:xfrm>
                              <a:prstGeom prst="star5">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5.55pt;margin-top:265.75pt;height:10.65pt;width:11.25pt;z-index:251664384;v-text-anchor:middle;mso-width-relative:page;mso-height-relative:page;" fillcolor="#C00000" filled="t" stroked="f" coordsize="142875,135255" o:gfxdata="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EbN&#10;+krbAAAACwEAAA8AAAAAAAAAAQAgAAAAOAAAAGRycy9kb3ducmV2LnhtbFBLAQIUABQAAAAIAIdO&#10;4kDKqmjCfAIAANwEAAAOAAAAAAAAAAEAIAAAAEABAABkcnMvZTJvRG9jLnhtbFBLBQYAAAAABgAG&#10;AFkBAAAuBgAAAAA=&#10;" path="m0,51662l54573,51663,71437,0,88301,51663,142874,51662,98723,83591,115588,135254,71437,103324,27286,135254,44151,83591xe">
                      <v:path o:connectlocs="71437,0;0,51662;27286,135254;115588,135254;142874,51662" o:connectangles="247,164,82,82,0"/>
                      <v:fill on="t" focussize="0,0"/>
                      <v:stroke on="f" weight="1pt" miterlimit="8" joinstyle="miter"/>
                      <v:imagedata o:title=""/>
                      <o:lock v:ext="edit" aspectratio="f"/>
                    </v:shape>
                  </w:pict>
                </mc:Fallback>
              </mc:AlternateContent>
            </w:r>
            <w:r>
              <w:rPr>
                <w:rFonts w:hint="eastAsia" w:eastAsia="宋体" w:cs="宋体"/>
                <w:color w:val="auto"/>
                <w:kern w:val="0"/>
                <w:sz w:val="24"/>
                <w:highlight w:val="none"/>
                <w:lang w:eastAsia="zh-CN" w:bidi="ar"/>
              </w:rPr>
              <w:drawing>
                <wp:inline distT="0" distB="0" distL="114300" distR="114300">
                  <wp:extent cx="4820920" cy="6972300"/>
                  <wp:effectExtent l="0" t="0" r="17780" b="0"/>
                  <wp:docPr id="25" name="图片 6" descr="81cf26039b83408db78ac7d649855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81cf26039b83408db78ac7d6498558e3"/>
                          <pic:cNvPicPr>
                            <a:picLocks noChangeAspect="1"/>
                          </pic:cNvPicPr>
                        </pic:nvPicPr>
                        <pic:blipFill>
                          <a:blip r:embed="rId11"/>
                          <a:srcRect t="3693" b="1796"/>
                          <a:stretch>
                            <a:fillRect/>
                          </a:stretch>
                        </pic:blipFill>
                        <pic:spPr>
                          <a:xfrm>
                            <a:off x="0" y="0"/>
                            <a:ext cx="4820920" cy="6972300"/>
                          </a:xfrm>
                          <a:prstGeom prst="rect">
                            <a:avLst/>
                          </a:prstGeom>
                          <a:noFill/>
                          <a:ln>
                            <a:noFill/>
                          </a:ln>
                        </pic:spPr>
                      </pic:pic>
                    </a:graphicData>
                  </a:graphic>
                </wp:inline>
              </w:drawing>
            </w:r>
          </w:p>
          <w:p>
            <w:pPr>
              <w:widowControl/>
              <w:spacing w:line="360" w:lineRule="auto"/>
              <w:ind w:firstLine="420"/>
              <w:jc w:val="center"/>
              <w:rPr>
                <w:rFonts w:hint="eastAsia" w:ascii="Times New Roman" w:hAnsi="Times New Roman" w:eastAsia="宋体" w:cs="Times New Roman"/>
                <w:bCs/>
                <w:color w:val="auto"/>
                <w:kern w:val="0"/>
                <w:sz w:val="24"/>
                <w:highlight w:val="none"/>
                <w:lang w:eastAsia="zh-CN" w:bidi="ar"/>
              </w:rPr>
            </w:pPr>
            <w:r>
              <w:rPr>
                <w:rFonts w:hint="eastAsia" w:ascii="宋体" w:hAnsi="宋体" w:cs="宋体"/>
                <w:b/>
                <w:bCs/>
                <w:color w:val="auto"/>
                <w:kern w:val="0"/>
                <w:szCs w:val="21"/>
                <w:highlight w:val="none"/>
                <w:lang w:bidi="ar"/>
              </w:rPr>
              <w:t>图1-</w:t>
            </w:r>
            <w:r>
              <w:rPr>
                <w:rFonts w:hint="eastAsia" w:ascii="宋体" w:hAnsi="宋体" w:cs="宋体"/>
                <w:b/>
                <w:bCs/>
                <w:color w:val="auto"/>
                <w:kern w:val="0"/>
                <w:szCs w:val="21"/>
                <w:highlight w:val="none"/>
                <w:lang w:val="en-US" w:eastAsia="zh-CN" w:bidi="ar"/>
              </w:rPr>
              <w:t>4</w:t>
            </w:r>
            <w:r>
              <w:rPr>
                <w:rFonts w:hint="eastAsia" w:ascii="宋体" w:hAnsi="宋体" w:cs="宋体"/>
                <w:b/>
                <w:bCs/>
                <w:color w:val="auto"/>
                <w:kern w:val="0"/>
                <w:szCs w:val="21"/>
                <w:highlight w:val="none"/>
                <w:lang w:bidi="ar"/>
              </w:rPr>
              <w:t xml:space="preserve">  本项目</w:t>
            </w:r>
            <w:r>
              <w:rPr>
                <w:rFonts w:ascii="宋体" w:hAnsi="宋体" w:cs="宋体"/>
                <w:b/>
                <w:bCs/>
                <w:color w:val="auto"/>
                <w:kern w:val="0"/>
                <w:szCs w:val="21"/>
                <w:highlight w:val="none"/>
                <w:lang w:bidi="ar"/>
              </w:rPr>
              <w:t>与</w:t>
            </w:r>
            <w:r>
              <w:rPr>
                <w:rFonts w:hint="eastAsia" w:ascii="宋体" w:hAnsi="宋体" w:cs="宋体"/>
                <w:b/>
                <w:bCs/>
                <w:color w:val="auto"/>
                <w:kern w:val="0"/>
                <w:szCs w:val="21"/>
                <w:highlight w:val="none"/>
                <w:lang w:val="en-US" w:eastAsia="zh-CN" w:bidi="ar"/>
              </w:rPr>
              <w:t>与遂宁市生态保护红线相对位置</w:t>
            </w:r>
          </w:p>
          <w:p>
            <w:pPr>
              <w:spacing w:line="360" w:lineRule="auto"/>
              <w:ind w:firstLine="480" w:firstLineChars="200"/>
              <w:rPr>
                <w:rFonts w:hint="eastAsia" w:ascii="Times New Roman" w:hAnsi="Times New Roman" w:eastAsia="宋体" w:cs="Times New Roman"/>
                <w:bCs/>
                <w:color w:val="auto"/>
                <w:kern w:val="0"/>
                <w:sz w:val="24"/>
                <w:highlight w:val="none"/>
                <w:lang w:eastAsia="zh-CN" w:bidi="ar"/>
              </w:rPr>
            </w:pPr>
            <w:r>
              <w:rPr>
                <w:rFonts w:hint="eastAsia" w:ascii="Times New Roman" w:hAnsi="Times New Roman" w:eastAsia="宋体" w:cs="Times New Roman"/>
                <w:bCs/>
                <w:color w:val="auto"/>
                <w:kern w:val="0"/>
                <w:sz w:val="24"/>
                <w:highlight w:val="none"/>
                <w:lang w:eastAsia="zh-CN" w:bidi="ar"/>
              </w:rPr>
              <w:t>本项目位于蓬溪县上游工业园，园区已进行了规划修编，该规划修编中已经开展了园区与“三线一单”符合性分析。因此本项目仅分析与园区规划环评生态环境准入要求的符合性。</w:t>
            </w:r>
          </w:p>
          <w:p>
            <w:pPr>
              <w:keepNext/>
              <w:spacing w:line="360" w:lineRule="auto"/>
              <w:rPr>
                <w:rFonts w:hint="default" w:ascii="Times New Roman" w:hAnsi="Times New Roman" w:eastAsia="宋体" w:cs="Times New Roman"/>
                <w:color w:val="auto"/>
                <w:kern w:val="0"/>
                <w:sz w:val="24"/>
                <w:highlight w:val="none"/>
                <w:lang w:eastAsia="zh-CN"/>
              </w:rPr>
            </w:pPr>
          </w:p>
        </w:tc>
      </w:tr>
    </w:tbl>
    <w:p>
      <w:pPr>
        <w:rPr>
          <w:rFonts w:hint="default" w:ascii="Times New Roman" w:hAnsi="Times New Roman" w:eastAsia="黑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widowControl/>
        <w:spacing w:line="360" w:lineRule="auto"/>
        <w:ind w:firstLine="420"/>
        <w:jc w:val="left"/>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bidi="ar"/>
        </w:rPr>
        <w:t>项目与</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bidi="ar"/>
        </w:rPr>
        <w:t>三线一单</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bidi="ar"/>
        </w:rPr>
        <w:t>相关要求的符合性分析要点如下：</w:t>
      </w:r>
      <w:r>
        <w:rPr>
          <w:rFonts w:hint="eastAsia" w:ascii="宋体" w:hAnsi="宋体" w:cs="宋体"/>
          <w:color w:val="auto"/>
          <w:kern w:val="0"/>
          <w:sz w:val="24"/>
          <w:highlight w:val="none"/>
          <w:lang w:val="en-US" w:eastAsia="zh-CN" w:bidi="ar"/>
        </w:rPr>
        <w:t xml:space="preserve"> </w:t>
      </w:r>
    </w:p>
    <w:p>
      <w:pPr>
        <w:pStyle w:val="11"/>
        <w:spacing w:before="120" w:beforeLines="50"/>
        <w:ind w:firstLine="562" w:firstLineChars="200"/>
        <w:jc w:val="center"/>
        <w:rPr>
          <w:rFonts w:hint="eastAsia" w:ascii="Times New Roman" w:eastAsia="宋体"/>
          <w:color w:val="auto"/>
          <w:sz w:val="24"/>
          <w:szCs w:val="24"/>
          <w:highlight w:val="none"/>
        </w:rPr>
      </w:pPr>
      <w:r>
        <w:rPr>
          <w:rFonts w:ascii="Times New Roman" w:hAnsi="Times New Roman"/>
          <w:b/>
          <w:bCs/>
          <w:color w:val="auto"/>
          <w:szCs w:val="21"/>
          <w:highlight w:val="none"/>
        </w:rPr>
        <w:t>表1-</w:t>
      </w:r>
      <w:r>
        <w:rPr>
          <w:rFonts w:hint="eastAsia" w:ascii="Times New Roman" w:hAnsi="Times New Roman"/>
          <w:b/>
          <w:bCs/>
          <w:color w:val="auto"/>
          <w:szCs w:val="21"/>
          <w:highlight w:val="none"/>
        </w:rPr>
        <w:t>3</w:t>
      </w:r>
      <w:r>
        <w:rPr>
          <w:rFonts w:ascii="Times New Roman" w:hAnsi="Times New Roman"/>
          <w:b/>
          <w:bCs/>
          <w:color w:val="auto"/>
          <w:szCs w:val="21"/>
          <w:highlight w:val="none"/>
        </w:rPr>
        <w:t xml:space="preserve">  项目与产业园区规划环评生态环境准入要求的符合性分析</w:t>
      </w:r>
    </w:p>
    <w:tbl>
      <w:tblPr>
        <w:tblStyle w:val="20"/>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2745"/>
        <w:gridCol w:w="5685"/>
        <w:gridCol w:w="3285"/>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04" w:type="dxa"/>
            <w:vAlign w:val="center"/>
          </w:tcPr>
          <w:p>
            <w:pPr>
              <w:keepNext w:val="0"/>
              <w:keepLines w:val="0"/>
              <w:widowControl/>
              <w:suppressLineNumbers w:val="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要素</w:t>
            </w:r>
          </w:p>
        </w:tc>
        <w:tc>
          <w:tcPr>
            <w:tcW w:w="27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“三线一单”生态 环境准入清单重要 管控要求</w:t>
            </w:r>
          </w:p>
        </w:tc>
        <w:tc>
          <w:tcPr>
            <w:tcW w:w="56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园区规划环评细化管控要求细化依据</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1394" w:type="dxa"/>
            <w:vAlign w:val="center"/>
          </w:tcPr>
          <w:p>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1" w:hRule="atLeast"/>
        </w:trPr>
        <w:tc>
          <w:tcPr>
            <w:tcW w:w="404" w:type="dxa"/>
            <w:vMerge w:val="restart"/>
            <w:vAlign w:val="center"/>
          </w:tcPr>
          <w:p>
            <w:pPr>
              <w:jc w:val="center"/>
              <w:rPr>
                <w:rFonts w:hint="default" w:ascii="Times New Roman" w:hAnsi="Times New Roman"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空间布局约束</w:t>
            </w:r>
          </w:p>
        </w:tc>
        <w:tc>
          <w:tcPr>
            <w:tcW w:w="274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禁止开发建设活动的要求</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56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-禁止引入不符合法律法规、产业政策及相关环境管理要求的项目；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-禁止引入《环境保护综合名录》中涉及的“高污染、高环境风险”项目。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-禁止引入清洁生产水平不能达二级或国内先进水平的项目。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禁止新建医药、农药、制浆（含废纸制浆）、造纸、印染染整、制革、水泥、专业电镀、制革、洗选、含前工序的集成电路、平板玻璃、印制电路板、石墨及炭素制品、有色金属冶炼（钒、钛除外）等与主导产业环境不相容或不属于主导产业的高污染行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-禁止引入酒精饮料及酒类制造、屠宰、粮食及饲料加工、农产品加工等废水排放大的行业。</w:t>
            </w:r>
          </w:p>
        </w:tc>
        <w:tc>
          <w:tcPr>
            <w:tcW w:w="328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1、本项目生产</w:t>
            </w:r>
            <w:r>
              <w:rPr>
                <w:rFonts w:hint="default" w:ascii="Times New Roman" w:hAnsi="Times New Roman" w:cs="Times New Roman"/>
                <w:color w:val="auto"/>
                <w:sz w:val="21"/>
                <w:highlight w:val="none"/>
                <w:vertAlign w:val="baseline"/>
                <w:lang w:val="en-US" w:eastAsia="zh-CN"/>
              </w:rPr>
              <w:t>高频变压器</w:t>
            </w:r>
            <w:r>
              <w:rPr>
                <w:rFonts w:hint="default" w:ascii="Times New Roman" w:hAnsi="Times New Roman" w:eastAsia="宋体" w:cs="Times New Roman"/>
                <w:color w:val="auto"/>
                <w:sz w:val="21"/>
                <w:highlight w:val="none"/>
                <w:vertAlign w:val="baseline"/>
                <w:lang w:val="en-US" w:eastAsia="zh-CN"/>
              </w:rPr>
              <w:t>，不属于“两高”项目和高污染行业。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2、本项目不属于其禁止类项目。</w:t>
            </w:r>
          </w:p>
          <w:p>
            <w:pPr>
              <w:jc w:val="center"/>
              <w:rPr>
                <w:rFonts w:hint="default" w:ascii="Times New Roman" w:hAnsi="Times New Roman" w:cs="Times New Roman"/>
                <w:color w:val="auto"/>
                <w:sz w:val="21"/>
                <w:szCs w:val="21"/>
                <w:highlight w:val="none"/>
                <w:vertAlign w:val="baseline"/>
              </w:rPr>
            </w:pPr>
          </w:p>
        </w:tc>
        <w:tc>
          <w:tcPr>
            <w:tcW w:w="1394" w:type="dxa"/>
            <w:vMerge w:val="restart"/>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04" w:type="dxa"/>
            <w:vMerge w:val="continue"/>
            <w:vAlign w:val="center"/>
          </w:tcPr>
          <w:p>
            <w:pPr>
              <w:jc w:val="center"/>
              <w:rPr>
                <w:rFonts w:hint="default" w:ascii="Times New Roman" w:hAnsi="Times New Roman" w:cs="Times New Roman"/>
                <w:color w:val="auto"/>
                <w:sz w:val="21"/>
                <w:szCs w:val="21"/>
                <w:highlight w:val="none"/>
              </w:rPr>
            </w:pPr>
          </w:p>
        </w:tc>
        <w:tc>
          <w:tcPr>
            <w:tcW w:w="2745" w:type="dxa"/>
            <w:vMerge w:val="continue"/>
            <w:vAlign w:val="center"/>
          </w:tcPr>
          <w:p>
            <w:pPr>
              <w:jc w:val="center"/>
              <w:rPr>
                <w:rFonts w:hint="default" w:ascii="Times New Roman" w:hAnsi="Times New Roman" w:cs="Times New Roman"/>
                <w:color w:val="auto"/>
                <w:sz w:val="21"/>
                <w:szCs w:val="21"/>
                <w:highlight w:val="no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-门业及智能家居产业园：禁止引入溶剂型涂料涂装的木质家具（高流量低压[HVLP]喷漆工艺除外）</w:t>
            </w:r>
          </w:p>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-线缆线束产业园：禁止引入 6 千伏及以上（陆上用）干法交联电力电缆项目。</w:t>
            </w:r>
          </w:p>
        </w:tc>
        <w:tc>
          <w:tcPr>
            <w:tcW w:w="3285" w:type="dxa"/>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本项目不涉及</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04" w:type="dxa"/>
            <w:vMerge w:val="continue"/>
            <w:vAlign w:val="center"/>
          </w:tcPr>
          <w:p>
            <w:pPr>
              <w:jc w:val="center"/>
              <w:rPr>
                <w:rFonts w:hint="default" w:ascii="Times New Roman" w:hAnsi="Times New Roman" w:cs="Times New Roman"/>
                <w:color w:val="auto"/>
                <w:sz w:val="21"/>
                <w:szCs w:val="21"/>
                <w:highlight w:val="none"/>
              </w:rPr>
            </w:pPr>
          </w:p>
        </w:tc>
        <w:tc>
          <w:tcPr>
            <w:tcW w:w="2745" w:type="dxa"/>
            <w:vMerge w:val="restart"/>
            <w:vAlign w:val="center"/>
          </w:tcPr>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限制开发建设活动的要求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控制规划区居住用地规模，在居住用地和工业用地之间预留足够的防护带。</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rPr>
            </w:pPr>
            <w:r>
              <w:rPr>
                <w:rFonts w:hint="default" w:ascii="Times New Roman" w:hAnsi="Times New Roman" w:eastAsia="宋体" w:cs="Times New Roman"/>
                <w:color w:val="auto"/>
                <w:sz w:val="21"/>
                <w:highlight w:val="none"/>
                <w:vertAlign w:val="baseline"/>
                <w:lang w:val="en-US" w:eastAsia="zh-CN"/>
              </w:rPr>
              <w:t>本项目位于工业园区内</w:t>
            </w:r>
            <w:r>
              <w:rPr>
                <w:rFonts w:hint="default" w:ascii="Times New Roman" w:hAnsi="Times New Roman" w:cs="Times New Roman"/>
                <w:color w:val="auto"/>
                <w:sz w:val="21"/>
                <w:highlight w:val="none"/>
                <w:vertAlign w:val="baseline"/>
                <w:lang w:val="en-US" w:eastAsia="zh-CN"/>
              </w:rPr>
              <w:t>，与规划居住用地的最近距离为735m</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04" w:type="dxa"/>
            <w:vMerge w:val="continue"/>
            <w:vAlign w:val="center"/>
          </w:tcPr>
          <w:p>
            <w:pPr>
              <w:jc w:val="center"/>
              <w:rPr>
                <w:rFonts w:hint="default" w:ascii="Times New Roman" w:hAnsi="Times New Roman" w:cs="Times New Roman"/>
                <w:color w:val="auto"/>
                <w:sz w:val="21"/>
                <w:szCs w:val="21"/>
                <w:highlight w:val="none"/>
              </w:rPr>
            </w:pPr>
          </w:p>
        </w:tc>
        <w:tc>
          <w:tcPr>
            <w:tcW w:w="2745" w:type="dxa"/>
            <w:vMerge w:val="continue"/>
            <w:vAlign w:val="center"/>
          </w:tcPr>
          <w:p>
            <w:pPr>
              <w:jc w:val="center"/>
              <w:rPr>
                <w:rFonts w:hint="default" w:ascii="Times New Roman" w:hAnsi="Times New Roman" w:cs="Times New Roman"/>
                <w:color w:val="auto"/>
                <w:sz w:val="21"/>
                <w:szCs w:val="21"/>
                <w:highlight w:val="no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现有食品行业（仅分装、勾兑的除外），维持现状，如需对现有企业进行改扩建，做到不新增用地、增产不增污；现有食品行业（仅分装、勾兑），在满足环保要求的前提下，不限制其发展，但今后改、扩建等进一步发展，需要做到节能减排。</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本项目不涉及</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04" w:type="dxa"/>
            <w:vMerge w:val="continue"/>
            <w:vAlign w:val="center"/>
          </w:tcPr>
          <w:p>
            <w:pPr>
              <w:jc w:val="center"/>
              <w:rPr>
                <w:rFonts w:hint="default" w:ascii="Times New Roman" w:hAnsi="Times New Roman" w:cs="Times New Roman"/>
                <w:color w:val="auto"/>
                <w:sz w:val="21"/>
                <w:szCs w:val="21"/>
                <w:highlight w:val="none"/>
                <w:vertAlign w:val="baseline"/>
              </w:rPr>
            </w:pPr>
          </w:p>
        </w:tc>
        <w:tc>
          <w:tcPr>
            <w:tcW w:w="2745" w:type="dxa"/>
            <w:vMerge w:val="continue"/>
            <w:vAlign w:val="center"/>
          </w:tcPr>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-在基本农田调出规划范围之前，涉及基本农田区域不得进行开发建设</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本项目用地为规划工业用地，不涉及基本农田</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04" w:type="dxa"/>
            <w:vMerge w:val="continue"/>
            <w:vAlign w:val="center"/>
          </w:tcPr>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不符合空间布局要求活动的退出要求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现有的化工企业（生产油漆、涂料），企业满足当前环保要求的前提下，维持现状，今后仅进行安全、环保提升改造，若国家相关政策需要清退的，无条件配合。</w:t>
            </w:r>
          </w:p>
        </w:tc>
        <w:tc>
          <w:tcPr>
            <w:tcW w:w="3285" w:type="dxa"/>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本项目不属于化工企业</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04" w:type="dxa"/>
            <w:vMerge w:val="restart"/>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污染</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物排</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放管</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控</w:t>
            </w:r>
          </w:p>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废水污染物排放准入要求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-严格执行“雨污分流”、“清污分流”，区域内的生产、生活废水全部进入经开区污水处理厂收集处理，收集率达到100%；</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-入园项目的废水必须自行处理达到《污水综合排放标准》三级标准或相关行业要求后进入经开区污水处理厂集中处理，尾水必须达到《城镇污水处理厂污染物排放标准》（GB18918-2002）一级A 标准。</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-在芝溪河达到III类标准前，经开区污水处理厂尾水排放不得超过2000m</w:t>
            </w:r>
            <w:r>
              <w:rPr>
                <w:rFonts w:hint="eastAsia" w:ascii="Times New Roman" w:hAnsi="Times New Roman"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p>
          <w:p>
            <w:pPr>
              <w:jc w:val="left"/>
              <w:rPr>
                <w:rFonts w:hint="default" w:ascii="Times New Roman" w:hAnsi="Times New Roman" w:cs="Times New Roman"/>
                <w:color w:val="auto"/>
                <w:sz w:val="21"/>
                <w:szCs w:val="21"/>
                <w:highlight w:val="none"/>
                <w:vertAlign w:val="baseline"/>
              </w:rPr>
            </w:pPr>
          </w:p>
        </w:tc>
        <w:tc>
          <w:tcPr>
            <w:tcW w:w="3285" w:type="dxa"/>
            <w:vAlign w:val="center"/>
          </w:tcPr>
          <w:p>
            <w:pPr>
              <w:spacing w:line="240" w:lineRule="auto"/>
              <w:ind w:firstLine="0" w:firstLineChars="0"/>
              <w:jc w:val="center"/>
              <w:textAlignment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bidi="ar-SA"/>
              </w:rPr>
              <w:t>本项目雨污分流，生活废水经租赁厂区预处理池处理达《污水综合排放标准》三级标准后排至经开区废水处理厂处理，尾水达到《城镇污水处理厂污染物排放标准》（GB18918-2002）一级A标准</w:t>
            </w:r>
          </w:p>
        </w:tc>
        <w:tc>
          <w:tcPr>
            <w:tcW w:w="1394" w:type="dxa"/>
            <w:vMerge w:val="restar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04" w:type="dxa"/>
            <w:vMerge w:val="continue"/>
            <w:vAlign w:val="center"/>
          </w:tcPr>
          <w:p>
            <w:pPr>
              <w:jc w:val="center"/>
              <w:rPr>
                <w:rFonts w:hint="default" w:ascii="Times New Roman" w:hAnsi="Times New Roman" w:cs="Times New Roman"/>
                <w:color w:val="auto"/>
                <w:highlight w:val="no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废气污染物排放准入要求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-按照《挥发性有机物无组织排放控制标准》（GB37822）要求，严格控制生产、储存、装卸等环节的排放，提高有机废气收集及处理效率</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bidi="ar-SA"/>
              </w:rPr>
              <w:t>本项目VOCs物料储存于密闭桶内，转移时直接转移密闭桶，大大减少了有机物无组织的排放；</w:t>
            </w:r>
            <w:r>
              <w:rPr>
                <w:rFonts w:hint="default" w:ascii="Times New Roman" w:hAnsi="Times New Roman" w:eastAsia="宋体" w:cs="Times New Roman"/>
                <w:color w:val="auto"/>
                <w:sz w:val="21"/>
                <w:szCs w:val="21"/>
                <w:highlight w:val="none"/>
                <w:lang w:val="en-US" w:eastAsia="zh-CN" w:bidi="ar-SA"/>
              </w:rPr>
              <w:t>本项目</w:t>
            </w:r>
            <w:r>
              <w:rPr>
                <w:rFonts w:hint="default" w:ascii="Times New Roman" w:hAnsi="Times New Roman" w:cs="Times New Roman"/>
                <w:color w:val="auto"/>
                <w:sz w:val="21"/>
                <w:szCs w:val="21"/>
                <w:highlight w:val="none"/>
                <w:lang w:val="en-US" w:eastAsia="zh-CN" w:bidi="ar-SA"/>
              </w:rPr>
              <w:t>产生的</w:t>
            </w:r>
            <w:r>
              <w:rPr>
                <w:rFonts w:hint="default" w:ascii="Times New Roman" w:hAnsi="Times New Roman" w:eastAsia="宋体" w:cs="Times New Roman"/>
                <w:color w:val="auto"/>
                <w:sz w:val="21"/>
                <w:szCs w:val="21"/>
                <w:highlight w:val="none"/>
                <w:lang w:val="en-US" w:eastAsia="zh-CN" w:bidi="ar-SA"/>
              </w:rPr>
              <w:t>激光脱皮废气、焊锡废气经集气罩+过滤棉+二级活性炭吸附装置”处理后经15m排气筒（DA001）达标排放</w:t>
            </w:r>
            <w:r>
              <w:rPr>
                <w:rFonts w:hint="default" w:ascii="Times New Roman" w:hAnsi="Times New Roman"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浸漆和烘干废气经“</w:t>
            </w:r>
            <w:r>
              <w:rPr>
                <w:rFonts w:hint="default" w:ascii="Times New Roman" w:hAnsi="Times New Roman" w:cs="Times New Roman"/>
                <w:color w:val="auto"/>
                <w:sz w:val="21"/>
                <w:szCs w:val="21"/>
                <w:highlight w:val="none"/>
                <w:lang w:val="en-US" w:eastAsia="zh-CN" w:bidi="ar-SA"/>
              </w:rPr>
              <w:t>封闭设备集气管收集</w:t>
            </w:r>
            <w:r>
              <w:rPr>
                <w:rFonts w:hint="default" w:ascii="Times New Roman" w:hAnsi="Times New Roman" w:eastAsia="宋体" w:cs="Times New Roman"/>
                <w:color w:val="auto"/>
                <w:sz w:val="21"/>
                <w:szCs w:val="21"/>
                <w:highlight w:val="none"/>
                <w:lang w:val="en-US" w:eastAsia="zh-CN" w:bidi="ar-SA"/>
              </w:rPr>
              <w:t>+过滤棉+二级活性炭吸附装置”处理后经15m排气筒（DA001）达标排放</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04" w:type="dxa"/>
            <w:vMerge w:val="continue"/>
            <w:vAlign w:val="center"/>
          </w:tcPr>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清洁生产水平准入要求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-水污染物产生指标达到或严于清洁生产水平二级或国内同行业先进水平。</w:t>
            </w:r>
          </w:p>
        </w:tc>
        <w:tc>
          <w:tcPr>
            <w:tcW w:w="3285" w:type="dxa"/>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水污染物产生指标</w:t>
            </w:r>
            <w:r>
              <w:rPr>
                <w:rFonts w:hint="default" w:ascii="Times New Roman" w:hAnsi="Times New Roman" w:cs="Times New Roman"/>
                <w:color w:val="auto"/>
                <w:sz w:val="21"/>
                <w:szCs w:val="21"/>
                <w:highlight w:val="none"/>
                <w:vertAlign w:val="baseline"/>
                <w:lang w:val="en-US" w:eastAsia="zh-CN"/>
              </w:rPr>
              <w:t>达到了清洁生产水平二级</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04" w:type="dxa"/>
            <w:vMerge w:val="continue"/>
            <w:vAlign w:val="center"/>
          </w:tcPr>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固废处置准入要求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-工业固体废弃物利用处置率达100%</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-生活垃圾无害化处理率达100%</w:t>
            </w:r>
          </w:p>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-危险废物安全处置率达100%</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bidi="ar-SA"/>
              </w:rPr>
              <w:t>本项目各类固废均进行妥善处置，零排放。</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04" w:type="dxa"/>
            <w:vMerge w:val="restart"/>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环境</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风险</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防控</w:t>
            </w:r>
          </w:p>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企业环境风险防控要求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-除化工企业配套化学物质存储区外，禁止在区内另设置存储大宗危险化学物质的仓储项目。</w:t>
            </w:r>
          </w:p>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-涉及有毒有害、易燃易爆物质新、改、扩建项目，严控准入要求。</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本项目风险潜势为I级，不涉及大宗危险化学物质的仓储，项目在落实各项目防范措施后，环境风险可控</w:t>
            </w:r>
          </w:p>
        </w:tc>
        <w:tc>
          <w:tcPr>
            <w:tcW w:w="1394" w:type="dxa"/>
            <w:vMerge w:val="restar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04" w:type="dxa"/>
            <w:vMerge w:val="continue"/>
            <w:vAlign w:val="center"/>
          </w:tcPr>
          <w:p>
            <w:pPr>
              <w:jc w:val="center"/>
              <w:rPr>
                <w:rFonts w:hint="default" w:ascii="Times New Roman" w:hAnsi="Times New Roman" w:cs="Times New Roman"/>
                <w:color w:val="auto"/>
                <w:highlight w:val="no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园区环境风险防控要求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-构建三级环境风险防控体系，强化危化品泄露应急处置措施，确保风险可控。</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sz w:val="21"/>
                <w:highlight w:val="none"/>
                <w:vertAlign w:val="baseline"/>
                <w:lang w:val="en-US" w:eastAsia="zh-CN"/>
              </w:rPr>
              <w:t>本项目厂区-园区-政府建立三级环境风险防控体系，危化品存储区设置围堰等防止发生泄漏</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04" w:type="dxa"/>
            <w:vMerge w:val="continue"/>
            <w:vAlign w:val="center"/>
          </w:tcPr>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用地环境风险防控要求</w:t>
            </w:r>
          </w:p>
          <w:p>
            <w:pPr>
              <w:keepNext w:val="0"/>
              <w:keepLines w:val="0"/>
              <w:widowControl/>
              <w:suppressLineNumbers w:val="0"/>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-化工、电镀等行业企业拆除生产设施设备、构筑物和污染治理设施，要事先制定残留污染物清理和安全处置方案，要严格按照有关规定实施安全处理处置，防范拆除活动污染土壤。</w:t>
            </w:r>
          </w:p>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-工业企业退出用地，须经评估、修复满足相应用地功能后，方可改变用途</w:t>
            </w:r>
          </w:p>
        </w:tc>
        <w:tc>
          <w:tcPr>
            <w:tcW w:w="3285" w:type="dxa"/>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本项目不属于化工行业</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404" w:type="dxa"/>
            <w:vMerge w:val="restart"/>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资源</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开发</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利用</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效率</w:t>
            </w:r>
          </w:p>
          <w:p>
            <w:pPr>
              <w:jc w:val="center"/>
              <w:rPr>
                <w:rFonts w:hint="default" w:ascii="Times New Roman" w:hAnsi="Times New Roman" w:cs="Times New Roman"/>
                <w:color w:val="auto"/>
                <w:sz w:val="21"/>
                <w:szCs w:val="21"/>
                <w:highlight w:val="none"/>
                <w:vertAlign w:val="baseli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水资源利用效率要求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-到 2025 年，万元工业增加值用水量下降到 0.8m</w:t>
            </w:r>
            <w:r>
              <w:rPr>
                <w:rFonts w:hint="default" w:ascii="Times New Roman" w:hAnsi="Times New Roman"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14"/>
                <w:szCs w:val="14"/>
                <w:highlight w:val="none"/>
                <w:vertAlign w:val="superscript"/>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/万元，重复利用率提高到 84%；</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-至 2030 年，万元工业增加值用水量下降到 0.8m</w:t>
            </w:r>
            <w:r>
              <w:rPr>
                <w:rFonts w:hint="default" w:ascii="Times New Roman" w:hAnsi="Times New Roman"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14"/>
                <w:szCs w:val="14"/>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/万元，重复利用率提高到 85%；</w:t>
            </w:r>
          </w:p>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-新、改扩建项目水耗指标满足《四川省省级生态工业园区指标》综合类生态工业园区要求。</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val="0"/>
                <w:color w:val="auto"/>
                <w:sz w:val="21"/>
                <w:highlight w:val="none"/>
                <w:vertAlign w:val="baseline"/>
                <w:lang w:val="en-US" w:eastAsia="zh-CN"/>
              </w:rPr>
              <w:t>本项目仅涉及生活用水，用水均来源于市政管网，不涉及地下水开采</w:t>
            </w:r>
          </w:p>
        </w:tc>
        <w:tc>
          <w:tcPr>
            <w:tcW w:w="1394" w:type="dxa"/>
            <w:vMerge w:val="restart"/>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404" w:type="dxa"/>
            <w:vMerge w:val="continue"/>
            <w:vAlign w:val="center"/>
          </w:tcPr>
          <w:p>
            <w:pPr>
              <w:jc w:val="center"/>
              <w:rPr>
                <w:rFonts w:hint="default" w:ascii="Times New Roman" w:hAnsi="Times New Roman" w:cs="Times New Roman"/>
                <w:color w:val="auto"/>
                <w:highlight w:val="none"/>
              </w:rPr>
            </w:pPr>
          </w:p>
        </w:tc>
        <w:tc>
          <w:tcPr>
            <w:tcW w:w="2745" w:type="dxa"/>
            <w:vAlign w:val="center"/>
          </w:tcPr>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能源利用效率要求</w:t>
            </w:r>
          </w:p>
          <w:p>
            <w:pPr>
              <w:jc w:val="center"/>
              <w:rPr>
                <w:rFonts w:hint="default" w:ascii="Times New Roman" w:hAnsi="Times New Roman" w:cs="Times New Roman"/>
                <w:color w:val="auto"/>
                <w:sz w:val="21"/>
                <w:szCs w:val="21"/>
                <w:highlight w:val="none"/>
                <w:vertAlign w:val="baseline"/>
              </w:rPr>
            </w:pPr>
          </w:p>
        </w:tc>
        <w:tc>
          <w:tcPr>
            <w:tcW w:w="5685" w:type="dxa"/>
            <w:vAlign w:val="center"/>
          </w:tcPr>
          <w:p>
            <w:pPr>
              <w:keepNext w:val="0"/>
              <w:keepLines w:val="0"/>
              <w:widowControl/>
              <w:suppressLineNumbers w:val="0"/>
              <w:jc w:val="left"/>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-新、改扩建项目能耗指标满足《四川省省级生态工业园区指标》综合类生态工业园区要求。</w:t>
            </w:r>
          </w:p>
        </w:tc>
        <w:tc>
          <w:tcPr>
            <w:tcW w:w="3285" w:type="dxa"/>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val="0"/>
                <w:color w:val="auto"/>
                <w:sz w:val="21"/>
                <w:highlight w:val="none"/>
                <w:vertAlign w:val="baseline"/>
                <w:lang w:val="en-US" w:eastAsia="zh-CN"/>
              </w:rPr>
              <w:t>本项目不涉及高污染燃料的使用</w:t>
            </w:r>
          </w:p>
        </w:tc>
        <w:tc>
          <w:tcPr>
            <w:tcW w:w="1394" w:type="dxa"/>
            <w:vMerge w:val="continue"/>
            <w:vAlign w:val="center"/>
          </w:tcPr>
          <w:p>
            <w:pPr>
              <w:jc w:val="center"/>
              <w:rPr>
                <w:rFonts w:hint="default" w:ascii="Times New Roman" w:hAnsi="Times New Roman" w:cs="Times New Roman"/>
                <w:color w:val="auto"/>
                <w:sz w:val="21"/>
                <w:szCs w:val="21"/>
                <w:highlight w:val="none"/>
                <w:vertAlign w:val="baseline"/>
              </w:rPr>
            </w:pPr>
          </w:p>
        </w:tc>
      </w:tr>
    </w:tbl>
    <w:p>
      <w:pPr>
        <w:outlineLvl w:val="9"/>
        <w:rPr>
          <w:rFonts w:hint="eastAsia" w:ascii="Times New Roman" w:eastAsia="宋体"/>
          <w:color w:val="auto"/>
          <w:sz w:val="24"/>
          <w:szCs w:val="24"/>
          <w:highlight w:val="none"/>
        </w:rPr>
      </w:pPr>
      <w:r>
        <w:rPr>
          <w:rFonts w:hint="eastAsia" w:ascii="Times New Roman" w:eastAsia="宋体"/>
          <w:color w:val="auto"/>
          <w:sz w:val="24"/>
          <w:szCs w:val="24"/>
          <w:highlight w:val="none"/>
        </w:rPr>
        <w:t>本项目相关建设内容符合蓬溪上游工业园生态环境准入要求。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color w:val="auto"/>
          <w:sz w:val="24"/>
          <w:szCs w:val="24"/>
          <w:highlight w:val="none"/>
        </w:rPr>
      </w:pPr>
      <w:r>
        <w:rPr>
          <w:rFonts w:hint="eastAsia" w:ascii="Times New Roman" w:eastAsia="宋体"/>
          <w:b/>
          <w:bCs/>
          <w:color w:val="auto"/>
          <w:sz w:val="24"/>
          <w:szCs w:val="24"/>
          <w:highlight w:val="none"/>
        </w:rPr>
        <w:t>综上，本项目建设符合</w:t>
      </w:r>
      <w:r>
        <w:rPr>
          <w:rFonts w:hint="eastAsia" w:ascii="Times New Roman" w:eastAsia="宋体"/>
          <w:b/>
          <w:bCs/>
          <w:color w:val="auto"/>
          <w:sz w:val="24"/>
          <w:szCs w:val="24"/>
          <w:highlight w:val="none"/>
          <w:lang w:eastAsia="zh-CN"/>
        </w:rPr>
        <w:t>“</w:t>
      </w:r>
      <w:r>
        <w:rPr>
          <w:rFonts w:hint="eastAsia" w:ascii="Times New Roman" w:eastAsia="宋体"/>
          <w:b/>
          <w:bCs/>
          <w:color w:val="auto"/>
          <w:sz w:val="24"/>
          <w:szCs w:val="24"/>
          <w:highlight w:val="none"/>
        </w:rPr>
        <w:t>三线一单</w:t>
      </w:r>
      <w:r>
        <w:rPr>
          <w:rFonts w:hint="eastAsia" w:ascii="Times New Roman" w:eastAsia="宋体"/>
          <w:b/>
          <w:bCs/>
          <w:color w:val="auto"/>
          <w:sz w:val="24"/>
          <w:szCs w:val="24"/>
          <w:highlight w:val="none"/>
          <w:lang w:eastAsia="zh-CN"/>
        </w:rPr>
        <w:t>”</w:t>
      </w:r>
      <w:r>
        <w:rPr>
          <w:rFonts w:hint="eastAsia" w:ascii="Times New Roman" w:eastAsia="宋体"/>
          <w:b/>
          <w:bCs/>
          <w:color w:val="auto"/>
          <w:sz w:val="24"/>
          <w:szCs w:val="24"/>
          <w:highlight w:val="none"/>
        </w:rPr>
        <w:t>管控要求。</w:t>
      </w:r>
    </w:p>
    <w:p>
      <w:pPr>
        <w:rPr>
          <w:rFonts w:hint="default" w:ascii="Times New Roman" w:hAnsi="Times New Roman" w:eastAsia="黑体" w:cs="Times New Roman"/>
          <w:color w:val="auto"/>
          <w:sz w:val="30"/>
          <w:highlight w:val="none"/>
        </w:rPr>
      </w:pPr>
      <w:r>
        <w:rPr>
          <w:rFonts w:hint="default" w:ascii="Times New Roman" w:hAnsi="Times New Roman" w:eastAsia="黑体" w:cs="Times New Roman"/>
          <w:color w:val="auto"/>
          <w:sz w:val="30"/>
          <w:highlight w:val="none"/>
        </w:rPr>
        <w:br w:type="page"/>
      </w:r>
    </w:p>
    <w:p>
      <w:pPr>
        <w:spacing w:line="360" w:lineRule="auto"/>
        <w:outlineLvl w:val="9"/>
        <w:rPr>
          <w:rFonts w:hint="default" w:ascii="Times New Roman" w:hAnsi="Times New Roman" w:eastAsia="黑体" w:cs="Times New Roman"/>
          <w:color w:val="auto"/>
          <w:sz w:val="30"/>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8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3" w:hRule="atLeast"/>
        </w:trPr>
        <w:tc>
          <w:tcPr>
            <w:tcW w:w="1104" w:type="dxa"/>
            <w:vAlign w:val="center"/>
          </w:tcPr>
          <w:p>
            <w:pPr>
              <w:pStyle w:val="16"/>
              <w:jc w:val="center"/>
              <w:outlineLvl w:val="0"/>
              <w:rPr>
                <w:rFonts w:hint="default" w:ascii="Times New Roman" w:hAnsi="Times New Roman" w:eastAsia="黑体" w:cs="Times New Roman"/>
                <w:snapToGrid w:val="0"/>
                <w:color w:val="auto"/>
                <w:sz w:val="30"/>
                <w:szCs w:val="30"/>
                <w:highlight w:val="none"/>
                <w:vertAlign w:val="baseline"/>
              </w:rPr>
            </w:pPr>
            <w:r>
              <w:rPr>
                <w:rFonts w:hint="default" w:ascii="Times New Roman" w:hAnsi="Times New Roman" w:cs="Times New Roman"/>
                <w:color w:val="auto"/>
                <w:kern w:val="0"/>
                <w:sz w:val="24"/>
                <w:highlight w:val="none"/>
              </w:rPr>
              <w:t>其他符合性分析</w:t>
            </w:r>
          </w:p>
        </w:tc>
        <w:tc>
          <w:tcPr>
            <w:tcW w:w="7956" w:type="dxa"/>
          </w:tcPr>
          <w:p>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cs="Times New Roman"/>
                <w:b/>
                <w:bCs/>
                <w:color w:val="auto"/>
                <w:sz w:val="24"/>
                <w:highlight w:val="none"/>
                <w:lang w:val="en-US" w:eastAsia="zh-CN"/>
              </w:rPr>
              <w:t>四、</w:t>
            </w:r>
            <w:r>
              <w:rPr>
                <w:rFonts w:hint="default" w:ascii="Times New Roman" w:hAnsi="Times New Roman" w:eastAsia="宋体" w:cs="Times New Roman"/>
                <w:b/>
                <w:bCs/>
                <w:color w:val="auto"/>
                <w:sz w:val="24"/>
                <w:highlight w:val="none"/>
              </w:rPr>
              <w:t>与《四川省、重庆市长江经济带发展负面清单实施细则（试行，2022 年版）（试行）》的符合性分析</w:t>
            </w:r>
          </w:p>
          <w:p>
            <w:pPr>
              <w:adjustRightInd w:val="0"/>
              <w:snapToGrid w:val="0"/>
              <w:spacing w:line="360" w:lineRule="auto"/>
              <w:ind w:firstLine="480" w:firstLineChars="200"/>
              <w:rPr>
                <w:rFonts w:hint="default" w:ascii="Times New Roman" w:hAnsi="Times New Roman"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本项目与《</w:t>
            </w:r>
            <w:r>
              <w:rPr>
                <w:rFonts w:hint="default" w:ascii="Times New Roman" w:hAnsi="Times New Roman" w:eastAsia="宋体" w:cs="Times New Roman"/>
                <w:color w:val="auto"/>
                <w:sz w:val="24"/>
                <w:szCs w:val="24"/>
                <w:highlight w:val="none"/>
              </w:rPr>
              <w:t>四川省、重庆市长江经济带发展负面清单实施细则（试行，2022 年版）</w:t>
            </w:r>
            <w:r>
              <w:rPr>
                <w:rFonts w:hint="default" w:ascii="Times New Roman" w:hAnsi="Times New Roman" w:eastAsia="宋体" w:cs="Times New Roman"/>
                <w:b w:val="0"/>
                <w:bCs w:val="0"/>
                <w:color w:val="auto"/>
                <w:sz w:val="24"/>
                <w:highlight w:val="none"/>
              </w:rPr>
              <w:t>》对照分析如下</w:t>
            </w:r>
            <w:r>
              <w:rPr>
                <w:rFonts w:hint="default" w:ascii="Times New Roman" w:hAnsi="Times New Roman" w:cs="Times New Roman"/>
                <w:b w:val="0"/>
                <w:bCs w:val="0"/>
                <w:color w:val="auto"/>
                <w:sz w:val="24"/>
                <w:highlight w:val="none"/>
                <w:lang w:eastAsia="zh-CN"/>
              </w:rPr>
              <w:t>：</w:t>
            </w:r>
          </w:p>
          <w:p>
            <w:pPr>
              <w:spacing w:line="360" w:lineRule="auto"/>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rPr>
              <w:t>表1-</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rPr>
              <w:t>与《四川省、重庆市长江经济带发展负面清单实施细则（试行，2022 年版）》对照分析一览表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4477"/>
              <w:gridCol w:w="2091"/>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序号</w:t>
                  </w:r>
                </w:p>
              </w:tc>
              <w:tc>
                <w:tcPr>
                  <w:tcW w:w="4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rPr>
                    <w:t>文件要</w:t>
                  </w:r>
                  <w:r>
                    <w:rPr>
                      <w:rFonts w:hint="default" w:ascii="Times New Roman" w:hAnsi="Times New Roman" w:eastAsia="宋体" w:cs="Times New Roman"/>
                      <w:b/>
                      <w:bCs/>
                      <w:color w:val="auto"/>
                      <w:sz w:val="21"/>
                      <w:highlight w:val="none"/>
                      <w:lang w:val="en-US" w:eastAsia="zh-CN"/>
                    </w:rPr>
                    <w:t>求</w:t>
                  </w:r>
                </w:p>
              </w:tc>
              <w:tc>
                <w:tcPr>
                  <w:tcW w:w="22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本项目情况</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5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1</w:t>
                  </w:r>
                </w:p>
              </w:tc>
              <w:tc>
                <w:tcPr>
                  <w:tcW w:w="4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color w:val="auto"/>
                      <w:sz w:val="21"/>
                      <w:szCs w:val="24"/>
                      <w:highlight w:val="none"/>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color w:val="auto"/>
                      <w:sz w:val="21"/>
                      <w:szCs w:val="24"/>
                      <w:highlight w:val="none"/>
                      <w:lang w:val="en-US" w:eastAsia="zh-CN"/>
                    </w:rPr>
                    <w:t>本项目属于</w:t>
                  </w:r>
                  <w:r>
                    <w:rPr>
                      <w:rFonts w:hint="default" w:ascii="Times New Roman" w:hAnsi="Times New Roman" w:eastAsia="宋体" w:cs="Times New Roman"/>
                      <w:color w:val="auto"/>
                      <w:sz w:val="21"/>
                      <w:szCs w:val="24"/>
                      <w:highlight w:val="none"/>
                    </w:rPr>
                    <w:t>《产业结构调整指导目录》中</w:t>
                  </w:r>
                  <w:r>
                    <w:rPr>
                      <w:rFonts w:hint="default" w:ascii="Times New Roman" w:hAnsi="Times New Roman" w:eastAsia="宋体" w:cs="Times New Roman"/>
                      <w:color w:val="auto"/>
                      <w:sz w:val="21"/>
                      <w:szCs w:val="24"/>
                      <w:highlight w:val="none"/>
                      <w:lang w:val="en-US" w:eastAsia="zh-CN"/>
                    </w:rPr>
                    <w:t>允许类</w:t>
                  </w:r>
                  <w:r>
                    <w:rPr>
                      <w:rFonts w:hint="default" w:ascii="Times New Roman" w:hAnsi="Times New Roman" w:eastAsia="宋体" w:cs="Times New Roman"/>
                      <w:color w:val="auto"/>
                      <w:sz w:val="21"/>
                      <w:szCs w:val="24"/>
                      <w:highlight w:val="none"/>
                    </w:rPr>
                    <w:t>项目</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2</w:t>
                  </w:r>
                </w:p>
              </w:tc>
              <w:tc>
                <w:tcPr>
                  <w:tcW w:w="4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color w:val="auto"/>
                      <w:sz w:val="21"/>
                      <w:szCs w:val="24"/>
                      <w:highlight w:val="none"/>
                    </w:rPr>
                    <w:t>第二十四条 禁止新建、扩建不符合国家产能置换要求的严重过剩产能行业的项目。对于不符合国家产能置换要求的严重过剩产能行业，不得以其他任何名义、任何方式备案新增产能项目。</w:t>
                  </w:r>
                </w:p>
              </w:tc>
              <w:tc>
                <w:tcPr>
                  <w:tcW w:w="22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本项目不属于严重过剩产能行业</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5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cs="Times New Roman"/>
                      <w:b w:val="0"/>
                      <w:bCs w:val="0"/>
                      <w:color w:val="auto"/>
                      <w:sz w:val="21"/>
                      <w:highlight w:val="none"/>
                      <w:lang w:val="en-US" w:eastAsia="zh-CN"/>
                    </w:rPr>
                    <w:t>3</w:t>
                  </w:r>
                </w:p>
              </w:tc>
              <w:tc>
                <w:tcPr>
                  <w:tcW w:w="47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color w:val="auto"/>
                      <w:sz w:val="21"/>
                      <w:szCs w:val="24"/>
                      <w:highlight w:val="none"/>
                    </w:rPr>
                    <w:t>第二十六条 禁止新建、扩建不符合要求的高耗能、高排放、低水平项目。</w:t>
                  </w:r>
                </w:p>
              </w:tc>
              <w:tc>
                <w:tcPr>
                  <w:tcW w:w="22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本项目不属于</w:t>
                  </w:r>
                  <w:r>
                    <w:rPr>
                      <w:rFonts w:hint="default" w:ascii="Times New Roman" w:hAnsi="Times New Roman" w:eastAsia="宋体" w:cs="Times New Roman"/>
                      <w:color w:val="auto"/>
                      <w:sz w:val="21"/>
                      <w:szCs w:val="24"/>
                      <w:highlight w:val="none"/>
                    </w:rPr>
                    <w:t>高耗能、高排放、低水平项目</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符合</w:t>
                  </w:r>
                </w:p>
              </w:tc>
            </w:tr>
          </w:tbl>
          <w:p>
            <w:pPr>
              <w:spacing w:line="360" w:lineRule="auto"/>
              <w:rPr>
                <w:rFonts w:hint="default" w:ascii="Times New Roman" w:hAnsi="Times New Roman" w:eastAsia="宋体" w:cs="Times New Roman"/>
                <w:b/>
                <w:bCs/>
                <w:color w:val="auto"/>
                <w:sz w:val="24"/>
                <w:highlight w:val="none"/>
                <w:lang w:val="en-US"/>
              </w:rPr>
            </w:pPr>
            <w:r>
              <w:rPr>
                <w:rFonts w:hint="default" w:ascii="Times New Roman" w:hAnsi="Times New Roman" w:eastAsia="宋体" w:cs="Times New Roman"/>
                <w:b/>
                <w:bCs/>
                <w:color w:val="auto"/>
                <w:sz w:val="24"/>
                <w:highlight w:val="none"/>
                <w:lang w:val="en-US"/>
              </w:rPr>
              <w:t>五、与相关大气污染防治规划符合性分析</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1、与《中华人民共和国大气污染防治法》的符合性分析</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根据《中华人民共和国大气污染防治法》</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2018年12月29日修订</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 xml:space="preserve"> “第四章 大气污染防治措施/第二节 工业污染防治”相关要求，第四十四条 生产、进口、销售和使用含挥发性有机物的原材料和产品的，其挥发性有机物含量应当符合质量标准或者要求；第四十五条 产生含挥发性有机物废气的生产和服务活动，应当在密闭空间或者设备中进行，并按照规定安装、使用污染防治设施；无法密闭的，应当采取措施减少废气排放。</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本</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kern w:val="0"/>
                <w:sz w:val="24"/>
                <w:szCs w:val="24"/>
                <w:highlight w:val="none"/>
                <w:lang w:val="en-US" w:eastAsia="zh-CN"/>
              </w:rPr>
              <w:t>激光脱皮废气、焊锡废气</w:t>
            </w:r>
            <w:r>
              <w:rPr>
                <w:rFonts w:hint="default" w:ascii="Times New Roman" w:hAnsi="Times New Roman" w:cs="Times New Roman"/>
                <w:b/>
                <w:bCs/>
                <w:color w:val="auto"/>
                <w:kern w:val="0"/>
                <w:sz w:val="24"/>
                <w:szCs w:val="24"/>
                <w:highlight w:val="none"/>
                <w:lang w:val="en-US" w:eastAsia="zh-CN"/>
              </w:rPr>
              <w:t>经</w:t>
            </w:r>
            <w:r>
              <w:rPr>
                <w:rFonts w:hint="default" w:ascii="Times New Roman" w:hAnsi="Times New Roman" w:cs="Times New Roman"/>
                <w:b/>
                <w:bCs/>
                <w:color w:val="auto"/>
                <w:sz w:val="24"/>
                <w:szCs w:val="24"/>
                <w:highlight w:val="none"/>
                <w:lang w:val="en-US" w:eastAsia="zh-CN"/>
              </w:rPr>
              <w:t>集气罩</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过滤棉+二级活性炭吸附装置</w:t>
            </w:r>
            <w:r>
              <w:rPr>
                <w:rFonts w:hint="default" w:ascii="Times New Roman" w:hAnsi="Times New Roman" w:cs="Times New Roman"/>
                <w:b/>
                <w:bCs/>
                <w:color w:val="auto"/>
                <w:sz w:val="24"/>
                <w:szCs w:val="24"/>
                <w:highlight w:val="none"/>
                <w:lang w:eastAsia="zh-CN"/>
              </w:rPr>
              <w:t>”处理后经</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5m排气筒（DA00</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达标</w:t>
            </w:r>
            <w:r>
              <w:rPr>
                <w:rFonts w:hint="default" w:ascii="Times New Roman" w:hAnsi="Times New Roman" w:cs="Times New Roman"/>
                <w:b/>
                <w:bCs/>
                <w:color w:val="auto"/>
                <w:sz w:val="24"/>
                <w:szCs w:val="24"/>
                <w:highlight w:val="none"/>
                <w:lang w:eastAsia="zh-CN"/>
              </w:rPr>
              <w:t>排放</w:t>
            </w:r>
            <w:r>
              <w:rPr>
                <w:rFonts w:hint="default" w:ascii="Times New Roman" w:hAnsi="Times New Roman" w:eastAsia="宋体" w:cs="Times New Roman"/>
                <w:b/>
                <w:bCs/>
                <w:color w:val="auto"/>
                <w:kern w:val="0"/>
                <w:sz w:val="24"/>
                <w:szCs w:val="24"/>
                <w:highlight w:val="none"/>
                <w:lang w:val="en-US" w:eastAsia="zh-CN"/>
              </w:rPr>
              <w:t>、浸漆和</w:t>
            </w:r>
            <w:r>
              <w:rPr>
                <w:rFonts w:hint="default" w:ascii="Times New Roman" w:hAnsi="Times New Roman" w:cs="Times New Roman"/>
                <w:b/>
                <w:bCs/>
                <w:color w:val="auto"/>
                <w:sz w:val="24"/>
                <w:szCs w:val="24"/>
                <w:highlight w:val="none"/>
                <w:lang w:eastAsia="zh-CN"/>
              </w:rPr>
              <w:t>烘干废气经“</w:t>
            </w:r>
            <w:r>
              <w:rPr>
                <w:rFonts w:hint="default" w:ascii="Times New Roman" w:hAnsi="Times New Roman" w:cs="Times New Roman"/>
                <w:b/>
                <w:bCs/>
                <w:color w:val="auto"/>
                <w:kern w:val="0"/>
                <w:sz w:val="24"/>
                <w:szCs w:val="24"/>
                <w:highlight w:val="none"/>
                <w:lang w:val="en-US" w:eastAsia="zh-CN"/>
              </w:rPr>
              <w:t>封闭设备集气管收集</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过滤棉+二级活性炭吸附装置</w:t>
            </w:r>
            <w:r>
              <w:rPr>
                <w:rFonts w:hint="default" w:ascii="Times New Roman" w:hAnsi="Times New Roman" w:cs="Times New Roman"/>
                <w:b/>
                <w:bCs/>
                <w:color w:val="auto"/>
                <w:sz w:val="24"/>
                <w:szCs w:val="24"/>
                <w:highlight w:val="none"/>
                <w:lang w:eastAsia="zh-CN"/>
              </w:rPr>
              <w:t>”处理后经</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5m排气筒（DA00</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达标</w:t>
            </w:r>
            <w:r>
              <w:rPr>
                <w:rFonts w:hint="default" w:ascii="Times New Roman" w:hAnsi="Times New Roman" w:cs="Times New Roman"/>
                <w:b/>
                <w:bCs/>
                <w:color w:val="auto"/>
                <w:sz w:val="24"/>
                <w:szCs w:val="24"/>
                <w:highlight w:val="none"/>
                <w:lang w:eastAsia="zh-CN"/>
              </w:rPr>
              <w:t>排放</w:t>
            </w:r>
            <w:r>
              <w:rPr>
                <w:rFonts w:hint="default" w:ascii="Times New Roman" w:hAnsi="Times New Roman" w:eastAsia="宋体" w:cs="Times New Roman"/>
                <w:b/>
                <w:bCs/>
                <w:color w:val="auto"/>
                <w:sz w:val="24"/>
                <w:szCs w:val="24"/>
                <w:highlight w:val="none"/>
              </w:rPr>
              <w:t>，故</w:t>
            </w:r>
            <w:r>
              <w:rPr>
                <w:rFonts w:hint="default" w:ascii="Times New Roman" w:hAnsi="Times New Roman" w:eastAsia="宋体" w:cs="Times New Roman"/>
                <w:b/>
                <w:bCs/>
                <w:color w:val="auto"/>
                <w:sz w:val="24"/>
                <w:highlight w:val="none"/>
              </w:rPr>
              <w:t>项目的建设符合《中华人民共和国大气污染防治法》</w:t>
            </w:r>
            <w:r>
              <w:rPr>
                <w:rFonts w:hint="default" w:ascii="Times New Roman" w:hAnsi="Times New Roman" w:eastAsia="宋体" w:cs="Times New Roman"/>
                <w:b/>
                <w:bCs/>
                <w:color w:val="auto"/>
                <w:sz w:val="24"/>
                <w:highlight w:val="none"/>
                <w:lang w:val="en-US" w:eastAsia="zh-CN"/>
              </w:rPr>
              <w:t>相关要求</w:t>
            </w:r>
            <w:r>
              <w:rPr>
                <w:rFonts w:hint="default" w:ascii="Times New Roman" w:hAnsi="Times New Roman" w:eastAsia="宋体" w:cs="Times New Roman"/>
                <w:b/>
                <w:bCs/>
                <w:color w:val="auto"/>
                <w:sz w:val="24"/>
                <w:highlight w:val="none"/>
              </w:rPr>
              <w:t>。</w:t>
            </w: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与《四川省打赢蓝天保卫战等九个实施方案的通知（川府发〔2019〕4号）》</w:t>
            </w:r>
            <w:r>
              <w:rPr>
                <w:rFonts w:hint="default" w:ascii="Times New Roman" w:hAnsi="Times New Roman" w:eastAsia="宋体" w:cs="Times New Roman"/>
                <w:b/>
                <w:bCs/>
                <w:color w:val="auto"/>
                <w:sz w:val="24"/>
                <w:highlight w:val="none"/>
                <w:lang w:val="en-US" w:eastAsia="zh-CN"/>
              </w:rPr>
              <w:t>的符合性分析</w:t>
            </w:r>
          </w:p>
          <w:p>
            <w:pPr>
              <w:spacing w:line="360" w:lineRule="auto"/>
              <w:ind w:firstLine="480" w:firstLineChars="200"/>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根据</w:t>
            </w:r>
            <w:r>
              <w:rPr>
                <w:rFonts w:hint="default" w:ascii="Times New Roman" w:hAnsi="Times New Roman" w:eastAsia="宋体" w:cs="Times New Roman"/>
                <w:b w:val="0"/>
                <w:bCs w:val="0"/>
                <w:color w:val="auto"/>
                <w:sz w:val="24"/>
                <w:highlight w:val="none"/>
              </w:rPr>
              <w:t>《四川省打赢蓝天保卫战等九个实施方案的通知（川府发〔2019〕4号）》</w:t>
            </w:r>
            <w:r>
              <w:rPr>
                <w:rFonts w:hint="default" w:ascii="Times New Roman" w:hAnsi="Times New Roman" w:eastAsia="宋体" w:cs="Times New Roman"/>
                <w:b w:val="0"/>
                <w:bCs w:val="0"/>
                <w:color w:val="auto"/>
                <w:sz w:val="24"/>
                <w:highlight w:val="none"/>
                <w:lang w:val="en-US" w:eastAsia="zh-CN"/>
              </w:rPr>
              <w:t>中</w:t>
            </w:r>
            <w:r>
              <w:rPr>
                <w:rFonts w:hint="default" w:ascii="Times New Roman" w:hAnsi="Times New Roman" w:cs="Times New Roman"/>
                <w:b w:val="0"/>
                <w:bCs w:val="0"/>
                <w:color w:val="auto"/>
                <w:sz w:val="24"/>
                <w:highlight w:val="none"/>
                <w:lang w:val="en-US" w:eastAsia="zh-CN"/>
              </w:rPr>
              <w:t>“三、重点任务”相关要求：</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强化挥发性有机物综合治理。严格涉及VOCs排放的建设项目环境准入</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加强源头控制。提高涉及VOCs排放行业环保准入门槛</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新建涉及VOCs排放的工业企业入园区</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实行区域内VOCs排放等量或倍量削减替代。环境空气质量未达标的城市新增VOCs排放的建设项目，实行2倍削减量替代</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达标城市实行等量替代</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攀枝花市实行1.5倍削减量替代。</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新、改、扩建涉及VOCs排放项目，从原辅材料和工艺过程大力推广使用低(无)VOCs含量的涂料、有机溶剂、胶黏剂、油墨等原辅材料</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配套改进生产工艺。</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cs="Times New Roman"/>
                <w:b w:val="0"/>
                <w:bCs w:val="0"/>
                <w:color w:val="auto"/>
                <w:sz w:val="24"/>
                <w:highlight w:val="none"/>
                <w:lang w:val="en-US" w:eastAsia="zh-CN"/>
              </w:rPr>
              <w:t>本项目</w:t>
            </w:r>
            <w:r>
              <w:rPr>
                <w:rFonts w:hint="default" w:ascii="Times New Roman" w:hAnsi="Times New Roman" w:cs="Times New Roman"/>
                <w:bCs/>
                <w:color w:val="auto"/>
                <w:sz w:val="24"/>
                <w:szCs w:val="32"/>
                <w:highlight w:val="none"/>
                <w:lang w:bidi="ar"/>
              </w:rPr>
              <w:t>位于蓬溪县上游工业园，为大气环境功能二类区</w:t>
            </w:r>
            <w:r>
              <w:rPr>
                <w:rFonts w:hint="default" w:ascii="Times New Roman" w:hAnsi="Times New Roman" w:cs="Times New Roman"/>
                <w:b w:val="0"/>
                <w:bCs w:val="0"/>
                <w:color w:val="auto"/>
                <w:sz w:val="24"/>
                <w:highlight w:val="none"/>
                <w:lang w:val="en-US" w:eastAsia="zh-CN"/>
              </w:rPr>
              <w:t>，属于环境空气质量达标区域，</w:t>
            </w:r>
            <w:r>
              <w:rPr>
                <w:rFonts w:hint="default" w:ascii="Times New Roman" w:hAnsi="Times New Roman" w:eastAsia="宋体" w:cs="Times New Roman"/>
                <w:b w:val="0"/>
                <w:bCs w:val="0"/>
                <w:color w:val="auto"/>
                <w:sz w:val="24"/>
                <w:highlight w:val="none"/>
              </w:rPr>
              <w:t>实行区域内VOCs等量替代</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本项目按照绝缘漆与稀释剂（3：1）的配用量达到施工状态后，可知施工状态的VOCs挥发量为429g/L，符合《低挥发性有机化合物含量涂料产品技术要求》（GB/T38597-2020）中限值≤480g/L（注：由于《低挥发性有机化合物含量涂料产品技术要求》（GB/T38597-2020）中没有说明对应本项目的产品类别，故参照工业防护涂料中工程机械和农业机械涂料(含零部件涂料)清漆单组分限值），故</w:t>
            </w:r>
            <w:r>
              <w:rPr>
                <w:rFonts w:hint="default" w:ascii="Times New Roman" w:hAnsi="Times New Roman" w:eastAsia="宋体" w:cs="Times New Roman"/>
                <w:b w:val="0"/>
                <w:bCs w:val="0"/>
                <w:color w:val="auto"/>
                <w:sz w:val="24"/>
                <w:highlight w:val="none"/>
                <w:lang w:val="en-US" w:eastAsia="zh-CN"/>
              </w:rPr>
              <w:t>使用</w:t>
            </w:r>
            <w:r>
              <w:rPr>
                <w:rFonts w:hint="default" w:ascii="Times New Roman" w:hAnsi="Times New Roman" w:cs="Times New Roman"/>
                <w:b w:val="0"/>
                <w:bCs w:val="0"/>
                <w:color w:val="auto"/>
                <w:sz w:val="24"/>
                <w:highlight w:val="none"/>
                <w:lang w:val="en-US" w:eastAsia="zh-CN"/>
              </w:rPr>
              <w:t>的为</w:t>
            </w:r>
            <w:r>
              <w:rPr>
                <w:rFonts w:hint="default" w:ascii="Times New Roman" w:hAnsi="Times New Roman" w:eastAsia="宋体" w:cs="Times New Roman"/>
                <w:b w:val="0"/>
                <w:bCs w:val="0"/>
                <w:color w:val="auto"/>
                <w:sz w:val="24"/>
                <w:highlight w:val="none"/>
              </w:rPr>
              <w:t>低VOCs含量</w:t>
            </w:r>
            <w:r>
              <w:rPr>
                <w:rFonts w:hint="default" w:ascii="Times New Roman" w:hAnsi="Times New Roman" w:eastAsia="宋体" w:cs="Times New Roman"/>
                <w:b w:val="0"/>
                <w:bCs w:val="0"/>
                <w:color w:val="auto"/>
                <w:sz w:val="24"/>
                <w:highlight w:val="none"/>
                <w:lang w:val="en-US" w:eastAsia="zh-CN"/>
              </w:rPr>
              <w:t>的原辅料</w:t>
            </w:r>
            <w:r>
              <w:rPr>
                <w:rFonts w:hint="default" w:ascii="Times New Roman" w:hAnsi="Times New Roman" w:cs="Times New Roman"/>
                <w:b w:val="0"/>
                <w:bCs w:val="0"/>
                <w:color w:val="auto"/>
                <w:sz w:val="24"/>
                <w:highlight w:val="none"/>
                <w:lang w:val="en-US" w:eastAsia="zh-CN"/>
              </w:rPr>
              <w:t>。因此，</w:t>
            </w:r>
            <w:r>
              <w:rPr>
                <w:rFonts w:hint="default" w:ascii="Times New Roman" w:hAnsi="Times New Roman" w:eastAsia="宋体" w:cs="Times New Roman"/>
                <w:b w:val="0"/>
                <w:bCs w:val="0"/>
                <w:color w:val="auto"/>
                <w:sz w:val="24"/>
                <w:highlight w:val="none"/>
              </w:rPr>
              <w:t>本项目符合四川省打赢蓝天保卫战等九个实施方案的通知（川府发〔2019〕4号文件相关要求。</w:t>
            </w: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3、与</w:t>
            </w:r>
            <w:r>
              <w:rPr>
                <w:rFonts w:hint="default" w:ascii="Times New Roman" w:hAnsi="Times New Roman" w:eastAsia="宋体" w:cs="Times New Roman"/>
                <w:b/>
                <w:bCs/>
                <w:color w:val="auto"/>
                <w:sz w:val="24"/>
                <w:highlight w:val="none"/>
                <w:lang w:val="en-US" w:eastAsia="zh-CN"/>
              </w:rPr>
              <w:t>《遂宁市“十四五”生态环境保护规划》遂府函〔2022〕38号</w:t>
            </w:r>
            <w:r>
              <w:rPr>
                <w:rFonts w:hint="default" w:ascii="Times New Roman" w:hAnsi="Times New Roman" w:cs="Times New Roman"/>
                <w:b/>
                <w:bCs/>
                <w:color w:val="auto"/>
                <w:sz w:val="24"/>
                <w:highlight w:val="none"/>
                <w:lang w:val="en-US" w:eastAsia="zh-CN"/>
              </w:rPr>
              <w:t>的符合性分析</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根据《遂宁市“十四五”生态环境保护规划》遂府函〔2022〕38号中“三、强化源头调控，加快推动绿色低碳发展”相关要求：</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严格控制新（改、扩）建高耗能、高排放项目，新建高耗能、高排放项目应按相关要求落实区域削减。</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坚持环境质量“只能更好，不能变坏”底线，严格落实污染物排放总量和产能总量控制刚性要求。</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大力推进重点行业VOCs治理。严格新增VOCs排放建设项目环境准入，更新、优化VOCs和NOx排放清单，制定NOx与VOCs协同减排计划，建立VOCs治理台账，加快推进整改。</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本项目为高频变压器生产项目，不属于“两高”行业、重点行业，本项目排放的</w:t>
            </w:r>
            <w:r>
              <w:rPr>
                <w:rFonts w:hint="default" w:ascii="Times New Roman" w:hAnsi="Times New Roman" w:eastAsia="宋体" w:cs="Times New Roman"/>
                <w:b w:val="0"/>
                <w:bCs w:val="0"/>
                <w:color w:val="auto"/>
                <w:sz w:val="24"/>
                <w:highlight w:val="none"/>
              </w:rPr>
              <w:t>VOCs</w:t>
            </w:r>
            <w:r>
              <w:rPr>
                <w:rFonts w:hint="default" w:ascii="Times New Roman" w:hAnsi="Times New Roman" w:eastAsia="宋体" w:cs="Times New Roman"/>
                <w:b w:val="0"/>
                <w:bCs w:val="0"/>
                <w:color w:val="auto"/>
                <w:sz w:val="24"/>
                <w:highlight w:val="none"/>
                <w:lang w:val="en-US" w:eastAsia="zh-CN"/>
              </w:rPr>
              <w:t>总量为</w:t>
            </w:r>
            <w:r>
              <w:rPr>
                <w:rFonts w:hint="eastAsia" w:cs="Times New Roman"/>
                <w:b w:val="0"/>
                <w:bCs w:val="0"/>
                <w:color w:val="auto"/>
                <w:sz w:val="24"/>
                <w:highlight w:val="none"/>
                <w:lang w:val="en-US" w:eastAsia="zh-CN"/>
              </w:rPr>
              <w:t>0.5246</w:t>
            </w:r>
            <w:r>
              <w:rPr>
                <w:rFonts w:hint="default" w:ascii="Times New Roman" w:hAnsi="Times New Roman" w:cs="Times New Roman"/>
                <w:color w:val="auto"/>
                <w:sz w:val="24"/>
                <w:highlight w:val="none"/>
                <w:shd w:val="clear" w:color="auto" w:fill="auto"/>
                <w:lang w:val="en-US" w:eastAsia="zh-CN"/>
              </w:rPr>
              <w:t>t/a</w:t>
            </w:r>
            <w:r>
              <w:rPr>
                <w:rFonts w:hint="default" w:ascii="Times New Roman" w:hAnsi="Times New Roman" w:eastAsia="宋体" w:cs="Times New Roman"/>
                <w:b w:val="0"/>
                <w:bCs w:val="0"/>
                <w:color w:val="auto"/>
                <w:sz w:val="24"/>
                <w:highlight w:val="none"/>
                <w:lang w:val="en-US" w:eastAsia="zh-CN"/>
              </w:rPr>
              <w:t>，项目产生的激光脱皮废气、焊锡废气经集气罩+过滤棉+二级活性炭吸附装置”处理后经15m排气筒（DA001）达标排放、浸漆和烘干废气经“</w:t>
            </w:r>
            <w:r>
              <w:rPr>
                <w:rFonts w:hint="default" w:ascii="Times New Roman" w:hAnsi="Times New Roman" w:cs="Times New Roman"/>
                <w:b w:val="0"/>
                <w:bCs w:val="0"/>
                <w:color w:val="auto"/>
                <w:sz w:val="24"/>
                <w:highlight w:val="none"/>
                <w:lang w:val="en-US" w:eastAsia="zh-CN"/>
              </w:rPr>
              <w:t>封闭设备集气管收集</w:t>
            </w:r>
            <w:r>
              <w:rPr>
                <w:rFonts w:hint="default" w:ascii="Times New Roman" w:hAnsi="Times New Roman" w:eastAsia="宋体" w:cs="Times New Roman"/>
                <w:b w:val="0"/>
                <w:bCs w:val="0"/>
                <w:color w:val="auto"/>
                <w:sz w:val="24"/>
                <w:highlight w:val="none"/>
                <w:lang w:val="en-US" w:eastAsia="zh-CN"/>
              </w:rPr>
              <w:t>+过滤棉+二级活性炭吸附装置”处理后经15m排气筒（DA001）达标排放</w:t>
            </w:r>
            <w:r>
              <w:rPr>
                <w:rFonts w:hint="default" w:ascii="Times New Roman" w:hAnsi="Times New Roman" w:cs="Times New Roman"/>
                <w:bCs/>
                <w:color w:val="auto"/>
                <w:kern w:val="0"/>
                <w:sz w:val="24"/>
                <w:szCs w:val="24"/>
                <w:highlight w:val="none"/>
                <w:lang w:val="zh-CN"/>
              </w:rPr>
              <w:t>。</w:t>
            </w:r>
            <w:r>
              <w:rPr>
                <w:rFonts w:hint="default" w:ascii="Times New Roman" w:hAnsi="Times New Roman" w:cs="Times New Roman"/>
                <w:bCs/>
                <w:color w:val="auto"/>
                <w:kern w:val="0"/>
                <w:sz w:val="24"/>
                <w:szCs w:val="24"/>
                <w:highlight w:val="none"/>
                <w:lang w:val="en-US" w:eastAsia="zh-CN"/>
              </w:rPr>
              <w:t>因此，本项目符合</w:t>
            </w:r>
            <w:r>
              <w:rPr>
                <w:rFonts w:hint="default" w:ascii="Times New Roman" w:hAnsi="Times New Roman" w:eastAsia="宋体" w:cs="Times New Roman"/>
                <w:b w:val="0"/>
                <w:bCs w:val="0"/>
                <w:color w:val="auto"/>
                <w:sz w:val="24"/>
                <w:highlight w:val="none"/>
                <w:lang w:val="en-US" w:eastAsia="zh-CN"/>
              </w:rPr>
              <w:t>《遂宁市“十四五”生态环境保护规划》遂府函〔2022〕38号中相关要求。</w:t>
            </w: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4、与《重点行业挥发性有机物综合治理方案》（环大气〔2019〕53号）的符合性分析</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根据《重点行业挥发性有机物综合治理方案》（环大气〔2019〕53号）中“三、控制思路与要求”相关要求：</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加强设备与场所密闭管理。含VOCs物料应储存于密闭容器、包装袋，高效密封储罐，封闭式储库、料仓等。含VOCs物料转移和输送，应采用密闭管道或密闭容器、罐车等。</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本项目VOCs物料储存于密闭桶内，转移时直接转移密闭桶；本项目产生的激光脱皮废气、焊锡废气经集气罩+过滤棉+二级活性炭吸附装置”处理后经15m排气筒（DA001）达标排放、浸漆和烘干废气经“</w:t>
            </w:r>
            <w:r>
              <w:rPr>
                <w:rFonts w:hint="default" w:ascii="Times New Roman" w:hAnsi="Times New Roman" w:cs="Times New Roman"/>
                <w:b w:val="0"/>
                <w:bCs w:val="0"/>
                <w:color w:val="auto"/>
                <w:sz w:val="24"/>
                <w:highlight w:val="none"/>
                <w:lang w:val="en-US" w:eastAsia="zh-CN"/>
              </w:rPr>
              <w:t>封闭设备集气管收集</w:t>
            </w:r>
            <w:r>
              <w:rPr>
                <w:rFonts w:hint="default" w:ascii="Times New Roman" w:hAnsi="Times New Roman" w:eastAsia="宋体" w:cs="Times New Roman"/>
                <w:b w:val="0"/>
                <w:bCs w:val="0"/>
                <w:color w:val="auto"/>
                <w:sz w:val="24"/>
                <w:highlight w:val="none"/>
                <w:lang w:val="en-US" w:eastAsia="zh-CN"/>
              </w:rPr>
              <w:t>+过滤棉+二级活性炭吸附装置”处理后经15m排气筒（DA001）达标排放。因此，本项目</w:t>
            </w:r>
            <w:r>
              <w:rPr>
                <w:rFonts w:hint="default" w:ascii="Times New Roman" w:hAnsi="Times New Roman" w:cs="Times New Roman"/>
                <w:bCs/>
                <w:color w:val="auto"/>
                <w:kern w:val="0"/>
                <w:sz w:val="24"/>
                <w:szCs w:val="24"/>
                <w:highlight w:val="none"/>
                <w:lang w:val="en-US" w:eastAsia="zh-CN"/>
              </w:rPr>
              <w:t>符合</w:t>
            </w:r>
            <w:r>
              <w:rPr>
                <w:rFonts w:hint="default" w:ascii="Times New Roman" w:hAnsi="Times New Roman" w:eastAsia="宋体" w:cs="Times New Roman"/>
                <w:b w:val="0"/>
                <w:bCs w:val="0"/>
                <w:color w:val="auto"/>
                <w:sz w:val="24"/>
                <w:highlight w:val="none"/>
                <w:lang w:val="en-US" w:eastAsia="zh-CN"/>
              </w:rPr>
              <w:t>《重点行业挥发性有机物综合治理方案》（环大气〔2019〕53号）中相关要求。</w:t>
            </w: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5、与《关于加快解决当前挥发性有机物治理突出问题的通知》（环大气〔2021〕65号）的符合性分析</w:t>
            </w:r>
          </w:p>
          <w:p>
            <w:pPr>
              <w:spacing w:line="360" w:lineRule="auto"/>
              <w:ind w:firstLine="480"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w:t>
            </w:r>
            <w:r>
              <w:rPr>
                <w:rFonts w:hint="default" w:ascii="Times New Roman" w:hAnsi="Times New Roman" w:cs="Times New Roman"/>
                <w:b w:val="0"/>
                <w:bCs w:val="0"/>
                <w:color w:val="auto"/>
                <w:sz w:val="24"/>
                <w:highlight w:val="none"/>
                <w:lang w:val="en-US" w:eastAsia="zh-CN"/>
              </w:rPr>
              <w:t>《关于加快解决当前挥发性有机物治理突出问题的通知》（环大气〔2021〕65号）中“七、有机废气治理设施”</w:t>
            </w:r>
            <w:r>
              <w:rPr>
                <w:rFonts w:hint="default" w:ascii="Times New Roman" w:hAnsi="Times New Roman" w:eastAsia="宋体" w:cs="Times New Roman"/>
                <w:b w:val="0"/>
                <w:bCs w:val="0"/>
                <w:color w:val="auto"/>
                <w:sz w:val="24"/>
                <w:highlight w:val="none"/>
                <w:lang w:val="en-US" w:eastAsia="zh-CN"/>
              </w:rPr>
              <w:t>相关要求：</w:t>
            </w:r>
          </w:p>
          <w:p>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新建治理设施或对现有治理设施实施改造，应依据排放废气特征、VOCs 组分及浓度、生产工况等，合理选择治理技术；对治理难度大、单一治理工艺难以稳定达标的，宜采用多种技术的组合工艺；除恶臭异味治理外，一般不使用低温等离子、光催化、光氧化等技术。</w:t>
            </w:r>
          </w:p>
          <w:p>
            <w:pPr>
              <w:spacing w:line="360" w:lineRule="auto"/>
              <w:ind w:firstLine="480" w:firstLineChars="200"/>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本项目产生的激光脱皮废气、焊锡废气经集气罩+过滤棉+二级活性炭吸附装置”处理后经15m排气筒（DA001）达标排放、浸漆和烘干废气经“</w:t>
            </w:r>
            <w:r>
              <w:rPr>
                <w:rFonts w:hint="default" w:ascii="Times New Roman" w:hAnsi="Times New Roman" w:cs="Times New Roman"/>
                <w:b w:val="0"/>
                <w:bCs w:val="0"/>
                <w:color w:val="auto"/>
                <w:sz w:val="24"/>
                <w:highlight w:val="none"/>
                <w:lang w:val="en-US" w:eastAsia="zh-CN"/>
              </w:rPr>
              <w:t>封闭设备集气管收集</w:t>
            </w:r>
            <w:r>
              <w:rPr>
                <w:rFonts w:hint="default" w:ascii="Times New Roman" w:hAnsi="Times New Roman" w:eastAsia="宋体" w:cs="Times New Roman"/>
                <w:b w:val="0"/>
                <w:bCs w:val="0"/>
                <w:color w:val="auto"/>
                <w:sz w:val="24"/>
                <w:highlight w:val="none"/>
                <w:lang w:val="en-US" w:eastAsia="zh-CN"/>
              </w:rPr>
              <w:t>+过滤棉+二级活性炭吸附装置”处理后经15m排气筒（DA001）达标排放。因此，本项目</w:t>
            </w:r>
            <w:r>
              <w:rPr>
                <w:rFonts w:hint="default" w:ascii="Times New Roman" w:hAnsi="Times New Roman" w:cs="Times New Roman"/>
                <w:bCs/>
                <w:color w:val="auto"/>
                <w:kern w:val="0"/>
                <w:sz w:val="24"/>
                <w:szCs w:val="24"/>
                <w:highlight w:val="none"/>
                <w:lang w:val="en-US" w:eastAsia="zh-CN"/>
              </w:rPr>
              <w:t>符合</w:t>
            </w:r>
            <w:r>
              <w:rPr>
                <w:rFonts w:hint="default" w:ascii="Times New Roman" w:hAnsi="Times New Roman" w:cs="Times New Roman"/>
                <w:b w:val="0"/>
                <w:bCs w:val="0"/>
                <w:color w:val="auto"/>
                <w:sz w:val="24"/>
                <w:highlight w:val="none"/>
                <w:lang w:val="en-US" w:eastAsia="zh-CN"/>
              </w:rPr>
              <w:t>《关于加快解决当前挥发性有机物治理突出问题的通知》（环大气〔2021〕65号）</w:t>
            </w:r>
            <w:r>
              <w:rPr>
                <w:rFonts w:hint="default" w:ascii="Times New Roman" w:hAnsi="Times New Roman" w:eastAsia="宋体" w:cs="Times New Roman"/>
                <w:b w:val="0"/>
                <w:bCs w:val="0"/>
                <w:color w:val="auto"/>
                <w:sz w:val="24"/>
                <w:highlight w:val="none"/>
                <w:lang w:val="en-US" w:eastAsia="zh-CN"/>
              </w:rPr>
              <w:t>中相关要求。</w:t>
            </w:r>
          </w:p>
          <w:p>
            <w:pPr>
              <w:pStyle w:val="12"/>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综上，本项目与大气污染防治相关规划相符。</w:t>
            </w:r>
          </w:p>
          <w:p>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八、</w:t>
            </w:r>
            <w:r>
              <w:rPr>
                <w:rFonts w:hint="default" w:ascii="Times New Roman" w:hAnsi="Times New Roman" w:cs="Times New Roman"/>
                <w:b/>
                <w:color w:val="auto"/>
                <w:sz w:val="24"/>
                <w:highlight w:val="none"/>
              </w:rPr>
              <w:t>项目外环境相容性分析</w:t>
            </w:r>
          </w:p>
          <w:p>
            <w:pPr>
              <w:autoSpaceDE w:val="0"/>
              <w:autoSpaceDN w:val="0"/>
              <w:adjustRightInd w:val="0"/>
              <w:snapToGrid w:val="0"/>
              <w:spacing w:line="360" w:lineRule="auto"/>
              <w:ind w:firstLine="482"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rPr>
              <w:t>①外环境关系</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本项目位于</w:t>
            </w:r>
            <w:r>
              <w:rPr>
                <w:rFonts w:hint="default" w:ascii="Times New Roman" w:hAnsi="Times New Roman" w:cs="Times New Roman"/>
                <w:color w:val="auto"/>
                <w:sz w:val="24"/>
                <w:highlight w:val="none"/>
              </w:rPr>
              <w:t>蓬溪县赤城镇上游工业园区</w:t>
            </w:r>
            <w:r>
              <w:rPr>
                <w:rFonts w:hint="default" w:ascii="Times New Roman" w:hAnsi="Times New Roman" w:cs="Times New Roman"/>
                <w:color w:val="auto"/>
                <w:kern w:val="0"/>
                <w:sz w:val="24"/>
                <w:highlight w:val="none"/>
              </w:rPr>
              <w:t>，租用蓬溪县门拓建设有限责任公司工业厂房进行生产，租赁</w:t>
            </w:r>
            <w:r>
              <w:rPr>
                <w:rFonts w:hint="default" w:ascii="Times New Roman" w:hAnsi="Times New Roman" w:cs="Times New Roman"/>
                <w:color w:val="auto"/>
                <w:kern w:val="0"/>
                <w:sz w:val="24"/>
                <w:highlight w:val="none"/>
                <w:lang w:val="en-US" w:eastAsia="zh-CN"/>
              </w:rPr>
              <w:t>厂房</w:t>
            </w:r>
            <w:r>
              <w:rPr>
                <w:rFonts w:hint="default" w:ascii="Times New Roman" w:hAnsi="Times New Roman" w:cs="Times New Roman"/>
                <w:color w:val="auto"/>
                <w:kern w:val="0"/>
                <w:sz w:val="24"/>
                <w:highlight w:val="none"/>
              </w:rPr>
              <w:t>面积约1146.46m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。项目周边主要分布</w:t>
            </w:r>
            <w:r>
              <w:rPr>
                <w:rFonts w:hint="default" w:ascii="Times New Roman" w:hAnsi="Times New Roman" w:cs="Times New Roman"/>
                <w:color w:val="auto"/>
                <w:kern w:val="0"/>
                <w:sz w:val="24"/>
                <w:highlight w:val="none"/>
                <w:lang w:val="en-US" w:eastAsia="zh-CN"/>
              </w:rPr>
              <w:t>为工业</w:t>
            </w:r>
            <w:r>
              <w:rPr>
                <w:rFonts w:hint="default" w:ascii="Times New Roman" w:hAnsi="Times New Roman" w:cs="Times New Roman"/>
                <w:color w:val="auto"/>
                <w:kern w:val="0"/>
                <w:sz w:val="24"/>
                <w:highlight w:val="none"/>
              </w:rPr>
              <w:t>企业，拟建项目外环境概况见下表。</w:t>
            </w:r>
          </w:p>
          <w:p>
            <w:pPr>
              <w:jc w:val="center"/>
              <w:rPr>
                <w:rFonts w:hint="default" w:ascii="Times New Roman" w:hAnsi="Times New Roman" w:cs="Times New Roman"/>
                <w:color w:val="auto"/>
                <w:highlight w:val="none"/>
              </w:rPr>
            </w:pPr>
            <w:r>
              <w:rPr>
                <w:rFonts w:hint="default" w:ascii="Times New Roman" w:hAnsi="Times New Roman" w:cs="Times New Roman"/>
                <w:b/>
                <w:bCs/>
                <w:color w:val="auto"/>
                <w:szCs w:val="21"/>
                <w:highlight w:val="none"/>
              </w:rPr>
              <w:t>表1-5  项目外环境关系一览表</w:t>
            </w:r>
          </w:p>
          <w:tbl>
            <w:tblPr>
              <w:tblStyle w:val="19"/>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autofit"/>
              <w:tblCellMar>
                <w:top w:w="0" w:type="dxa"/>
                <w:left w:w="0" w:type="dxa"/>
                <w:bottom w:w="0" w:type="dxa"/>
                <w:right w:w="0" w:type="dxa"/>
              </w:tblCellMar>
            </w:tblPr>
            <w:tblGrid>
              <w:gridCol w:w="2975"/>
              <w:gridCol w:w="577"/>
              <w:gridCol w:w="878"/>
              <w:gridCol w:w="1011"/>
              <w:gridCol w:w="2400"/>
            </w:tblGrid>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名称</w:t>
                  </w:r>
                </w:p>
              </w:tc>
              <w:tc>
                <w:tcPr>
                  <w:tcW w:w="577"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位置</w:t>
                  </w:r>
                </w:p>
              </w:tc>
              <w:tc>
                <w:tcPr>
                  <w:tcW w:w="878"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距离/m</w:t>
                  </w:r>
                </w:p>
              </w:tc>
              <w:tc>
                <w:tcPr>
                  <w:tcW w:w="1011"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性质</w:t>
                  </w:r>
                </w:p>
              </w:tc>
              <w:tc>
                <w:tcPr>
                  <w:tcW w:w="2400"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四川百皇门业有限公司</w:t>
                  </w:r>
                </w:p>
              </w:tc>
              <w:tc>
                <w:tcPr>
                  <w:tcW w:w="577" w:type="dxa"/>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西北</w:t>
                  </w: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284</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四川巧匠木业有限公司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230</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遂宁创宏新材料有限公司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159</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石墨碳素制品</w:t>
                  </w:r>
                  <w:r>
                    <w:rPr>
                      <w:rFonts w:hint="default" w:ascii="Times New Roman" w:hAnsi="Times New Roman" w:cs="Times New Roman"/>
                      <w:color w:val="auto"/>
                      <w:szCs w:val="21"/>
                      <w:highlight w:val="none"/>
                      <w:lang w:eastAsia="zh-CN"/>
                    </w:rPr>
                    <w:t>机</w:t>
                  </w:r>
                  <w:r>
                    <w:rPr>
                      <w:rFonts w:hint="default" w:ascii="Times New Roman" w:hAnsi="Times New Roman" w:cs="Times New Roman"/>
                      <w:color w:val="auto"/>
                      <w:szCs w:val="21"/>
                      <w:highlight w:val="none"/>
                    </w:rPr>
                    <w:t>加工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四川林鑫新材料有限公司</w:t>
                  </w:r>
                </w:p>
              </w:tc>
              <w:tc>
                <w:tcPr>
                  <w:tcW w:w="57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西</w:t>
                  </w:r>
                </w:p>
              </w:tc>
              <w:tc>
                <w:tcPr>
                  <w:tcW w:w="878" w:type="dxa"/>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集成材制造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遂宁市洁爽洗涤服务有限公司</w:t>
                  </w:r>
                </w:p>
              </w:tc>
              <w:tc>
                <w:tcPr>
                  <w:tcW w:w="577"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东</w:t>
                  </w:r>
                  <w:r>
                    <w:rPr>
                      <w:rFonts w:hint="default" w:ascii="Times New Roman" w:hAnsi="Times New Roman" w:cs="Times New Roman"/>
                      <w:color w:val="auto"/>
                      <w:szCs w:val="21"/>
                      <w:highlight w:val="none"/>
                    </w:rPr>
                    <w:t>北</w:t>
                  </w:r>
                </w:p>
              </w:tc>
              <w:tc>
                <w:tcPr>
                  <w:tcW w:w="878" w:type="dxa"/>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392</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洗涤服务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柏拉图</w:t>
                  </w:r>
                  <w:r>
                    <w:rPr>
                      <w:rFonts w:hint="default" w:ascii="Times New Roman" w:hAnsi="Times New Roman" w:cs="Times New Roman"/>
                      <w:bCs/>
                      <w:color w:val="auto"/>
                      <w:szCs w:val="21"/>
                      <w:highlight w:val="none"/>
                      <w:lang w:val="en-US" w:eastAsia="zh-CN"/>
                    </w:rPr>
                    <w:t>木业有限公司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295</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精驰门业</w:t>
                  </w:r>
                  <w:r>
                    <w:rPr>
                      <w:rFonts w:hint="default" w:ascii="Times New Roman" w:hAnsi="Times New Roman" w:cs="Times New Roman"/>
                      <w:bCs/>
                      <w:color w:val="auto"/>
                      <w:szCs w:val="21"/>
                      <w:highlight w:val="none"/>
                      <w:lang w:val="en-US" w:eastAsia="zh-CN"/>
                    </w:rPr>
                    <w:t>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196</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四川</w:t>
                  </w:r>
                  <w:r>
                    <w:rPr>
                      <w:rFonts w:hint="default" w:ascii="Times New Roman" w:hAnsi="Times New Roman" w:cs="Times New Roman"/>
                      <w:bCs/>
                      <w:color w:val="auto"/>
                      <w:szCs w:val="21"/>
                      <w:highlight w:val="none"/>
                      <w:lang w:eastAsia="zh-CN"/>
                    </w:rPr>
                    <w:t>人从</w:t>
                  </w:r>
                  <w:r>
                    <w:rPr>
                      <w:rFonts w:hint="default" w:ascii="Times New Roman" w:hAnsi="Times New Roman" w:cs="Times New Roman"/>
                      <w:bCs/>
                      <w:color w:val="auto"/>
                      <w:szCs w:val="21"/>
                      <w:highlight w:val="none"/>
                      <w:lang w:val="en-US" w:eastAsia="zh-CN"/>
                    </w:rPr>
                    <w:t>众</w:t>
                  </w:r>
                  <w:r>
                    <w:rPr>
                      <w:rFonts w:hint="default" w:ascii="Times New Roman" w:hAnsi="Times New Roman" w:cs="Times New Roman"/>
                      <w:bCs/>
                      <w:color w:val="auto"/>
                      <w:szCs w:val="21"/>
                      <w:highlight w:val="none"/>
                      <w:lang w:eastAsia="zh-CN"/>
                    </w:rPr>
                    <w:t>食品有限</w:t>
                  </w:r>
                  <w:r>
                    <w:rPr>
                      <w:rFonts w:hint="default" w:ascii="Times New Roman" w:hAnsi="Times New Roman" w:cs="Times New Roman"/>
                      <w:bCs/>
                      <w:color w:val="auto"/>
                      <w:szCs w:val="21"/>
                      <w:highlight w:val="none"/>
                      <w:lang w:val="en-US" w:eastAsia="zh-CN"/>
                    </w:rPr>
                    <w:t>责任</w:t>
                  </w:r>
                  <w:r>
                    <w:rPr>
                      <w:rFonts w:hint="default" w:ascii="Times New Roman" w:hAnsi="Times New Roman" w:cs="Times New Roman"/>
                      <w:bCs/>
                      <w:color w:val="auto"/>
                      <w:szCs w:val="21"/>
                      <w:highlight w:val="none"/>
                      <w:lang w:eastAsia="zh-CN"/>
                    </w:rPr>
                    <w:t>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432</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食品行业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达美门业有限公司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385</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szCs w:val="21"/>
                      <w:highlight w:val="none"/>
                    </w:rPr>
                    <w:t>建源路</w:t>
                  </w:r>
                </w:p>
              </w:tc>
              <w:tc>
                <w:tcPr>
                  <w:tcW w:w="577" w:type="dxa"/>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东</w:t>
                  </w: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101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道路</w:t>
                  </w:r>
                </w:p>
              </w:tc>
              <w:tc>
                <w:tcPr>
                  <w:tcW w:w="2400"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四</w:t>
                  </w:r>
                  <w:r>
                    <w:rPr>
                      <w:rFonts w:hint="default" w:ascii="Times New Roman" w:hAnsi="Times New Roman" w:cs="Times New Roman"/>
                      <w:bCs/>
                      <w:color w:val="auto"/>
                      <w:szCs w:val="21"/>
                      <w:highlight w:val="none"/>
                      <w:lang w:val="en-US" w:eastAsia="zh-CN"/>
                    </w:rPr>
                    <w:t>川</w:t>
                  </w:r>
                  <w:r>
                    <w:rPr>
                      <w:rFonts w:hint="default" w:ascii="Times New Roman" w:hAnsi="Times New Roman" w:cs="Times New Roman"/>
                      <w:bCs/>
                      <w:color w:val="auto"/>
                      <w:szCs w:val="21"/>
                      <w:highlight w:val="none"/>
                    </w:rPr>
                    <w:t>大伟金属制品有限公司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金属制品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蓬溪金太阳门业有限公司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160</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蓬溪林通门业有限公司</w:t>
                  </w:r>
                </w:p>
              </w:tc>
              <w:tc>
                <w:tcPr>
                  <w:tcW w:w="577" w:type="dxa"/>
                  <w:vMerge w:val="continue"/>
                  <w:noWrap w:val="0"/>
                  <w:vAlign w:val="center"/>
                </w:tcPr>
                <w:p>
                  <w:pPr>
                    <w:jc w:val="center"/>
                    <w:rPr>
                      <w:rFonts w:hint="default" w:ascii="Times New Roman" w:hAnsi="Times New Roman" w:cs="Times New Roman"/>
                      <w:color w:val="auto"/>
                      <w:szCs w:val="21"/>
                      <w:highlight w:val="none"/>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273</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四川驰诚门业有限公司</w:t>
                  </w:r>
                </w:p>
              </w:tc>
              <w:tc>
                <w:tcPr>
                  <w:tcW w:w="57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南</w:t>
                  </w: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81</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美立方门业</w:t>
                  </w:r>
                </w:p>
              </w:tc>
              <w:tc>
                <w:tcPr>
                  <w:tcW w:w="577" w:type="dxa"/>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东南</w:t>
                  </w: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61</w:t>
                  </w:r>
                </w:p>
              </w:tc>
              <w:tc>
                <w:tcPr>
                  <w:tcW w:w="101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新新门业</w:t>
                  </w:r>
                </w:p>
              </w:tc>
              <w:tc>
                <w:tcPr>
                  <w:tcW w:w="577"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1011"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嘉威门业</w:t>
                  </w:r>
                </w:p>
              </w:tc>
              <w:tc>
                <w:tcPr>
                  <w:tcW w:w="577"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c>
                <w:tcPr>
                  <w:tcW w:w="87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399</w:t>
                  </w:r>
                </w:p>
              </w:tc>
              <w:tc>
                <w:tcPr>
                  <w:tcW w:w="1011"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工厂</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家具制造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0" w:type="dxa"/>
                  <w:bottom w:w="0" w:type="dxa"/>
                  <w:right w:w="0" w:type="dxa"/>
                </w:tblCellMar>
              </w:tblPrEx>
              <w:trPr>
                <w:cantSplit/>
                <w:trHeight w:val="397" w:hRule="atLeast"/>
                <w:jc w:val="center"/>
              </w:trPr>
              <w:tc>
                <w:tcPr>
                  <w:tcW w:w="2975"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四川省蓬溪县中等职业技术学校（新校区）</w:t>
                  </w:r>
                </w:p>
              </w:tc>
              <w:tc>
                <w:tcPr>
                  <w:tcW w:w="577"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西南</w:t>
                  </w:r>
                </w:p>
              </w:tc>
              <w:tc>
                <w:tcPr>
                  <w:tcW w:w="878" w:type="dxa"/>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258</w:t>
                  </w:r>
                </w:p>
              </w:tc>
              <w:tc>
                <w:tcPr>
                  <w:tcW w:w="101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学校</w:t>
                  </w:r>
                </w:p>
              </w:tc>
              <w:tc>
                <w:tcPr>
                  <w:tcW w:w="240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师生约</w:t>
                  </w:r>
                  <w:r>
                    <w:rPr>
                      <w:rFonts w:hint="default" w:ascii="Times New Roman" w:hAnsi="Times New Roman" w:cs="Times New Roman"/>
                      <w:bCs/>
                      <w:color w:val="auto"/>
                      <w:szCs w:val="21"/>
                      <w:highlight w:val="none"/>
                      <w:lang w:val="en-US" w:eastAsia="zh-CN"/>
                    </w:rPr>
                    <w:t>1600</w:t>
                  </w:r>
                  <w:r>
                    <w:rPr>
                      <w:rFonts w:hint="default" w:ascii="Times New Roman" w:hAnsi="Times New Roman" w:cs="Times New Roman"/>
                      <w:color w:val="auto"/>
                      <w:szCs w:val="21"/>
                      <w:highlight w:val="none"/>
                      <w:lang w:val="en-US" w:eastAsia="zh-CN"/>
                    </w:rPr>
                    <w:t>人</w:t>
                  </w:r>
                </w:p>
              </w:tc>
            </w:tr>
          </w:tbl>
          <w:p>
            <w:pPr>
              <w:keepNext/>
              <w:keepLines/>
              <w:pageBreakBefore w:val="0"/>
              <w:widowControl w:val="0"/>
              <w:kinsoku/>
              <w:wordWrap/>
              <w:overflowPunct/>
              <w:topLinePunct w:val="0"/>
              <w:autoSpaceDE/>
              <w:autoSpaceDN/>
              <w:bidi w:val="0"/>
              <w:adjustRightInd w:val="0"/>
              <w:snapToGrid/>
              <w:spacing w:before="0" w:after="0" w:line="240" w:lineRule="auto"/>
              <w:jc w:val="center"/>
              <w:textAlignment w:val="baseline"/>
              <w:outlineLvl w:val="9"/>
              <w:rPr>
                <w:rFonts w:hint="default" w:ascii="Times New Roman" w:hAnsi="Times New Roman" w:cs="Times New Roman"/>
                <w:b/>
                <w:bCs/>
                <w:color w:val="auto"/>
                <w:kern w:val="0"/>
                <w:sz w:val="24"/>
                <w:highlight w:val="none"/>
              </w:rPr>
            </w:pPr>
            <w:r>
              <w:rPr>
                <w:rFonts w:hint="default" w:ascii="Times New Roman" w:hAnsi="Times New Roman" w:eastAsia="黑体" w:cs="Times New Roman"/>
                <w:color w:val="auto"/>
                <w:highlight w:val="none"/>
                <w:lang w:eastAsia="zh-CN"/>
              </w:rPr>
              <w:drawing>
                <wp:inline distT="0" distB="0" distL="114300" distR="114300">
                  <wp:extent cx="5021580" cy="3539490"/>
                  <wp:effectExtent l="0" t="0" r="7620" b="3810"/>
                  <wp:docPr id="4" name="图片 4" descr="379db2420924f7a950dbf922cecc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9db2420924f7a950dbf922cecc32b"/>
                          <pic:cNvPicPr>
                            <a:picLocks noChangeAspect="1"/>
                          </pic:cNvPicPr>
                        </pic:nvPicPr>
                        <pic:blipFill>
                          <a:blip r:embed="rId12"/>
                          <a:srcRect l="2820" t="4391" r="3467" b="5232"/>
                          <a:stretch>
                            <a:fillRect/>
                          </a:stretch>
                        </pic:blipFill>
                        <pic:spPr>
                          <a:xfrm>
                            <a:off x="0" y="0"/>
                            <a:ext cx="5021580" cy="3539490"/>
                          </a:xfrm>
                          <a:prstGeom prst="rect">
                            <a:avLst/>
                          </a:prstGeom>
                        </pic:spPr>
                      </pic:pic>
                    </a:graphicData>
                  </a:graphic>
                </wp:inline>
              </w:drawing>
            </w:r>
            <w:r>
              <w:rPr>
                <w:rFonts w:hint="default" w:ascii="Times New Roman" w:hAnsi="Times New Roman" w:eastAsia="宋体" w:cs="Times New Roman"/>
                <w:b/>
                <w:bCs/>
                <w:color w:val="auto"/>
                <w:kern w:val="0"/>
                <w:sz w:val="21"/>
                <w:szCs w:val="21"/>
                <w:highlight w:val="none"/>
              </w:rPr>
              <w:t>图1-</w:t>
            </w:r>
            <w:r>
              <w:rPr>
                <w:rFonts w:hint="default" w:ascii="Times New Roman" w:hAnsi="Times New Roman" w:eastAsia="宋体" w:cs="Times New Roman"/>
                <w:b/>
                <w:bCs/>
                <w:color w:val="auto"/>
                <w:kern w:val="0"/>
                <w:sz w:val="21"/>
                <w:szCs w:val="21"/>
                <w:highlight w:val="none"/>
                <w:lang w:val="en-US" w:eastAsia="zh-CN"/>
              </w:rPr>
              <w:t>5</w:t>
            </w:r>
            <w:r>
              <w:rPr>
                <w:rFonts w:hint="default" w:ascii="Times New Roman" w:hAnsi="Times New Roman" w:eastAsia="宋体" w:cs="Times New Roman"/>
                <w:b/>
                <w:bCs/>
                <w:color w:val="auto"/>
                <w:kern w:val="0"/>
                <w:sz w:val="21"/>
                <w:szCs w:val="21"/>
                <w:highlight w:val="none"/>
              </w:rPr>
              <w:t xml:space="preserve">  本项目</w:t>
            </w:r>
            <w:r>
              <w:rPr>
                <w:rFonts w:hint="default" w:ascii="Times New Roman" w:hAnsi="Times New Roman" w:eastAsia="宋体" w:cs="Times New Roman"/>
                <w:b/>
                <w:bCs/>
                <w:color w:val="auto"/>
                <w:kern w:val="0"/>
                <w:sz w:val="21"/>
                <w:szCs w:val="21"/>
                <w:highlight w:val="none"/>
                <w:lang w:val="en-US" w:eastAsia="zh-CN"/>
              </w:rPr>
              <w:t>500m范围内</w:t>
            </w:r>
            <w:r>
              <w:rPr>
                <w:rFonts w:hint="default" w:ascii="Times New Roman" w:hAnsi="Times New Roman" w:eastAsia="宋体" w:cs="Times New Roman"/>
                <w:b/>
                <w:bCs/>
                <w:color w:val="auto"/>
                <w:kern w:val="0"/>
                <w:sz w:val="21"/>
                <w:szCs w:val="21"/>
                <w:highlight w:val="none"/>
              </w:rPr>
              <w:t>外环境关系图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②与外环境的相容性分析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sz w:val="24"/>
                <w:szCs w:val="32"/>
                <w:highlight w:val="none"/>
                <w:lang w:bidi="ar"/>
              </w:rPr>
              <w:t>外环境对本项目的影响：</w:t>
            </w:r>
            <w:r>
              <w:rPr>
                <w:rFonts w:hint="default" w:ascii="Times New Roman" w:hAnsi="Times New Roman" w:cs="Times New Roman"/>
                <w:color w:val="auto"/>
                <w:sz w:val="24"/>
                <w:szCs w:val="32"/>
                <w:highlight w:val="none"/>
                <w:lang w:bidi="ar"/>
              </w:rPr>
              <w:t>本项目</w:t>
            </w:r>
            <w:r>
              <w:rPr>
                <w:rFonts w:hint="default" w:ascii="Times New Roman" w:hAnsi="Times New Roman" w:cs="Times New Roman"/>
                <w:color w:val="auto"/>
                <w:kern w:val="0"/>
                <w:sz w:val="24"/>
                <w:highlight w:val="none"/>
              </w:rPr>
              <w:t>位于</w:t>
            </w:r>
            <w:r>
              <w:rPr>
                <w:rFonts w:hint="default" w:ascii="Times New Roman" w:hAnsi="Times New Roman" w:cs="Times New Roman"/>
                <w:color w:val="auto"/>
                <w:sz w:val="24"/>
                <w:highlight w:val="none"/>
              </w:rPr>
              <w:t>蓬溪县上游工业园</w:t>
            </w:r>
            <w:r>
              <w:rPr>
                <w:rFonts w:hint="default" w:ascii="Times New Roman" w:hAnsi="Times New Roman" w:cs="Times New Roman"/>
                <w:color w:val="auto"/>
                <w:sz w:val="24"/>
                <w:highlight w:val="none"/>
                <w:lang w:val="en-US" w:eastAsia="zh-CN"/>
              </w:rPr>
              <w:t>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kern w:val="0"/>
                <w:sz w:val="24"/>
                <w:highlight w:val="none"/>
              </w:rPr>
              <w:t>属于园区允许的产业，符合园区规划环评要求。本项目用地属于工业用地，所在区域供水、排水、供电、供气及光纤、电缆等基础设施基本建设完毕，可为项目建设提供良好的平台。</w:t>
            </w:r>
            <w:r>
              <w:rPr>
                <w:rFonts w:hint="default" w:ascii="Times New Roman" w:hAnsi="Times New Roman" w:cs="Times New Roman"/>
                <w:color w:val="auto"/>
                <w:sz w:val="24"/>
                <w:szCs w:val="32"/>
                <w:highlight w:val="none"/>
                <w:lang w:bidi="ar"/>
              </w:rPr>
              <w:t>项目周边的企业主要从事木门生产、家具制造、金属制品生产</w:t>
            </w:r>
            <w:r>
              <w:rPr>
                <w:rFonts w:hint="default" w:ascii="Times New Roman" w:hAnsi="Times New Roman" w:cs="Times New Roman"/>
                <w:color w:val="auto"/>
                <w:sz w:val="24"/>
                <w:szCs w:val="32"/>
                <w:highlight w:val="none"/>
                <w:lang w:eastAsia="zh-CN" w:bidi="ar"/>
              </w:rPr>
              <w:t>、</w:t>
            </w:r>
            <w:r>
              <w:rPr>
                <w:rFonts w:hint="default" w:ascii="Times New Roman" w:hAnsi="Times New Roman" w:cs="Times New Roman"/>
                <w:color w:val="auto"/>
                <w:sz w:val="24"/>
                <w:szCs w:val="32"/>
                <w:highlight w:val="none"/>
                <w:lang w:bidi="ar"/>
              </w:rPr>
              <w:t>食品生产，</w:t>
            </w:r>
            <w:r>
              <w:rPr>
                <w:rFonts w:hint="default" w:ascii="Times New Roman" w:hAnsi="Times New Roman" w:cs="Times New Roman"/>
                <w:color w:val="auto"/>
                <w:sz w:val="24"/>
                <w:szCs w:val="32"/>
                <w:highlight w:val="none"/>
                <w:lang w:eastAsia="zh-CN" w:bidi="ar"/>
              </w:rPr>
              <w:t>本项目是高频变压器生产项目，</w:t>
            </w:r>
            <w:r>
              <w:rPr>
                <w:rFonts w:hint="default" w:ascii="Times New Roman" w:hAnsi="Times New Roman" w:cs="Times New Roman"/>
                <w:color w:val="auto"/>
                <w:sz w:val="24"/>
                <w:szCs w:val="32"/>
                <w:highlight w:val="none"/>
                <w:lang w:bidi="ar"/>
              </w:rPr>
              <w:t>因此，周边企业不会对本项目产生影响，外环境</w:t>
            </w:r>
            <w:r>
              <w:rPr>
                <w:rFonts w:hint="default" w:ascii="Times New Roman" w:hAnsi="Times New Roman" w:cs="Times New Roman"/>
                <w:bCs/>
                <w:color w:val="auto"/>
                <w:sz w:val="24"/>
                <w:szCs w:val="32"/>
                <w:highlight w:val="none"/>
                <w:lang w:bidi="ar"/>
              </w:rPr>
              <w:t>与本项目相容。</w:t>
            </w:r>
          </w:p>
          <w:p>
            <w:pPr>
              <w:spacing w:line="360" w:lineRule="auto"/>
              <w:ind w:firstLine="478" w:firstLineChars="200"/>
              <w:outlineLvl w:val="1"/>
              <w:rPr>
                <w:rFonts w:hint="default" w:ascii="Times New Roman" w:hAnsi="Times New Roman" w:cs="Times New Roman"/>
                <w:b/>
                <w:bCs/>
                <w:color w:val="auto"/>
                <w:spacing w:val="-1"/>
                <w:sz w:val="24"/>
                <w:szCs w:val="32"/>
                <w:highlight w:val="none"/>
                <w:lang w:bidi="ar"/>
              </w:rPr>
            </w:pPr>
            <w:r>
              <w:rPr>
                <w:rFonts w:hint="default" w:ascii="Times New Roman" w:hAnsi="Times New Roman" w:cs="Times New Roman"/>
                <w:b/>
                <w:bCs/>
                <w:color w:val="auto"/>
                <w:spacing w:val="-1"/>
                <w:sz w:val="24"/>
                <w:szCs w:val="32"/>
                <w:highlight w:val="none"/>
                <w:lang w:bidi="ar"/>
              </w:rPr>
              <w:t>本项目对外环境的影响：</w:t>
            </w:r>
          </w:p>
          <w:p>
            <w:pPr>
              <w:spacing w:line="360" w:lineRule="auto"/>
              <w:ind w:firstLine="476" w:firstLineChars="200"/>
              <w:outlineLvl w:val="1"/>
              <w:rPr>
                <w:rFonts w:hint="default" w:ascii="Times New Roman" w:hAnsi="Times New Roman" w:cs="Times New Roman"/>
                <w:b w:val="0"/>
                <w:bCs w:val="0"/>
                <w:color w:val="auto"/>
                <w:spacing w:val="-1"/>
                <w:sz w:val="24"/>
                <w:szCs w:val="32"/>
                <w:highlight w:val="none"/>
                <w:lang w:eastAsia="zh-CN" w:bidi="ar"/>
              </w:rPr>
            </w:pPr>
            <w:r>
              <w:rPr>
                <w:rFonts w:hint="default" w:ascii="Times New Roman" w:hAnsi="Times New Roman" w:cs="Times New Roman"/>
                <w:b w:val="0"/>
                <w:bCs w:val="0"/>
                <w:color w:val="auto"/>
                <w:spacing w:val="-1"/>
                <w:sz w:val="24"/>
                <w:szCs w:val="32"/>
                <w:highlight w:val="none"/>
                <w:lang w:bidi="ar"/>
              </w:rPr>
              <w:t>项目周边500m范围内的环境敏感保护目标主要</w:t>
            </w:r>
            <w:r>
              <w:rPr>
                <w:rFonts w:hint="default" w:ascii="Times New Roman" w:hAnsi="Times New Roman" w:cs="Times New Roman"/>
                <w:b w:val="0"/>
                <w:bCs w:val="0"/>
                <w:color w:val="auto"/>
                <w:spacing w:val="-1"/>
                <w:sz w:val="24"/>
                <w:szCs w:val="24"/>
                <w:highlight w:val="none"/>
                <w:lang w:bidi="ar"/>
              </w:rPr>
              <w:t>为：</w:t>
            </w:r>
            <w:r>
              <w:rPr>
                <w:rFonts w:hint="default" w:ascii="Times New Roman" w:hAnsi="Times New Roman" w:cs="Times New Roman"/>
                <w:b w:val="0"/>
                <w:bCs w:val="0"/>
                <w:color w:val="auto"/>
                <w:spacing w:val="-1"/>
                <w:sz w:val="24"/>
                <w:szCs w:val="24"/>
                <w:highlight w:val="none"/>
                <w:lang w:val="en-US" w:eastAsia="zh-CN" w:bidi="ar"/>
              </w:rPr>
              <w:t>西</w:t>
            </w:r>
            <w:r>
              <w:rPr>
                <w:rFonts w:hint="default" w:ascii="Times New Roman" w:hAnsi="Times New Roman" w:cs="Times New Roman"/>
                <w:b w:val="0"/>
                <w:bCs w:val="0"/>
                <w:color w:val="auto"/>
                <w:spacing w:val="-1"/>
                <w:sz w:val="24"/>
                <w:szCs w:val="24"/>
                <w:highlight w:val="none"/>
                <w:lang w:bidi="ar"/>
              </w:rPr>
              <w:t>南侧</w:t>
            </w:r>
            <w:r>
              <w:rPr>
                <w:rFonts w:hint="default" w:ascii="Times New Roman" w:hAnsi="Times New Roman" w:cs="Times New Roman"/>
                <w:b w:val="0"/>
                <w:bCs w:val="0"/>
                <w:color w:val="auto"/>
                <w:spacing w:val="-1"/>
                <w:sz w:val="24"/>
                <w:szCs w:val="24"/>
                <w:highlight w:val="none"/>
                <w:lang w:val="en-US" w:eastAsia="zh-CN" w:bidi="ar"/>
              </w:rPr>
              <w:t>258m的</w:t>
            </w:r>
            <w:r>
              <w:rPr>
                <w:rFonts w:hint="default" w:ascii="Times New Roman" w:hAnsi="Times New Roman" w:cs="Times New Roman"/>
                <w:bCs/>
                <w:color w:val="auto"/>
                <w:sz w:val="24"/>
                <w:szCs w:val="24"/>
                <w:highlight w:val="none"/>
                <w:lang w:val="en-US" w:eastAsia="zh-CN"/>
              </w:rPr>
              <w:t>四川省蓬溪县中等职业技术学校（新校区）（</w:t>
            </w:r>
            <w:r>
              <w:rPr>
                <w:rFonts w:hint="default" w:ascii="Times New Roman" w:hAnsi="Times New Roman" w:cs="Times New Roman"/>
                <w:b w:val="0"/>
                <w:bCs w:val="0"/>
                <w:color w:val="auto"/>
                <w:spacing w:val="-1"/>
                <w:sz w:val="24"/>
                <w:szCs w:val="32"/>
                <w:highlight w:val="none"/>
                <w:lang w:val="en-US" w:eastAsia="zh-CN" w:bidi="ar"/>
              </w:rPr>
              <w:t>师生</w:t>
            </w:r>
            <w:r>
              <w:rPr>
                <w:rFonts w:hint="default" w:ascii="Times New Roman" w:hAnsi="Times New Roman" w:cs="Times New Roman"/>
                <w:b w:val="0"/>
                <w:bCs w:val="0"/>
                <w:color w:val="auto"/>
                <w:spacing w:val="-1"/>
                <w:sz w:val="24"/>
                <w:szCs w:val="32"/>
                <w:highlight w:val="none"/>
                <w:lang w:bidi="ar"/>
              </w:rPr>
              <w:t>约1</w:t>
            </w:r>
            <w:r>
              <w:rPr>
                <w:rFonts w:hint="default" w:ascii="Times New Roman" w:hAnsi="Times New Roman" w:cs="Times New Roman"/>
                <w:b w:val="0"/>
                <w:bCs w:val="0"/>
                <w:color w:val="auto"/>
                <w:spacing w:val="-1"/>
                <w:sz w:val="24"/>
                <w:szCs w:val="32"/>
                <w:highlight w:val="none"/>
                <w:lang w:val="en-US" w:eastAsia="zh-CN" w:bidi="ar"/>
              </w:rPr>
              <w:t>6</w:t>
            </w:r>
            <w:r>
              <w:rPr>
                <w:rFonts w:hint="default" w:ascii="Times New Roman" w:hAnsi="Times New Roman" w:cs="Times New Roman"/>
                <w:b w:val="0"/>
                <w:bCs w:val="0"/>
                <w:color w:val="auto"/>
                <w:spacing w:val="-1"/>
                <w:sz w:val="24"/>
                <w:szCs w:val="32"/>
                <w:highlight w:val="none"/>
                <w:lang w:bidi="ar"/>
              </w:rPr>
              <w:t>00人</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b w:val="0"/>
                <w:bCs w:val="0"/>
                <w:color w:val="auto"/>
                <w:spacing w:val="-1"/>
                <w:sz w:val="24"/>
                <w:szCs w:val="32"/>
                <w:highlight w:val="none"/>
                <w:lang w:eastAsia="zh-CN" w:bidi="ar"/>
              </w:rPr>
              <w:t>。</w:t>
            </w:r>
          </w:p>
          <w:p>
            <w:pPr>
              <w:spacing w:line="360" w:lineRule="auto"/>
              <w:ind w:firstLine="476" w:firstLineChars="200"/>
              <w:outlineLvl w:val="1"/>
              <w:rPr>
                <w:rFonts w:hint="default" w:ascii="Times New Roman" w:hAnsi="Times New Roman" w:cs="Times New Roman"/>
                <w:color w:val="auto"/>
                <w:sz w:val="24"/>
                <w:szCs w:val="32"/>
                <w:highlight w:val="none"/>
                <w:lang w:bidi="ar"/>
              </w:rPr>
            </w:pPr>
            <w:r>
              <w:rPr>
                <w:rFonts w:hint="default" w:ascii="Times New Roman" w:hAnsi="Times New Roman" w:cs="Times New Roman"/>
                <w:b w:val="0"/>
                <w:bCs w:val="0"/>
                <w:color w:val="auto"/>
                <w:spacing w:val="-1"/>
                <w:sz w:val="24"/>
                <w:szCs w:val="32"/>
                <w:highlight w:val="none"/>
                <w:lang w:bidi="ar"/>
              </w:rPr>
              <w:t>本项目周边</w:t>
            </w:r>
            <w:r>
              <w:rPr>
                <w:rFonts w:hint="default" w:ascii="Times New Roman" w:hAnsi="Times New Roman" w:cs="Times New Roman"/>
                <w:b w:val="0"/>
                <w:bCs w:val="0"/>
                <w:color w:val="auto"/>
                <w:spacing w:val="-1"/>
                <w:sz w:val="24"/>
                <w:szCs w:val="32"/>
                <w:highlight w:val="none"/>
                <w:lang w:val="en-US" w:eastAsia="zh-CN" w:bidi="ar"/>
              </w:rPr>
              <w:t>有一家</w:t>
            </w:r>
            <w:r>
              <w:rPr>
                <w:rFonts w:hint="default" w:ascii="Times New Roman" w:hAnsi="Times New Roman" w:cs="Times New Roman"/>
                <w:b w:val="0"/>
                <w:bCs w:val="0"/>
                <w:color w:val="auto"/>
                <w:spacing w:val="-1"/>
                <w:sz w:val="24"/>
                <w:szCs w:val="32"/>
                <w:highlight w:val="none"/>
                <w:lang w:bidi="ar"/>
              </w:rPr>
              <w:t>企业涉及从</w:t>
            </w:r>
            <w:r>
              <w:rPr>
                <w:rFonts w:hint="default" w:ascii="Times New Roman" w:hAnsi="Times New Roman" w:cs="Times New Roman"/>
                <w:b w:val="0"/>
                <w:bCs w:val="0"/>
                <w:color w:val="auto"/>
                <w:spacing w:val="-1"/>
                <w:sz w:val="24"/>
                <w:szCs w:val="24"/>
                <w:highlight w:val="none"/>
                <w:lang w:bidi="ar"/>
              </w:rPr>
              <w:t>事食品生产，</w:t>
            </w:r>
            <w:r>
              <w:rPr>
                <w:rFonts w:hint="default" w:ascii="Times New Roman" w:hAnsi="Times New Roman" w:cs="Times New Roman"/>
                <w:bCs/>
                <w:color w:val="auto"/>
                <w:sz w:val="24"/>
                <w:szCs w:val="24"/>
                <w:highlight w:val="none"/>
                <w:lang w:val="en-US" w:eastAsia="zh-CN"/>
              </w:rPr>
              <w:t>四川</w:t>
            </w:r>
            <w:r>
              <w:rPr>
                <w:rFonts w:hint="default" w:ascii="Times New Roman" w:hAnsi="Times New Roman" w:cs="Times New Roman"/>
                <w:bCs/>
                <w:color w:val="auto"/>
                <w:sz w:val="24"/>
                <w:szCs w:val="24"/>
                <w:highlight w:val="none"/>
                <w:lang w:eastAsia="zh-CN"/>
              </w:rPr>
              <w:t>人从</w:t>
            </w:r>
            <w:r>
              <w:rPr>
                <w:rFonts w:hint="default" w:ascii="Times New Roman" w:hAnsi="Times New Roman" w:cs="Times New Roman"/>
                <w:bCs/>
                <w:color w:val="auto"/>
                <w:sz w:val="24"/>
                <w:szCs w:val="24"/>
                <w:highlight w:val="none"/>
                <w:lang w:val="en-US" w:eastAsia="zh-CN"/>
              </w:rPr>
              <w:t>众</w:t>
            </w:r>
            <w:r>
              <w:rPr>
                <w:rFonts w:hint="default" w:ascii="Times New Roman" w:hAnsi="Times New Roman" w:cs="Times New Roman"/>
                <w:bCs/>
                <w:color w:val="auto"/>
                <w:sz w:val="24"/>
                <w:szCs w:val="24"/>
                <w:highlight w:val="none"/>
                <w:lang w:eastAsia="zh-CN"/>
              </w:rPr>
              <w:t>食品有限</w:t>
            </w:r>
            <w:r>
              <w:rPr>
                <w:rFonts w:hint="default" w:ascii="Times New Roman" w:hAnsi="Times New Roman" w:cs="Times New Roman"/>
                <w:bCs/>
                <w:color w:val="auto"/>
                <w:sz w:val="24"/>
                <w:szCs w:val="24"/>
                <w:highlight w:val="none"/>
                <w:lang w:val="en-US" w:eastAsia="zh-CN"/>
              </w:rPr>
              <w:t>责任</w:t>
            </w:r>
            <w:r>
              <w:rPr>
                <w:rFonts w:hint="default" w:ascii="Times New Roman" w:hAnsi="Times New Roman" w:cs="Times New Roman"/>
                <w:bCs/>
                <w:color w:val="auto"/>
                <w:sz w:val="24"/>
                <w:szCs w:val="24"/>
                <w:highlight w:val="none"/>
                <w:lang w:eastAsia="zh-CN"/>
              </w:rPr>
              <w:t>公司</w:t>
            </w:r>
            <w:r>
              <w:rPr>
                <w:rFonts w:hint="default" w:ascii="Times New Roman" w:hAnsi="Times New Roman" w:cs="Times New Roman"/>
                <w:b w:val="0"/>
                <w:bCs w:val="0"/>
                <w:color w:val="auto"/>
                <w:spacing w:val="-1"/>
                <w:sz w:val="24"/>
                <w:szCs w:val="24"/>
                <w:highlight w:val="none"/>
                <w:lang w:val="en-US" w:eastAsia="zh-CN" w:bidi="ar"/>
              </w:rPr>
              <w:t>位于本项目东北侧432m</w:t>
            </w:r>
            <w:r>
              <w:rPr>
                <w:rFonts w:hint="default" w:ascii="Times New Roman" w:hAnsi="Times New Roman" w:cs="Times New Roman"/>
                <w:b w:val="0"/>
                <w:bCs w:val="0"/>
                <w:color w:val="auto"/>
                <w:spacing w:val="-1"/>
                <w:sz w:val="24"/>
                <w:szCs w:val="32"/>
                <w:highlight w:val="none"/>
                <w:lang w:val="en-US" w:eastAsia="zh-CN" w:bidi="ar"/>
              </w:rPr>
              <w:t>，本项目为高频变压器生产项目，对</w:t>
            </w:r>
            <w:r>
              <w:rPr>
                <w:rFonts w:hint="default" w:ascii="Times New Roman" w:hAnsi="Times New Roman" w:cs="Times New Roman"/>
                <w:bCs/>
                <w:color w:val="auto"/>
                <w:sz w:val="24"/>
                <w:szCs w:val="24"/>
                <w:highlight w:val="none"/>
                <w:lang w:val="en-US" w:eastAsia="zh-CN"/>
              </w:rPr>
              <w:t>四川</w:t>
            </w:r>
            <w:r>
              <w:rPr>
                <w:rFonts w:hint="default" w:ascii="Times New Roman" w:hAnsi="Times New Roman" w:cs="Times New Roman"/>
                <w:bCs/>
                <w:color w:val="auto"/>
                <w:sz w:val="24"/>
                <w:szCs w:val="24"/>
                <w:highlight w:val="none"/>
                <w:lang w:eastAsia="zh-CN"/>
              </w:rPr>
              <w:t>人从</w:t>
            </w:r>
            <w:r>
              <w:rPr>
                <w:rFonts w:hint="default" w:ascii="Times New Roman" w:hAnsi="Times New Roman" w:cs="Times New Roman"/>
                <w:bCs/>
                <w:color w:val="auto"/>
                <w:sz w:val="24"/>
                <w:szCs w:val="24"/>
                <w:highlight w:val="none"/>
                <w:lang w:val="en-US" w:eastAsia="zh-CN"/>
              </w:rPr>
              <w:t>众</w:t>
            </w:r>
            <w:r>
              <w:rPr>
                <w:rFonts w:hint="default" w:ascii="Times New Roman" w:hAnsi="Times New Roman" w:cs="Times New Roman"/>
                <w:bCs/>
                <w:color w:val="auto"/>
                <w:sz w:val="24"/>
                <w:szCs w:val="24"/>
                <w:highlight w:val="none"/>
                <w:lang w:eastAsia="zh-CN"/>
              </w:rPr>
              <w:t>食品有限</w:t>
            </w:r>
            <w:r>
              <w:rPr>
                <w:rFonts w:hint="default" w:ascii="Times New Roman" w:hAnsi="Times New Roman" w:cs="Times New Roman"/>
                <w:bCs/>
                <w:color w:val="auto"/>
                <w:sz w:val="24"/>
                <w:szCs w:val="24"/>
                <w:highlight w:val="none"/>
                <w:lang w:val="en-US" w:eastAsia="zh-CN"/>
              </w:rPr>
              <w:t>责任</w:t>
            </w:r>
            <w:r>
              <w:rPr>
                <w:rFonts w:hint="default" w:ascii="Times New Roman" w:hAnsi="Times New Roman" w:cs="Times New Roman"/>
                <w:bCs/>
                <w:color w:val="auto"/>
                <w:sz w:val="24"/>
                <w:szCs w:val="24"/>
                <w:highlight w:val="none"/>
                <w:lang w:eastAsia="zh-CN"/>
              </w:rPr>
              <w:t>公司</w:t>
            </w:r>
            <w:r>
              <w:rPr>
                <w:rFonts w:hint="default" w:ascii="Times New Roman" w:hAnsi="Times New Roman" w:cs="Times New Roman"/>
                <w:bCs/>
                <w:color w:val="auto"/>
                <w:sz w:val="24"/>
                <w:szCs w:val="24"/>
                <w:highlight w:val="none"/>
                <w:lang w:val="en-US" w:eastAsia="zh-CN"/>
              </w:rPr>
              <w:t>不会造成明显的</w:t>
            </w:r>
            <w:r>
              <w:rPr>
                <w:rFonts w:hint="default" w:ascii="Times New Roman" w:hAnsi="Times New Roman" w:cs="Times New Roman"/>
                <w:b w:val="0"/>
                <w:bCs w:val="0"/>
                <w:color w:val="auto"/>
                <w:spacing w:val="-1"/>
                <w:sz w:val="24"/>
                <w:szCs w:val="32"/>
                <w:highlight w:val="none"/>
                <w:lang w:val="en-US" w:eastAsia="zh-CN" w:bidi="ar"/>
              </w:rPr>
              <w:t>环境影响，故</w:t>
            </w:r>
            <w:r>
              <w:rPr>
                <w:rFonts w:hint="default" w:ascii="Times New Roman" w:hAnsi="Times New Roman" w:cs="Times New Roman"/>
                <w:color w:val="auto"/>
                <w:spacing w:val="-1"/>
                <w:sz w:val="24"/>
                <w:szCs w:val="32"/>
                <w:highlight w:val="none"/>
                <w:lang w:bidi="ar"/>
              </w:rPr>
              <w:t>本项目选址与周边加工企业不冲突。</w:t>
            </w:r>
          </w:p>
          <w:p>
            <w:pPr>
              <w:spacing w:line="360" w:lineRule="auto"/>
              <w:ind w:firstLine="480" w:firstLineChars="200"/>
              <w:outlineLvl w:val="1"/>
              <w:rPr>
                <w:rFonts w:hint="default" w:ascii="Times New Roman" w:hAnsi="Times New Roman" w:cs="Times New Roman"/>
                <w:color w:val="auto"/>
                <w:spacing w:val="-1"/>
                <w:sz w:val="24"/>
                <w:szCs w:val="32"/>
                <w:highlight w:val="none"/>
              </w:rPr>
            </w:pPr>
            <w:r>
              <w:rPr>
                <w:rFonts w:hint="default" w:ascii="Times New Roman" w:hAnsi="Times New Roman" w:cs="Times New Roman"/>
                <w:color w:val="auto"/>
                <w:sz w:val="24"/>
                <w:szCs w:val="32"/>
                <w:highlight w:val="none"/>
                <w:lang w:bidi="ar"/>
              </w:rPr>
              <w:t>本项目</w:t>
            </w:r>
            <w:r>
              <w:rPr>
                <w:rFonts w:hint="default" w:ascii="Times New Roman" w:hAnsi="Times New Roman" w:cs="Times New Roman"/>
                <w:color w:val="auto"/>
                <w:sz w:val="24"/>
                <w:szCs w:val="32"/>
                <w:highlight w:val="none"/>
                <w:lang w:val="en-US" w:eastAsia="zh-CN" w:bidi="ar"/>
              </w:rPr>
              <w:t>西南侧258m为</w:t>
            </w:r>
            <w:r>
              <w:rPr>
                <w:rFonts w:hint="default" w:ascii="Times New Roman" w:hAnsi="Times New Roman" w:cs="Times New Roman"/>
                <w:bCs/>
                <w:color w:val="auto"/>
                <w:sz w:val="24"/>
                <w:szCs w:val="24"/>
                <w:highlight w:val="none"/>
                <w:lang w:val="en-US" w:eastAsia="zh-CN"/>
              </w:rPr>
              <w:t>四川省蓬溪县中等职业技术学校（新校区）</w:t>
            </w:r>
            <w:r>
              <w:rPr>
                <w:rFonts w:hint="default" w:ascii="Times New Roman" w:hAnsi="Times New Roman" w:cs="Times New Roman"/>
                <w:color w:val="auto"/>
                <w:sz w:val="24"/>
                <w:szCs w:val="32"/>
                <w:highlight w:val="none"/>
                <w:lang w:bidi="ar"/>
              </w:rPr>
              <w:t>，本项目产生的大气污染物主要为</w:t>
            </w:r>
            <w:r>
              <w:rPr>
                <w:rFonts w:hint="default" w:ascii="Times New Roman" w:hAnsi="Times New Roman" w:cs="Times New Roman"/>
                <w:color w:val="auto"/>
                <w:sz w:val="24"/>
                <w:szCs w:val="32"/>
                <w:highlight w:val="none"/>
                <w:lang w:eastAsia="zh-CN" w:bidi="ar"/>
              </w:rPr>
              <w:t>颗粒物、</w:t>
            </w:r>
            <w:r>
              <w:rPr>
                <w:rFonts w:hint="default" w:ascii="Times New Roman" w:hAnsi="Times New Roman" w:cs="Times New Roman"/>
                <w:color w:val="auto"/>
                <w:sz w:val="24"/>
                <w:szCs w:val="32"/>
                <w:highlight w:val="none"/>
                <w:lang w:bidi="ar"/>
              </w:rPr>
              <w:t>锡及其化合物、VOCs以及</w:t>
            </w:r>
            <w:r>
              <w:rPr>
                <w:rFonts w:hint="default" w:ascii="Times New Roman" w:hAnsi="Times New Roman" w:cs="Times New Roman"/>
                <w:color w:val="auto"/>
                <w:sz w:val="24"/>
                <w:szCs w:val="32"/>
                <w:highlight w:val="none"/>
                <w:lang w:eastAsia="zh-CN" w:bidi="ar"/>
              </w:rPr>
              <w:t>二甲苯、</w:t>
            </w:r>
            <w:r>
              <w:rPr>
                <w:rFonts w:hint="default" w:ascii="Times New Roman" w:hAnsi="Times New Roman" w:cs="Times New Roman"/>
                <w:color w:val="auto"/>
                <w:sz w:val="24"/>
                <w:szCs w:val="32"/>
                <w:highlight w:val="none"/>
                <w:lang w:val="en-US" w:eastAsia="zh-CN" w:bidi="ar"/>
              </w:rPr>
              <w:t>异丙醇</w:t>
            </w:r>
            <w:r>
              <w:rPr>
                <w:rFonts w:hint="default" w:ascii="Times New Roman" w:hAnsi="Times New Roman" w:cs="Times New Roman"/>
                <w:color w:val="auto"/>
                <w:sz w:val="24"/>
                <w:szCs w:val="32"/>
                <w:highlight w:val="none"/>
                <w:lang w:bidi="ar"/>
              </w:rPr>
              <w:t>等，项目产生的激光脱皮废气、焊锡废气经集气罩+过滤棉+二级活性炭吸附装置”处理后经15m排气筒（DA001）达标排放、浸漆和烘干废气经“</w:t>
            </w:r>
            <w:r>
              <w:rPr>
                <w:rFonts w:hint="default" w:ascii="Times New Roman" w:hAnsi="Times New Roman" w:cs="Times New Roman"/>
                <w:color w:val="auto"/>
                <w:sz w:val="24"/>
                <w:szCs w:val="32"/>
                <w:highlight w:val="none"/>
                <w:lang w:eastAsia="zh-CN" w:bidi="ar"/>
              </w:rPr>
              <w:t>封闭设备集气管收集</w:t>
            </w:r>
            <w:r>
              <w:rPr>
                <w:rFonts w:hint="default" w:ascii="Times New Roman" w:hAnsi="Times New Roman" w:cs="Times New Roman"/>
                <w:color w:val="auto"/>
                <w:sz w:val="24"/>
                <w:szCs w:val="32"/>
                <w:highlight w:val="none"/>
                <w:lang w:bidi="ar"/>
              </w:rPr>
              <w:t>+过滤棉+二级活性炭吸附装置”处理后经15m排气筒（DA001）达标排放+过滤棉+二级活性炭吸附装置”处理后，经1根15m高排气筒（DA001）达标排放</w:t>
            </w:r>
            <w:r>
              <w:rPr>
                <w:rFonts w:hint="default" w:ascii="Times New Roman" w:hAnsi="Times New Roman" w:cs="Times New Roman"/>
                <w:color w:val="auto"/>
                <w:spacing w:val="-1"/>
                <w:sz w:val="24"/>
                <w:szCs w:val="32"/>
                <w:highlight w:val="none"/>
                <w:lang w:bidi="ar"/>
              </w:rPr>
              <w:t>；本项目</w:t>
            </w:r>
            <w:r>
              <w:rPr>
                <w:rFonts w:hint="default" w:ascii="Times New Roman" w:hAnsi="Times New Roman" w:cs="Times New Roman"/>
                <w:color w:val="auto"/>
                <w:spacing w:val="-1"/>
                <w:sz w:val="24"/>
                <w:szCs w:val="32"/>
                <w:highlight w:val="none"/>
                <w:lang w:eastAsia="zh-CN" w:bidi="ar"/>
              </w:rPr>
              <w:t>不产生生产废水，</w:t>
            </w:r>
            <w:r>
              <w:rPr>
                <w:rFonts w:hint="default" w:ascii="Times New Roman" w:hAnsi="Times New Roman" w:cs="Times New Roman"/>
                <w:color w:val="auto"/>
                <w:spacing w:val="-1"/>
                <w:sz w:val="24"/>
                <w:szCs w:val="32"/>
                <w:highlight w:val="none"/>
                <w:lang w:bidi="ar"/>
              </w:rPr>
              <w:t>生活污水经预处理池处理</w:t>
            </w:r>
            <w:r>
              <w:rPr>
                <w:rFonts w:hint="default" w:ascii="Times New Roman" w:hAnsi="Times New Roman" w:cs="Times New Roman"/>
                <w:color w:val="auto"/>
                <w:spacing w:val="-1"/>
                <w:sz w:val="24"/>
                <w:szCs w:val="32"/>
                <w:highlight w:val="none"/>
                <w:lang w:eastAsia="zh-CN" w:bidi="ar"/>
              </w:rPr>
              <w:t>达标</w:t>
            </w:r>
            <w:r>
              <w:rPr>
                <w:rFonts w:hint="default" w:ascii="Times New Roman" w:hAnsi="Times New Roman" w:cs="Times New Roman"/>
                <w:color w:val="auto"/>
                <w:spacing w:val="-1"/>
                <w:sz w:val="24"/>
                <w:szCs w:val="32"/>
                <w:highlight w:val="none"/>
                <w:lang w:bidi="ar"/>
              </w:rPr>
              <w:t>后</w:t>
            </w:r>
            <w:r>
              <w:rPr>
                <w:rFonts w:hint="default" w:ascii="Times New Roman" w:hAnsi="Times New Roman" w:cs="Times New Roman"/>
                <w:color w:val="auto"/>
                <w:spacing w:val="-1"/>
                <w:sz w:val="24"/>
                <w:szCs w:val="32"/>
                <w:highlight w:val="none"/>
                <w:lang w:eastAsia="zh-CN" w:bidi="ar"/>
              </w:rPr>
              <w:t>排入</w:t>
            </w:r>
            <w:r>
              <w:rPr>
                <w:rFonts w:hint="default" w:ascii="Times New Roman" w:hAnsi="Times New Roman" w:eastAsia="宋体" w:cs="Times New Roman"/>
                <w:color w:val="auto"/>
                <w:sz w:val="24"/>
                <w:highlight w:val="none"/>
                <w:lang w:val="en-US" w:eastAsia="zh-CN"/>
              </w:rPr>
              <w:t>蓬溪县经济开发区废水处理厂</w:t>
            </w:r>
            <w:r>
              <w:rPr>
                <w:rFonts w:hint="default" w:ascii="Times New Roman" w:hAnsi="Times New Roman" w:cs="Times New Roman"/>
                <w:color w:val="auto"/>
                <w:spacing w:val="-1"/>
                <w:sz w:val="24"/>
                <w:szCs w:val="32"/>
                <w:highlight w:val="none"/>
                <w:lang w:bidi="ar"/>
              </w:rPr>
              <w:t>；本项目运营期噪声分别采取隔声、减振等综合降噪措施处理后达标排放；固体废物主要为一般固废和危险废物，一般固废</w:t>
            </w:r>
            <w:r>
              <w:rPr>
                <w:rFonts w:hint="default" w:ascii="Times New Roman" w:hAnsi="Times New Roman" w:cs="Times New Roman"/>
                <w:color w:val="auto"/>
                <w:spacing w:val="-1"/>
                <w:sz w:val="24"/>
                <w:szCs w:val="32"/>
                <w:highlight w:val="none"/>
                <w:lang w:eastAsia="zh-CN" w:bidi="ar"/>
              </w:rPr>
              <w:t>合理化</w:t>
            </w:r>
            <w:r>
              <w:rPr>
                <w:rFonts w:hint="default" w:ascii="Times New Roman" w:hAnsi="Times New Roman" w:cs="Times New Roman"/>
                <w:color w:val="auto"/>
                <w:spacing w:val="-1"/>
                <w:sz w:val="24"/>
                <w:szCs w:val="32"/>
                <w:highlight w:val="none"/>
                <w:lang w:bidi="ar"/>
              </w:rPr>
              <w:t>处理，危险废物分类收集暂存于危废暂存间，交由有相应资质的单位进行处理。因此，通过以上环保措施，本项目产生的污染物均得到有效处理，对项目周边居民产生的不良影响</w:t>
            </w:r>
            <w:r>
              <w:rPr>
                <w:rFonts w:hint="default" w:ascii="Times New Roman" w:hAnsi="Times New Roman" w:cs="Times New Roman"/>
                <w:color w:val="auto"/>
                <w:spacing w:val="-1"/>
                <w:sz w:val="24"/>
                <w:szCs w:val="32"/>
                <w:highlight w:val="none"/>
                <w:lang w:val="en-US" w:eastAsia="zh-CN" w:bidi="ar"/>
              </w:rPr>
              <w:t>较小</w:t>
            </w:r>
            <w:r>
              <w:rPr>
                <w:rFonts w:hint="default" w:ascii="Times New Roman" w:hAnsi="Times New Roman" w:cs="Times New Roman"/>
                <w:color w:val="auto"/>
                <w:spacing w:val="-1"/>
                <w:sz w:val="24"/>
                <w:szCs w:val="32"/>
                <w:highlight w:val="none"/>
                <w:lang w:bidi="ar"/>
              </w:rPr>
              <w:t>。</w:t>
            </w:r>
          </w:p>
          <w:p>
            <w:pPr>
              <w:spacing w:line="360" w:lineRule="auto"/>
              <w:ind w:firstLine="482"/>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位于蓬溪县上游工业园区内，交通便利，与外部市场联系十分顺畅，便于原材料和产品的输送；公用设施条件较好，水、电等基础设施完备；本项目不涉及自然保护区、风景名胜区、世界文化和自然遗产地、饮用水水源保护区、基本农田保护区、重点文物古迹等，沿线无古树名木分布。故本项目外环境无重大环境制约因素，</w:t>
            </w:r>
            <w:r>
              <w:rPr>
                <w:rFonts w:hint="default" w:ascii="Times New Roman" w:hAnsi="Times New Roman" w:cs="Times New Roman"/>
                <w:color w:val="auto"/>
                <w:sz w:val="24"/>
                <w:szCs w:val="24"/>
                <w:highlight w:val="none"/>
                <w:lang w:eastAsia="zh-CN"/>
              </w:rPr>
              <w:t>项目三废经处理后均能达标排放，对周边敏感点影响较小，影响可接受</w:t>
            </w:r>
            <w:r>
              <w:rPr>
                <w:rFonts w:hint="default" w:ascii="Times New Roman" w:hAnsi="Times New Roman" w:cs="Times New Roman"/>
                <w:color w:val="auto"/>
                <w:sz w:val="24"/>
                <w:szCs w:val="24"/>
                <w:highlight w:val="none"/>
              </w:rPr>
              <w:t>，选址合理。</w:t>
            </w:r>
          </w:p>
          <w:p>
            <w:pPr>
              <w:keepNext/>
              <w:spacing w:line="360" w:lineRule="auto"/>
              <w:ind w:firstLine="482" w:firstLineChars="200"/>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4"/>
                <w:highlight w:val="none"/>
              </w:rPr>
              <w:t>综上所述，本项目与外环境相容，选址合理</w:t>
            </w:r>
            <w:r>
              <w:rPr>
                <w:rFonts w:hint="default" w:ascii="Times New Roman" w:hAnsi="Times New Roman" w:cs="Times New Roman"/>
                <w:b/>
                <w:bCs/>
                <w:color w:val="auto"/>
                <w:sz w:val="24"/>
                <w:highlight w:val="none"/>
                <w:lang w:eastAsia="zh-CN"/>
              </w:rPr>
              <w:t>。</w:t>
            </w:r>
          </w:p>
        </w:tc>
      </w:tr>
    </w:tbl>
    <w:p>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pPr>
        <w:pStyle w:val="1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noWrap w:val="0"/>
            <w:vAlign w:val="center"/>
          </w:tcPr>
          <w:p>
            <w:pPr>
              <w:pStyle w:val="16"/>
              <w:adjustRightInd w:val="0"/>
              <w:snapToGrid w:val="0"/>
              <w:spacing w:before="0" w:beforeAutospacing="0" w:after="0" w:afterAutospacing="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建设内容</w:t>
            </w:r>
          </w:p>
        </w:tc>
        <w:tc>
          <w:tcPr>
            <w:tcW w:w="8161" w:type="dxa"/>
            <w:noWrap w:val="0"/>
            <w:vAlign w:val="top"/>
          </w:tcPr>
          <w:p>
            <w:pPr>
              <w:adjustRightInd w:val="0"/>
              <w:snapToGrid w:val="0"/>
              <w:spacing w:line="360" w:lineRule="auto"/>
              <w:rPr>
                <w:rFonts w:hint="default" w:ascii="Times New Roman" w:hAnsi="Times New Roman" w:eastAsia="宋体" w:cs="Times New Roman"/>
                <w:color w:val="auto"/>
                <w:kern w:val="0"/>
                <w:sz w:val="24"/>
                <w:highlight w:val="none"/>
                <w:lang w:eastAsia="zh-CN" w:bidi="ar"/>
              </w:rPr>
            </w:pPr>
            <w:r>
              <w:rPr>
                <w:rFonts w:hint="default" w:ascii="Times New Roman" w:hAnsi="Times New Roman" w:cs="Times New Roman"/>
                <w:b/>
                <w:bCs/>
                <w:color w:val="auto"/>
                <w:sz w:val="24"/>
                <w:highlight w:val="none"/>
              </w:rPr>
              <w:t>一、</w:t>
            </w:r>
            <w:r>
              <w:rPr>
                <w:rFonts w:hint="default" w:ascii="Times New Roman" w:hAnsi="Times New Roman" w:cs="Times New Roman"/>
                <w:b/>
                <w:bCs/>
                <w:color w:val="auto"/>
                <w:sz w:val="24"/>
                <w:highlight w:val="none"/>
                <w:lang w:eastAsia="zh-CN"/>
              </w:rPr>
              <w:t>项目由来</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bookmarkStart w:id="2" w:name="_Hlk877777"/>
            <w:r>
              <w:rPr>
                <w:rFonts w:hint="eastAsia" w:ascii="Times New Roman" w:hAnsi="Times New Roman" w:eastAsia="宋体" w:cs="Times New Roman"/>
                <w:color w:val="auto"/>
                <w:kern w:val="0"/>
                <w:sz w:val="24"/>
                <w:highlight w:val="none"/>
                <w:lang w:val="en-US" w:eastAsia="zh-CN" w:bidi="ar"/>
              </w:rPr>
              <w:t>蓬溪宝林电子有限公司</w:t>
            </w:r>
            <w:r>
              <w:rPr>
                <w:rFonts w:hint="default" w:ascii="Times New Roman" w:hAnsi="Times New Roman" w:eastAsia="宋体" w:cs="Times New Roman"/>
                <w:color w:val="auto"/>
                <w:kern w:val="0"/>
                <w:sz w:val="24"/>
                <w:highlight w:val="none"/>
                <w:lang w:val="en-US" w:eastAsia="zh-CN" w:bidi="ar"/>
              </w:rPr>
              <w:t>成立于</w:t>
            </w:r>
            <w:r>
              <w:rPr>
                <w:rFonts w:hint="eastAsia" w:ascii="Times New Roman" w:hAnsi="Times New Roman" w:eastAsia="宋体" w:cs="Times New Roman"/>
                <w:color w:val="auto"/>
                <w:kern w:val="0"/>
                <w:sz w:val="24"/>
                <w:highlight w:val="none"/>
                <w:lang w:val="en-US" w:eastAsia="zh-CN" w:bidi="ar"/>
              </w:rPr>
              <w:t>2007年6月</w:t>
            </w:r>
            <w:r>
              <w:rPr>
                <w:rFonts w:hint="default" w:ascii="Times New Roman" w:hAnsi="Times New Roman" w:eastAsia="宋体" w:cs="Times New Roman"/>
                <w:color w:val="auto"/>
                <w:kern w:val="0"/>
                <w:sz w:val="24"/>
                <w:highlight w:val="none"/>
                <w:lang w:val="en-US" w:eastAsia="zh-CN" w:bidi="ar"/>
              </w:rPr>
              <w:t>，是一家专门从事变压器、整流器和电感器制造；销售电子元器件；电力电子元器件制造；电子变压器制造的企业。</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随着生活水平的提高，人们对物资的要求也不断提高，比如电感日趋小型化、低损耗、低阻抗以及大功率等。高频变压器是工作频率超过中频（10kHz）的电源变压器，主要用于高频开关电源中作高频开关电源变压器</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高频变压器效率高</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还节省电力资源</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在使用寿命上也比一般的变压器要长许多</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而且它具有节约能源和环境保护的双重社会经济效益。</w:t>
            </w:r>
          </w:p>
          <w:p>
            <w:pPr>
              <w:adjustRightInd w:val="0"/>
              <w:snapToGrid w:val="0"/>
              <w:spacing w:line="360" w:lineRule="auto"/>
              <w:ind w:firstLine="480" w:firstLineChars="20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highlight w:val="none"/>
                <w:lang w:val="en-US" w:eastAsia="zh-CN" w:bidi="ar"/>
              </w:rPr>
              <w:t>因此，蓬溪宝林电子有限公司</w:t>
            </w:r>
            <w:r>
              <w:rPr>
                <w:rFonts w:hint="default" w:ascii="Times New Roman" w:hAnsi="Times New Roman" w:eastAsia="宋体" w:cs="Times New Roman"/>
                <w:color w:val="auto"/>
                <w:kern w:val="0"/>
                <w:sz w:val="24"/>
                <w:highlight w:val="none"/>
                <w:lang w:val="en-US" w:eastAsia="zh-CN" w:bidi="ar"/>
              </w:rPr>
              <w:t>租用蓬溪县门拓建设有限责任公司已</w:t>
            </w:r>
            <w:r>
              <w:rPr>
                <w:rFonts w:hint="eastAsia" w:cs="Times New Roman"/>
                <w:color w:val="auto"/>
                <w:kern w:val="0"/>
                <w:sz w:val="24"/>
                <w:highlight w:val="none"/>
                <w:lang w:val="en-US" w:eastAsia="zh-CN" w:bidi="ar"/>
              </w:rPr>
              <w:t>有</w:t>
            </w:r>
            <w:r>
              <w:rPr>
                <w:rFonts w:hint="default" w:ascii="Times New Roman" w:hAnsi="Times New Roman" w:eastAsia="宋体" w:cs="Times New Roman"/>
                <w:color w:val="auto"/>
                <w:kern w:val="0"/>
                <w:sz w:val="24"/>
                <w:highlight w:val="none"/>
                <w:lang w:val="en-US" w:eastAsia="zh-CN" w:bidi="ar"/>
              </w:rPr>
              <w:t>厂房，</w:t>
            </w:r>
            <w:r>
              <w:rPr>
                <w:rFonts w:hint="eastAsia" w:cs="Times New Roman"/>
                <w:color w:val="auto"/>
                <w:kern w:val="0"/>
                <w:sz w:val="24"/>
                <w:highlight w:val="none"/>
                <w:lang w:val="en-US" w:eastAsia="zh-CN" w:bidi="ar"/>
              </w:rPr>
              <w:t>租赁厂房</w:t>
            </w:r>
            <w:r>
              <w:rPr>
                <w:rFonts w:hint="default" w:ascii="Times New Roman" w:hAnsi="Times New Roman" w:eastAsia="宋体" w:cs="Times New Roman"/>
                <w:color w:val="auto"/>
                <w:kern w:val="0"/>
                <w:sz w:val="24"/>
                <w:highlight w:val="none"/>
                <w:lang w:val="en-US" w:eastAsia="zh-CN" w:bidi="ar"/>
              </w:rPr>
              <w:t>面积约1146.46m</w:t>
            </w:r>
            <w:r>
              <w:rPr>
                <w:rFonts w:hint="default" w:ascii="Times New Roman" w:hAnsi="Times New Roman" w:eastAsia="宋体" w:cs="Times New Roman"/>
                <w:color w:val="auto"/>
                <w:kern w:val="0"/>
                <w:sz w:val="24"/>
                <w:highlight w:val="none"/>
                <w:vertAlign w:val="superscript"/>
                <w:lang w:val="en-US" w:eastAsia="zh-CN" w:bidi="ar"/>
              </w:rPr>
              <w:t>2</w:t>
            </w:r>
            <w:r>
              <w:rPr>
                <w:rFonts w:hint="default" w:ascii="Times New Roman" w:hAnsi="Times New Roman" w:eastAsia="宋体" w:cs="Times New Roman"/>
                <w:color w:val="auto"/>
                <w:kern w:val="0"/>
                <w:sz w:val="24"/>
                <w:highlight w:val="none"/>
                <w:lang w:val="en-US" w:eastAsia="zh-CN" w:bidi="ar"/>
              </w:rPr>
              <w:t>，投资</w:t>
            </w:r>
            <w:r>
              <w:rPr>
                <w:rFonts w:hint="eastAsia" w:cs="Times New Roman"/>
                <w:color w:val="auto"/>
                <w:kern w:val="0"/>
                <w:sz w:val="24"/>
                <w:highlight w:val="none"/>
                <w:lang w:val="en-US" w:eastAsia="zh-CN" w:bidi="ar"/>
              </w:rPr>
              <w:t>50</w:t>
            </w:r>
            <w:r>
              <w:rPr>
                <w:rFonts w:hint="default" w:ascii="Times New Roman" w:hAnsi="Times New Roman" w:eastAsia="宋体" w:cs="Times New Roman"/>
                <w:color w:val="auto"/>
                <w:kern w:val="0"/>
                <w:sz w:val="24"/>
                <w:highlight w:val="none"/>
                <w:lang w:val="en-US" w:eastAsia="zh-CN" w:bidi="ar"/>
              </w:rPr>
              <w:t>万元，</w:t>
            </w:r>
            <w:r>
              <w:rPr>
                <w:rFonts w:hint="eastAsia" w:ascii="Times New Roman" w:hAnsi="Times New Roman" w:eastAsia="宋体" w:cs="Times New Roman"/>
                <w:color w:val="auto"/>
                <w:kern w:val="0"/>
                <w:sz w:val="24"/>
                <w:highlight w:val="none"/>
                <w:lang w:val="en-US" w:eastAsia="zh-CN" w:bidi="ar"/>
              </w:rPr>
              <w:t>开展</w:t>
            </w:r>
            <w:r>
              <w:rPr>
                <w:rFonts w:hint="eastAsia" w:cs="Times New Roman"/>
                <w:color w:val="auto"/>
                <w:kern w:val="0"/>
                <w:sz w:val="24"/>
                <w:highlight w:val="none"/>
                <w:lang w:val="en-US" w:eastAsia="zh-CN" w:bidi="ar"/>
              </w:rPr>
              <w:t>“</w:t>
            </w:r>
            <w:r>
              <w:rPr>
                <w:rFonts w:hint="eastAsia" w:ascii="Times New Roman" w:hAnsi="Times New Roman" w:cs="Times New Roman"/>
                <w:b w:val="0"/>
                <w:bCs/>
                <w:color w:val="auto"/>
                <w:sz w:val="24"/>
                <w:highlight w:val="none"/>
                <w:lang w:eastAsia="zh-CN"/>
              </w:rPr>
              <w:t>年产</w:t>
            </w:r>
            <w:r>
              <w:rPr>
                <w:rFonts w:hint="eastAsia" w:cs="Times New Roman"/>
                <w:b w:val="0"/>
                <w:bCs/>
                <w:color w:val="auto"/>
                <w:sz w:val="24"/>
                <w:highlight w:val="none"/>
                <w:lang w:val="en-US" w:eastAsia="zh-CN"/>
              </w:rPr>
              <w:t>60</w:t>
            </w:r>
            <w:r>
              <w:rPr>
                <w:rFonts w:hint="eastAsia" w:ascii="Times New Roman" w:hAnsi="Times New Roman" w:cs="Times New Roman"/>
                <w:b w:val="0"/>
                <w:bCs/>
                <w:color w:val="auto"/>
                <w:sz w:val="24"/>
                <w:highlight w:val="none"/>
                <w:lang w:val="en-US" w:eastAsia="zh-CN"/>
              </w:rPr>
              <w:t>0万只高频</w:t>
            </w:r>
            <w:r>
              <w:rPr>
                <w:rFonts w:hint="default" w:ascii="Times New Roman" w:hAnsi="Times New Roman" w:cs="Times New Roman"/>
                <w:color w:val="auto"/>
                <w:sz w:val="24"/>
                <w:highlight w:val="none"/>
                <w:lang w:eastAsia="zh-CN"/>
              </w:rPr>
              <w:t>变压器生产项目</w:t>
            </w:r>
            <w:r>
              <w:rPr>
                <w:rFonts w:hint="eastAsia" w:cs="Times New Roman"/>
                <w:color w:val="auto"/>
                <w:sz w:val="24"/>
                <w:highlight w:val="none"/>
                <w:lang w:eastAsia="zh-CN"/>
              </w:rPr>
              <w:t>”</w:t>
            </w:r>
            <w:r>
              <w:rPr>
                <w:rFonts w:hint="eastAsia" w:ascii="Times New Roman" w:hAnsi="Times New Roman" w:eastAsia="宋体" w:cs="Times New Roman"/>
                <w:color w:val="auto"/>
                <w:kern w:val="0"/>
                <w:sz w:val="24"/>
                <w:highlight w:val="none"/>
                <w:lang w:val="en-US" w:eastAsia="zh-CN" w:bidi="ar"/>
              </w:rPr>
              <w:t>。</w:t>
            </w:r>
          </w:p>
          <w:bookmarkEnd w:id="2"/>
          <w:p>
            <w:pPr>
              <w:adjustRightInd w:val="0"/>
              <w:snapToGrid w:val="0"/>
              <w:spacing w:line="360" w:lineRule="auto"/>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二、</w:t>
            </w:r>
            <w:r>
              <w:rPr>
                <w:rFonts w:hint="default" w:ascii="Times New Roman" w:hAnsi="Times New Roman" w:cs="Times New Roman"/>
                <w:b/>
                <w:bCs/>
                <w:color w:val="auto"/>
                <w:sz w:val="24"/>
                <w:highlight w:val="none"/>
              </w:rPr>
              <w:t>项目概况</w:t>
            </w:r>
          </w:p>
          <w:p>
            <w:pPr>
              <w:adjustRightInd w:val="0"/>
              <w:snapToGrid w:val="0"/>
              <w:spacing w:line="360" w:lineRule="auto"/>
              <w:ind w:firstLine="482" w:firstLineChars="200"/>
              <w:jc w:val="left"/>
              <w:rPr>
                <w:rFonts w:hint="default" w:ascii="Times New Roman" w:hAnsi="Times New Roman" w:cs="Times New Roman"/>
                <w:b w:val="0"/>
                <w:bCs/>
                <w:color w:val="auto"/>
                <w:sz w:val="24"/>
                <w:highlight w:val="none"/>
              </w:rPr>
            </w:pPr>
            <w:r>
              <w:rPr>
                <w:rFonts w:hint="default" w:ascii="Times New Roman" w:hAnsi="Times New Roman" w:cs="Times New Roman"/>
                <w:b/>
                <w:bCs w:val="0"/>
                <w:color w:val="auto"/>
                <w:sz w:val="24"/>
                <w:highlight w:val="none"/>
              </w:rPr>
              <w:t>项目名称：</w:t>
            </w:r>
            <w:r>
              <w:rPr>
                <w:rFonts w:hint="default" w:ascii="Times New Roman" w:hAnsi="Times New Roman" w:cs="Times New Roman"/>
                <w:b w:val="0"/>
                <w:bCs/>
                <w:color w:val="auto"/>
                <w:sz w:val="24"/>
                <w:highlight w:val="none"/>
              </w:rPr>
              <w:t>年产</w:t>
            </w:r>
            <w:r>
              <w:rPr>
                <w:rFonts w:hint="eastAsia" w:cs="Times New Roman"/>
                <w:b w:val="0"/>
                <w:bCs/>
                <w:color w:val="auto"/>
                <w:sz w:val="24"/>
                <w:highlight w:val="none"/>
                <w:lang w:val="en-US" w:eastAsia="zh-CN"/>
              </w:rPr>
              <w:t>60</w:t>
            </w:r>
            <w:r>
              <w:rPr>
                <w:rFonts w:hint="default" w:ascii="Times New Roman" w:hAnsi="Times New Roman" w:cs="Times New Roman"/>
                <w:b w:val="0"/>
                <w:bCs/>
                <w:color w:val="auto"/>
                <w:sz w:val="24"/>
                <w:highlight w:val="none"/>
              </w:rPr>
              <w:t>0万只高频变压器生产项目</w:t>
            </w:r>
          </w:p>
          <w:p>
            <w:pPr>
              <w:adjustRightInd w:val="0"/>
              <w:snapToGrid w:val="0"/>
              <w:spacing w:line="360" w:lineRule="auto"/>
              <w:ind w:firstLine="482"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cs="Times New Roman"/>
                <w:b/>
                <w:bCs/>
                <w:color w:val="auto"/>
                <w:sz w:val="24"/>
                <w:highlight w:val="none"/>
              </w:rPr>
              <w:t>建设单位：</w:t>
            </w:r>
            <w:r>
              <w:rPr>
                <w:rFonts w:hint="eastAsia" w:ascii="Times New Roman" w:hAnsi="Times New Roman" w:cs="Times New Roman"/>
                <w:color w:val="auto"/>
                <w:sz w:val="24"/>
                <w:highlight w:val="none"/>
                <w:lang w:eastAsia="zh-CN"/>
              </w:rPr>
              <w:t>蓬溪宝林电子有限公司</w:t>
            </w:r>
          </w:p>
          <w:p>
            <w:pPr>
              <w:adjustRightInd w:val="0"/>
              <w:snapToGrid w:val="0"/>
              <w:spacing w:line="360" w:lineRule="auto"/>
              <w:ind w:firstLine="482" w:firstLineChars="200"/>
              <w:jc w:val="left"/>
              <w:rPr>
                <w:rFonts w:hint="default" w:ascii="Times New Roman" w:hAnsi="Times New Roman" w:cs="Times New Roman"/>
                <w:bCs/>
                <w:color w:val="auto"/>
                <w:sz w:val="24"/>
                <w:highlight w:val="none"/>
              </w:rPr>
            </w:pPr>
            <w:r>
              <w:rPr>
                <w:rFonts w:hint="default" w:ascii="Times New Roman" w:hAnsi="Times New Roman" w:cs="Times New Roman"/>
                <w:b/>
                <w:bCs w:val="0"/>
                <w:color w:val="auto"/>
                <w:sz w:val="24"/>
                <w:highlight w:val="none"/>
              </w:rPr>
              <w:t>建设性质：</w:t>
            </w:r>
            <w:r>
              <w:rPr>
                <w:rFonts w:hint="eastAsia" w:ascii="Times New Roman" w:hAnsi="Times New Roman" w:cs="Times New Roman"/>
                <w:bCs/>
                <w:color w:val="auto"/>
                <w:sz w:val="24"/>
                <w:highlight w:val="none"/>
                <w:lang w:val="en-US" w:eastAsia="zh-CN"/>
              </w:rPr>
              <w:t>新</w:t>
            </w:r>
            <w:r>
              <w:rPr>
                <w:rFonts w:hint="default" w:ascii="Times New Roman" w:hAnsi="Times New Roman" w:cs="Times New Roman"/>
                <w:bCs/>
                <w:color w:val="auto"/>
                <w:sz w:val="24"/>
                <w:highlight w:val="none"/>
              </w:rPr>
              <w:t>建</w:t>
            </w:r>
          </w:p>
          <w:p>
            <w:pPr>
              <w:adjustRightInd w:val="0"/>
              <w:snapToGrid w:val="0"/>
              <w:spacing w:line="360" w:lineRule="auto"/>
              <w:ind w:firstLine="482"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
                <w:bCs w:val="0"/>
                <w:color w:val="auto"/>
                <w:sz w:val="24"/>
                <w:highlight w:val="none"/>
              </w:rPr>
              <w:t>建设地点：</w:t>
            </w:r>
            <w:r>
              <w:rPr>
                <w:rFonts w:hint="default" w:ascii="Times New Roman" w:hAnsi="Times New Roman" w:cs="Times New Roman"/>
                <w:bCs/>
                <w:color w:val="auto"/>
                <w:kern w:val="0"/>
                <w:sz w:val="24"/>
                <w:highlight w:val="none"/>
                <w:lang w:bidi="ar"/>
              </w:rPr>
              <w:t>遂宁市蓬溪县赤城镇上游工业园区</w:t>
            </w:r>
          </w:p>
          <w:p>
            <w:pPr>
              <w:adjustRightInd w:val="0"/>
              <w:snapToGrid w:val="0"/>
              <w:spacing w:line="360" w:lineRule="auto"/>
              <w:rPr>
                <w:rFonts w:hint="default" w:ascii="Times New Roman" w:hAnsi="Times New Roman" w:eastAsia="宋体" w:cs="Times New Roman"/>
                <w:b/>
                <w:color w:val="auto"/>
                <w:sz w:val="24"/>
                <w:highlight w:val="none"/>
                <w:lang w:eastAsia="zh-CN"/>
              </w:rPr>
            </w:pPr>
            <w:r>
              <w:rPr>
                <w:rFonts w:hint="eastAsia" w:cs="Times New Roman"/>
                <w:b/>
                <w:color w:val="auto"/>
                <w:sz w:val="24"/>
                <w:highlight w:val="none"/>
                <w:lang w:val="en-US" w:eastAsia="zh-CN"/>
              </w:rPr>
              <w:t>三</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eastAsia="zh-CN"/>
              </w:rPr>
              <w:t>项目主要产品及产能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val="0"/>
                <w:color w:val="auto"/>
                <w:spacing w:val="0"/>
                <w:position w:val="0"/>
                <w:sz w:val="24"/>
                <w:highlight w:val="none"/>
                <w:lang w:val="en-US" w:eastAsia="zh-CN"/>
              </w:rPr>
            </w:pPr>
            <w:r>
              <w:rPr>
                <w:rFonts w:hint="eastAsia"/>
                <w:b/>
                <w:bCs w:val="0"/>
                <w:color w:val="auto"/>
                <w:spacing w:val="0"/>
                <w:position w:val="0"/>
                <w:sz w:val="24"/>
                <w:highlight w:val="none"/>
                <w:lang w:val="en-US" w:eastAsia="zh-CN"/>
              </w:rPr>
              <w:t>1、建设规模和投资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占地面积：</w:t>
            </w:r>
            <w:r>
              <w:rPr>
                <w:rFonts w:hint="default" w:ascii="Times New Roman" w:hAnsi="Times New Roman" w:eastAsia="宋体" w:cs="Times New Roman"/>
                <w:color w:val="auto"/>
                <w:kern w:val="0"/>
                <w:sz w:val="24"/>
                <w:highlight w:val="none"/>
                <w:lang w:val="en-US" w:eastAsia="zh-CN" w:bidi="ar"/>
              </w:rPr>
              <w:t>1146.46</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项目投资：项目总投资</w:t>
            </w:r>
            <w:r>
              <w:rPr>
                <w:rFonts w:hint="eastAsia" w:cs="Times New Roman"/>
                <w:color w:val="auto"/>
                <w:sz w:val="24"/>
                <w:highlight w:val="none"/>
                <w:lang w:val="en-US" w:eastAsia="zh-CN"/>
              </w:rPr>
              <w:t>50</w:t>
            </w:r>
            <w:r>
              <w:rPr>
                <w:rFonts w:hint="default" w:ascii="Times New Roman" w:hAnsi="Times New Roman" w:eastAsia="宋体" w:cs="Times New Roman"/>
                <w:color w:val="auto"/>
                <w:sz w:val="24"/>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环保投资</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万元</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highlight w:val="none"/>
                <w:lang w:eastAsia="zh-CN"/>
              </w:rPr>
            </w:pPr>
            <w:r>
              <w:rPr>
                <w:rFonts w:hint="default" w:ascii="Times New Roman" w:hAnsi="Times New Roman" w:eastAsia="宋体" w:cs="Times New Roman"/>
                <w:color w:val="auto"/>
                <w:sz w:val="24"/>
                <w:highlight w:val="none"/>
                <w:lang w:eastAsia="zh-CN"/>
              </w:rPr>
              <w:t>劳动定员及生产制度：厂区员工</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eastAsia="zh-CN"/>
              </w:rPr>
              <w:t>人；本项目年工作天数为</w:t>
            </w:r>
            <w:r>
              <w:rPr>
                <w:rFonts w:hint="eastAsia" w:ascii="Times New Roman" w:hAnsi="Times New Roman" w:eastAsia="宋体" w:cs="Times New Roman"/>
                <w:color w:val="auto"/>
                <w:sz w:val="24"/>
                <w:highlight w:val="none"/>
                <w:lang w:val="en-US" w:eastAsia="zh-CN"/>
              </w:rPr>
              <w:t>250</w:t>
            </w:r>
            <w:r>
              <w:rPr>
                <w:rFonts w:hint="default" w:ascii="Times New Roman" w:hAnsi="Times New Roman" w:eastAsia="宋体" w:cs="Times New Roman"/>
                <w:color w:val="auto"/>
                <w:sz w:val="24"/>
                <w:highlight w:val="none"/>
                <w:lang w:eastAsia="zh-CN"/>
              </w:rPr>
              <w:t>天，每天</w:t>
            </w:r>
            <w:r>
              <w:rPr>
                <w:rFonts w:hint="eastAsia" w:ascii="Times New Roman" w:hAnsi="Times New Roman" w:eastAsia="宋体" w:cs="Times New Roman"/>
                <w:color w:val="auto"/>
                <w:sz w:val="24"/>
                <w:highlight w:val="none"/>
                <w:lang w:eastAsia="zh-CN"/>
              </w:rPr>
              <w:t>昼间</w:t>
            </w:r>
            <w:r>
              <w:rPr>
                <w:rFonts w:hint="default" w:ascii="Times New Roman" w:hAnsi="Times New Roman" w:eastAsia="宋体" w:cs="Times New Roman"/>
                <w:color w:val="auto"/>
                <w:sz w:val="24"/>
                <w:highlight w:val="none"/>
                <w:lang w:eastAsia="zh-CN"/>
              </w:rPr>
              <w:t>工作8小时</w:t>
            </w:r>
            <w:r>
              <w:rPr>
                <w:rFonts w:hint="eastAsia" w:ascii="Times New Roman" w:hAnsi="Times New Roman" w:eastAsia="宋体" w:cs="Times New Roman"/>
                <w:color w:val="auto"/>
                <w:sz w:val="24"/>
                <w:highlight w:val="none"/>
                <w:lang w:eastAsia="zh-CN"/>
              </w:rPr>
              <w:t>，夜间不生产</w:t>
            </w:r>
            <w:r>
              <w:rPr>
                <w:rFonts w:hint="default" w:ascii="Times New Roman" w:hAnsi="Times New Roman" w:eastAsia="宋体" w:cs="Times New Roman"/>
                <w:color w:val="auto"/>
                <w:sz w:val="24"/>
                <w:highlight w:val="none"/>
                <w:lang w:eastAsia="zh-CN"/>
              </w:rPr>
              <w:t>。</w:t>
            </w:r>
          </w:p>
          <w:p>
            <w:pPr>
              <w:spacing w:line="360" w:lineRule="auto"/>
              <w:ind w:firstLine="482" w:firstLineChars="200"/>
              <w:rPr>
                <w:rFonts w:hint="default" w:ascii="Times New Roman" w:hAnsi="Times New Roman" w:cs="Times New Roman"/>
                <w:b/>
                <w:bCs w:val="0"/>
                <w:color w:val="auto"/>
                <w:sz w:val="24"/>
                <w:highlight w:val="none"/>
                <w:lang w:val="en-US" w:eastAsia="zh-CN"/>
              </w:rPr>
            </w:pPr>
            <w:r>
              <w:rPr>
                <w:rFonts w:hint="eastAsia" w:ascii="Times New Roman" w:hAnsi="Times New Roman" w:cs="Times New Roman"/>
                <w:b/>
                <w:bCs w:val="0"/>
                <w:color w:val="auto"/>
                <w:sz w:val="24"/>
                <w:highlight w:val="none"/>
                <w:lang w:val="en-US" w:eastAsia="zh-CN"/>
              </w:rPr>
              <w:t>2、产品方案</w:t>
            </w:r>
          </w:p>
          <w:p>
            <w:pPr>
              <w:spacing w:line="360" w:lineRule="auto"/>
              <w:ind w:firstLine="480" w:firstLineChars="200"/>
              <w:rPr>
                <w:rFonts w:hint="default" w:ascii="Times New Roman" w:hAnsi="Times New Roman" w:cs="Times New Roman"/>
                <w:b/>
                <w:bCs/>
                <w:color w:val="auto"/>
                <w:kern w:val="0"/>
                <w:szCs w:val="21"/>
                <w:highlight w:val="none"/>
                <w:lang w:val="eu-ES"/>
              </w:rPr>
            </w:pPr>
            <w:r>
              <w:rPr>
                <w:rFonts w:hint="default" w:ascii="Times New Roman" w:hAnsi="Times New Roman" w:cs="Times New Roman"/>
                <w:bCs/>
                <w:color w:val="auto"/>
                <w:sz w:val="24"/>
                <w:highlight w:val="none"/>
                <w:lang w:eastAsia="zh-CN"/>
              </w:rPr>
              <w:t>项目租赁蓬溪县门拓建设有限责任公司厂房，购置自动绕线机、焊锡机、</w:t>
            </w:r>
            <w:r>
              <w:rPr>
                <w:rFonts w:hint="eastAsia" w:cs="Times New Roman"/>
                <w:bCs/>
                <w:color w:val="auto"/>
                <w:sz w:val="24"/>
                <w:highlight w:val="none"/>
                <w:lang w:val="en-US" w:eastAsia="zh-CN"/>
              </w:rPr>
              <w:t>装配机、含浸</w:t>
            </w:r>
            <w:r>
              <w:rPr>
                <w:rFonts w:hint="default" w:ascii="Times New Roman" w:hAnsi="Times New Roman" w:cs="Times New Roman"/>
                <w:bCs/>
                <w:color w:val="auto"/>
                <w:sz w:val="24"/>
                <w:highlight w:val="none"/>
                <w:lang w:eastAsia="zh-CN"/>
              </w:rPr>
              <w:t>机等设备，并配套相应的环保设施，年生产</w:t>
            </w:r>
            <w:r>
              <w:rPr>
                <w:rFonts w:hint="eastAsia" w:ascii="Times New Roman" w:hAnsi="Times New Roman" w:cs="Times New Roman"/>
                <w:bCs/>
                <w:color w:val="auto"/>
                <w:sz w:val="24"/>
                <w:highlight w:val="none"/>
                <w:lang w:eastAsia="zh-CN"/>
              </w:rPr>
              <w:t>高频</w:t>
            </w:r>
            <w:r>
              <w:rPr>
                <w:rFonts w:hint="default" w:ascii="Times New Roman" w:hAnsi="Times New Roman" w:cs="Times New Roman"/>
                <w:bCs/>
                <w:color w:val="auto"/>
                <w:sz w:val="24"/>
                <w:highlight w:val="none"/>
                <w:lang w:eastAsia="zh-CN"/>
              </w:rPr>
              <w:t>变压器</w:t>
            </w:r>
            <w:r>
              <w:rPr>
                <w:rFonts w:hint="eastAsia" w:cs="Times New Roman"/>
                <w:bCs/>
                <w:color w:val="auto"/>
                <w:sz w:val="24"/>
                <w:highlight w:val="none"/>
                <w:lang w:val="en-US" w:eastAsia="zh-CN"/>
              </w:rPr>
              <w:t>600</w:t>
            </w:r>
            <w:r>
              <w:rPr>
                <w:rFonts w:hint="default" w:ascii="Times New Roman" w:hAnsi="Times New Roman" w:cs="Times New Roman"/>
                <w:bCs/>
                <w:color w:val="auto"/>
                <w:sz w:val="24"/>
                <w:highlight w:val="none"/>
                <w:lang w:eastAsia="zh-CN"/>
              </w:rPr>
              <w:t>万只。</w:t>
            </w:r>
          </w:p>
          <w:p>
            <w:pPr>
              <w:jc w:val="center"/>
              <w:rPr>
                <w:rFonts w:hint="default" w:ascii="Times New Roman" w:hAnsi="Times New Roman" w:cs="Times New Roman"/>
                <w:b/>
                <w:bCs/>
                <w:color w:val="auto"/>
                <w:kern w:val="0"/>
                <w:szCs w:val="21"/>
                <w:highlight w:val="none"/>
                <w:lang w:val="eu-ES"/>
              </w:rPr>
            </w:pPr>
            <w:r>
              <w:rPr>
                <w:rFonts w:hint="default" w:ascii="Times New Roman" w:hAnsi="Times New Roman" w:cs="Times New Roman"/>
                <w:b/>
                <w:bCs/>
                <w:color w:val="auto"/>
                <w:kern w:val="0"/>
                <w:szCs w:val="21"/>
                <w:highlight w:val="none"/>
                <w:lang w:val="eu-ES"/>
              </w:rPr>
              <w:t>表</w:t>
            </w:r>
            <w:r>
              <w:rPr>
                <w:rFonts w:hint="default" w:ascii="Times New Roman" w:hAnsi="Times New Roman" w:cs="Times New Roman"/>
                <w:b/>
                <w:bCs/>
                <w:color w:val="auto"/>
                <w:kern w:val="0"/>
                <w:szCs w:val="21"/>
                <w:highlight w:val="none"/>
              </w:rPr>
              <w:t>2-</w:t>
            </w:r>
            <w:r>
              <w:rPr>
                <w:rFonts w:hint="default" w:ascii="Times New Roman" w:hAnsi="Times New Roman" w:cs="Times New Roman"/>
                <w:b/>
                <w:bCs/>
                <w:color w:val="auto"/>
                <w:kern w:val="0"/>
                <w:szCs w:val="21"/>
                <w:highlight w:val="none"/>
                <w:lang w:val="en-US" w:eastAsia="zh-CN"/>
              </w:rPr>
              <w:t>1</w:t>
            </w:r>
            <w:r>
              <w:rPr>
                <w:rFonts w:hint="default" w:ascii="Times New Roman" w:hAnsi="Times New Roman" w:cs="Times New Roman"/>
                <w:b/>
                <w:bCs/>
                <w:color w:val="auto"/>
                <w:kern w:val="0"/>
                <w:szCs w:val="21"/>
                <w:highlight w:val="none"/>
                <w:lang w:val="eu-ES"/>
              </w:rPr>
              <w:t xml:space="preserve">  项目产品方案一览表</w:t>
            </w:r>
          </w:p>
          <w:tbl>
            <w:tblPr>
              <w:tblStyle w:val="20"/>
              <w:tblW w:w="495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4"/>
              <w:gridCol w:w="1429"/>
              <w:gridCol w:w="1353"/>
              <w:gridCol w:w="1978"/>
              <w:gridCol w:w="17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产品名称</w:t>
                  </w:r>
                </w:p>
              </w:tc>
              <w:tc>
                <w:tcPr>
                  <w:tcW w:w="908" w:type="pct"/>
                  <w:tcBorders>
                    <w:tl2br w:val="nil"/>
                    <w:tr2bl w:val="nil"/>
                  </w:tcBorders>
                  <w:noWrap w:val="0"/>
                  <w:vAlign w:val="center"/>
                </w:tcPr>
                <w:p>
                  <w:pPr>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型号</w:t>
                  </w:r>
                </w:p>
              </w:tc>
              <w:tc>
                <w:tcPr>
                  <w:tcW w:w="860" w:type="pct"/>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年产量</w:t>
                  </w:r>
                </w:p>
              </w:tc>
              <w:tc>
                <w:tcPr>
                  <w:tcW w:w="1257" w:type="pct"/>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规格</w:t>
                  </w:r>
                </w:p>
              </w:tc>
              <w:tc>
                <w:tcPr>
                  <w:tcW w:w="1100" w:type="pct"/>
                  <w:tcBorders>
                    <w:tl2br w:val="nil"/>
                    <w:tr2bl w:val="nil"/>
                  </w:tcBorders>
                  <w:noWrap w:val="0"/>
                  <w:vAlign w:val="center"/>
                </w:tcPr>
                <w:p>
                  <w:pPr>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高频</w:t>
                  </w:r>
                  <w:r>
                    <w:rPr>
                      <w:rFonts w:hint="eastAsia" w:ascii="Times New Roman" w:hAnsi="Times New Roman" w:eastAsia="宋体" w:cs="Times New Roman"/>
                      <w:color w:val="auto"/>
                      <w:sz w:val="21"/>
                      <w:szCs w:val="21"/>
                      <w:highlight w:val="none"/>
                      <w:lang w:val="en-US" w:eastAsia="zh-CN"/>
                    </w:rPr>
                    <w:t>变压器</w:t>
                  </w:r>
                </w:p>
              </w:tc>
              <w:tc>
                <w:tcPr>
                  <w:tcW w:w="908"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E型系列</w:t>
                  </w:r>
                </w:p>
              </w:tc>
              <w:tc>
                <w:tcPr>
                  <w:tcW w:w="860" w:type="pct"/>
                  <w:vMerge w:val="restart"/>
                  <w:tcBorders>
                    <w:tl2br w:val="nil"/>
                    <w:tr2bl w:val="nil"/>
                  </w:tcBorders>
                  <w:noWrap w:val="0"/>
                  <w:vAlign w:val="center"/>
                </w:tcPr>
                <w:p>
                  <w:pPr>
                    <w:jc w:val="center"/>
                    <w:rPr>
                      <w:rFonts w:hint="eastAsia" w:cs="Times New Roman"/>
                      <w:color w:val="auto"/>
                      <w:sz w:val="21"/>
                      <w:szCs w:val="21"/>
                      <w:highlight w:val="none"/>
                      <w:lang w:val="en-US" w:eastAsia="zh-CN"/>
                    </w:rPr>
                  </w:pPr>
                </w:p>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r>
                    <w:rPr>
                      <w:rFonts w:hint="eastAsia" w:ascii="Times New Roman" w:hAnsi="Times New Roman" w:eastAsia="宋体" w:cs="Times New Roman"/>
                      <w:color w:val="auto"/>
                      <w:sz w:val="21"/>
                      <w:szCs w:val="21"/>
                      <w:highlight w:val="none"/>
                      <w:lang w:val="en-US" w:eastAsia="zh-CN"/>
                    </w:rPr>
                    <w:t>万只</w:t>
                  </w:r>
                </w:p>
                <w:p>
                  <w:pPr>
                    <w:jc w:val="center"/>
                    <w:rPr>
                      <w:rFonts w:hint="default" w:ascii="Times New Roman" w:hAnsi="Times New Roman" w:eastAsia="宋体" w:cs="Times New Roman"/>
                      <w:color w:val="auto"/>
                      <w:sz w:val="21"/>
                      <w:szCs w:val="21"/>
                      <w:highlight w:val="none"/>
                      <w:lang w:val="en-US" w:eastAsia="zh-CN"/>
                    </w:rPr>
                  </w:pPr>
                </w:p>
              </w:tc>
              <w:tc>
                <w:tcPr>
                  <w:tcW w:w="12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14*13.5*21.8</w:t>
                  </w:r>
                  <w:r>
                    <w:rPr>
                      <w:rFonts w:hint="eastAsia" w:cs="Times New Roman"/>
                      <w:color w:val="auto"/>
                      <w:sz w:val="21"/>
                      <w:szCs w:val="21"/>
                      <w:highlight w:val="none"/>
                      <w:lang w:val="en-US" w:eastAsia="zh-CN"/>
                    </w:rPr>
                    <w:t>mm</w:t>
                  </w:r>
                </w:p>
              </w:tc>
              <w:tc>
                <w:tcPr>
                  <w:tcW w:w="1100"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主要生产E13、E16，可根据客户需求定制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73" w:type="pct"/>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908"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86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2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16.5*18.5*24.5</w:t>
                  </w:r>
                  <w:r>
                    <w:rPr>
                      <w:rFonts w:hint="eastAsia" w:cs="Times New Roman"/>
                      <w:color w:val="auto"/>
                      <w:sz w:val="21"/>
                      <w:szCs w:val="21"/>
                      <w:highlight w:val="none"/>
                      <w:lang w:val="en-US" w:eastAsia="zh-CN"/>
                    </w:rPr>
                    <w:t>mm</w:t>
                  </w:r>
                </w:p>
              </w:tc>
              <w:tc>
                <w:tcPr>
                  <w:tcW w:w="1100" w:type="pct"/>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bl>
          <w:p>
            <w:pPr>
              <w:pStyle w:val="12"/>
              <w:rPr>
                <w:rFonts w:hint="default"/>
                <w:color w:val="auto"/>
                <w:highlight w:val="none"/>
                <w:lang w:eastAsia="zh-CN"/>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400050</wp:posOffset>
                      </wp:positionH>
                      <wp:positionV relativeFrom="paragraph">
                        <wp:posOffset>50800</wp:posOffset>
                      </wp:positionV>
                      <wp:extent cx="4284345" cy="2322830"/>
                      <wp:effectExtent l="4445" t="4445" r="16510" b="15875"/>
                      <wp:wrapNone/>
                      <wp:docPr id="21" name="文本框 21"/>
                      <wp:cNvGraphicFramePr/>
                      <a:graphic xmlns:a="http://schemas.openxmlformats.org/drawingml/2006/main">
                        <a:graphicData uri="http://schemas.microsoft.com/office/word/2010/wordprocessingShape">
                          <wps:wsp>
                            <wps:cNvSpPr txBox="1"/>
                            <wps:spPr>
                              <a:xfrm>
                                <a:off x="1814195" y="5089525"/>
                                <a:ext cx="4284345" cy="2322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default"/>
                                      <w:vertAlign w:val="baseline"/>
                                      <w:lang w:eastAsia="zh-CN"/>
                                    </w:rPr>
                                    <w:drawing>
                                      <wp:inline distT="0" distB="0" distL="114300" distR="114300">
                                        <wp:extent cx="2078990" cy="2143125"/>
                                        <wp:effectExtent l="0" t="0" r="16510" b="9525"/>
                                        <wp:docPr id="16" name="图片 16" descr="118833e66f748aa8ff1f940740d8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8833e66f748aa8ff1f940740d8aab"/>
                                                <pic:cNvPicPr>
                                                  <a:picLocks noChangeAspect="1"/>
                                                </pic:cNvPicPr>
                                              </pic:nvPicPr>
                                              <pic:blipFill>
                                                <a:blip r:embed="rId13"/>
                                                <a:srcRect l="30043" t="27769" r="39596" b="48763"/>
                                                <a:stretch>
                                                  <a:fillRect/>
                                                </a:stretch>
                                              </pic:blipFill>
                                              <pic:spPr>
                                                <a:xfrm>
                                                  <a:off x="0" y="0"/>
                                                  <a:ext cx="2078990" cy="2143125"/>
                                                </a:xfrm>
                                                <a:prstGeom prst="rect">
                                                  <a:avLst/>
                                                </a:prstGeom>
                                              </pic:spPr>
                                            </pic:pic>
                                          </a:graphicData>
                                        </a:graphic>
                                      </wp:inline>
                                    </w:drawing>
                                  </w:r>
                                  <w:r>
                                    <w:rPr>
                                      <w:rFonts w:hint="default"/>
                                      <w:vertAlign w:val="baseline"/>
                                      <w:lang w:eastAsia="zh-CN"/>
                                    </w:rPr>
                                    <w:drawing>
                                      <wp:inline distT="0" distB="0" distL="114300" distR="114300">
                                        <wp:extent cx="1967230" cy="2138045"/>
                                        <wp:effectExtent l="0" t="0" r="13970" b="14605"/>
                                        <wp:docPr id="20" name="图片 20" descr="d3400c1ea97c3670aec4125822d6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3400c1ea97c3670aec4125822d66d3"/>
                                                <pic:cNvPicPr>
                                                  <a:picLocks noChangeAspect="1"/>
                                                </pic:cNvPicPr>
                                              </pic:nvPicPr>
                                              <pic:blipFill>
                                                <a:blip r:embed="rId14"/>
                                                <a:srcRect l="36254" t="30918" r="36384" b="45780"/>
                                                <a:stretch>
                                                  <a:fillRect/>
                                                </a:stretch>
                                              </pic:blipFill>
                                              <pic:spPr>
                                                <a:xfrm>
                                                  <a:off x="0" y="0"/>
                                                  <a:ext cx="1967230" cy="2138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4pt;height:182.9pt;width:337.35pt;z-index:251662336;mso-width-relative:page;mso-height-relative:page;" fillcolor="#FFFFFF [3201]" filled="t" stroked="t" coordsize="21600,21600" o:gfxdata="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wsB4hdUAAAAIAQAADwAAAAAAAAABACAAAAA4&#10;AAAAZHJzL2Rvd25yZXYueG1sUEsBAhQAFAAAAAgAh07iQP4QATBpAgAAxgQAAA4AAAAAAAAAAQAg&#10;AAAAOgEAAGRycy9lMm9Eb2MueG1sUEsFBgAAAAAGAAYAWQEAABUGAAAAAA==&#10;">
                      <v:fill on="t" focussize="0,0"/>
                      <v:stroke weight="0.5pt" color="#000000 [3204]" joinstyle="round"/>
                      <v:imagedata o:title=""/>
                      <o:lock v:ext="edit" aspectratio="f"/>
                      <v:textbox>
                        <w:txbxContent>
                          <w:p>
                            <w:r>
                              <w:rPr>
                                <w:rFonts w:hint="default"/>
                                <w:vertAlign w:val="baseline"/>
                                <w:lang w:eastAsia="zh-CN"/>
                              </w:rPr>
                              <w:drawing>
                                <wp:inline distT="0" distB="0" distL="114300" distR="114300">
                                  <wp:extent cx="2078990" cy="2143125"/>
                                  <wp:effectExtent l="0" t="0" r="16510" b="9525"/>
                                  <wp:docPr id="16" name="图片 16" descr="118833e66f748aa8ff1f940740d8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8833e66f748aa8ff1f940740d8aab"/>
                                          <pic:cNvPicPr>
                                            <a:picLocks noChangeAspect="1"/>
                                          </pic:cNvPicPr>
                                        </pic:nvPicPr>
                                        <pic:blipFill>
                                          <a:blip r:embed="rId13"/>
                                          <a:srcRect l="30043" t="27769" r="39596" b="48763"/>
                                          <a:stretch>
                                            <a:fillRect/>
                                          </a:stretch>
                                        </pic:blipFill>
                                        <pic:spPr>
                                          <a:xfrm>
                                            <a:off x="0" y="0"/>
                                            <a:ext cx="2078990" cy="2143125"/>
                                          </a:xfrm>
                                          <a:prstGeom prst="rect">
                                            <a:avLst/>
                                          </a:prstGeom>
                                        </pic:spPr>
                                      </pic:pic>
                                    </a:graphicData>
                                  </a:graphic>
                                </wp:inline>
                              </w:drawing>
                            </w:r>
                            <w:r>
                              <w:rPr>
                                <w:rFonts w:hint="default"/>
                                <w:vertAlign w:val="baseline"/>
                                <w:lang w:eastAsia="zh-CN"/>
                              </w:rPr>
                              <w:drawing>
                                <wp:inline distT="0" distB="0" distL="114300" distR="114300">
                                  <wp:extent cx="1967230" cy="2138045"/>
                                  <wp:effectExtent l="0" t="0" r="13970" b="14605"/>
                                  <wp:docPr id="20" name="图片 20" descr="d3400c1ea97c3670aec4125822d6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3400c1ea97c3670aec4125822d66d3"/>
                                          <pic:cNvPicPr>
                                            <a:picLocks noChangeAspect="1"/>
                                          </pic:cNvPicPr>
                                        </pic:nvPicPr>
                                        <pic:blipFill>
                                          <a:blip r:embed="rId14"/>
                                          <a:srcRect l="36254" t="30918" r="36384" b="45780"/>
                                          <a:stretch>
                                            <a:fillRect/>
                                          </a:stretch>
                                        </pic:blipFill>
                                        <pic:spPr>
                                          <a:xfrm>
                                            <a:off x="0" y="0"/>
                                            <a:ext cx="1967230" cy="2138045"/>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cs="Times New Roman"/>
                <w:b/>
                <w:color w:val="auto"/>
                <w:sz w:val="24"/>
                <w:highlight w:val="none"/>
                <w:lang w:eastAsia="zh-CN"/>
              </w:rPr>
            </w:pPr>
            <w:r>
              <w:rPr>
                <w:rFonts w:hint="eastAsia" w:ascii="Times New Roman" w:hAnsi="Times New Roman" w:cs="Times New Roman"/>
                <w:b/>
                <w:color w:val="auto"/>
                <w:sz w:val="21"/>
                <w:szCs w:val="21"/>
                <w:highlight w:val="none"/>
                <w:lang w:val="en-US" w:eastAsia="zh-CN"/>
              </w:rPr>
              <w:t>图2-1 变压器产品图片</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四</w:t>
            </w: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项目组成</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项目组成及主要环境问题见下表。</w:t>
            </w:r>
          </w:p>
          <w:tbl>
            <w:tblPr>
              <w:tblStyle w:val="19"/>
              <w:tblpPr w:leftFromText="180" w:rightFromText="180" w:vertAnchor="text" w:horzAnchor="page" w:tblpX="145" w:tblpY="262"/>
              <w:tblOverlap w:val="never"/>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289"/>
              <w:gridCol w:w="3634"/>
              <w:gridCol w:w="933"/>
              <w:gridCol w:w="890"/>
              <w:gridCol w:w="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3" w:type="pct"/>
                  <w:gridSpan w:val="2"/>
                  <w:vMerge w:val="restar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项目名称</w:t>
                  </w:r>
                </w:p>
              </w:tc>
              <w:tc>
                <w:tcPr>
                  <w:tcW w:w="2290" w:type="pct"/>
                  <w:vMerge w:val="restar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工程内容及规模</w:t>
                  </w:r>
                </w:p>
              </w:tc>
              <w:tc>
                <w:tcPr>
                  <w:tcW w:w="1149" w:type="pct"/>
                  <w:gridSpan w:val="2"/>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主要环境问题</w:t>
                  </w:r>
                </w:p>
              </w:tc>
              <w:tc>
                <w:tcPr>
                  <w:tcW w:w="406"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3" w:type="pct"/>
                  <w:gridSpan w:val="2"/>
                  <w:vMerge w:val="continue"/>
                  <w:noWrap w:val="0"/>
                  <w:vAlign w:val="center"/>
                </w:tcPr>
                <w:p>
                  <w:pPr>
                    <w:widowControl/>
                    <w:jc w:val="center"/>
                    <w:rPr>
                      <w:rFonts w:hint="default" w:ascii="Times New Roman" w:hAnsi="Times New Roman" w:cs="Times New Roman"/>
                      <w:b/>
                      <w:bCs/>
                      <w:color w:val="auto"/>
                      <w:szCs w:val="21"/>
                      <w:highlight w:val="none"/>
                    </w:rPr>
                  </w:pPr>
                </w:p>
              </w:tc>
              <w:tc>
                <w:tcPr>
                  <w:tcW w:w="2290" w:type="pct"/>
                  <w:vMerge w:val="continue"/>
                  <w:noWrap w:val="0"/>
                  <w:vAlign w:val="center"/>
                </w:tcPr>
                <w:p>
                  <w:pPr>
                    <w:widowControl/>
                    <w:jc w:val="center"/>
                    <w:rPr>
                      <w:rFonts w:hint="default" w:ascii="Times New Roman" w:hAnsi="Times New Roman" w:cs="Times New Roman"/>
                      <w:b/>
                      <w:bCs/>
                      <w:color w:val="auto"/>
                      <w:szCs w:val="21"/>
                      <w:highlight w:val="none"/>
                    </w:rPr>
                  </w:pPr>
                </w:p>
              </w:tc>
              <w:tc>
                <w:tcPr>
                  <w:tcW w:w="588"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施工期</w:t>
                  </w:r>
                </w:p>
              </w:tc>
              <w:tc>
                <w:tcPr>
                  <w:tcW w:w="561"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营运期</w:t>
                  </w:r>
                </w:p>
              </w:tc>
              <w:tc>
                <w:tcPr>
                  <w:tcW w:w="406" w:type="pct"/>
                  <w:vMerge w:val="continue"/>
                  <w:noWrap w:val="0"/>
                  <w:vAlign w:val="top"/>
                </w:tcPr>
                <w:p>
                  <w:pPr>
                    <w:jc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主体工程</w:t>
                  </w:r>
                </w:p>
              </w:tc>
              <w:tc>
                <w:tcPr>
                  <w:tcW w:w="812" w:type="pct"/>
                  <w:noWrap w:val="0"/>
                  <w:vAlign w:val="center"/>
                </w:tcPr>
                <w:p>
                  <w:pPr>
                    <w:pStyle w:val="31"/>
                    <w:adjustRightInd/>
                    <w:snapToGrid/>
                    <w:spacing w:line="240" w:lineRule="auto"/>
                    <w:contextualSpacing/>
                    <w:rPr>
                      <w:rFonts w:hint="eastAsia" w:ascii="Times New Roman" w:hAnsi="Times New Roman" w:eastAsia="宋体" w:cs="Times New Roman"/>
                      <w:color w:val="auto"/>
                      <w:highlight w:val="none"/>
                      <w:lang w:eastAsia="zh-CN"/>
                    </w:rPr>
                  </w:pPr>
                  <w:r>
                    <w:rPr>
                      <w:rFonts w:hint="eastAsia" w:hAnsi="Times New Roman" w:cs="Times New Roman"/>
                      <w:color w:val="auto"/>
                      <w:highlight w:val="none"/>
                      <w:lang w:val="en-US" w:eastAsia="zh-CN"/>
                    </w:rPr>
                    <w:t>绕线</w:t>
                  </w:r>
                  <w:r>
                    <w:rPr>
                      <w:rFonts w:hint="eastAsia" w:ascii="Times New Roman" w:hAnsi="Times New Roman" w:cs="Times New Roman"/>
                      <w:color w:val="auto"/>
                      <w:highlight w:val="none"/>
                      <w:lang w:eastAsia="zh-CN"/>
                    </w:rPr>
                    <w:t>区</w:t>
                  </w:r>
                </w:p>
              </w:tc>
              <w:tc>
                <w:tcPr>
                  <w:tcW w:w="2290" w:type="pct"/>
                  <w:noWrap w:val="0"/>
                  <w:vAlign w:val="center"/>
                </w:tcPr>
                <w:p>
                  <w:pPr>
                    <w:pStyle w:val="31"/>
                    <w:adjustRightInd/>
                    <w:snapToGrid/>
                    <w:spacing w:line="240" w:lineRule="auto"/>
                    <w:contextualSpacing/>
                    <w:jc w:val="center"/>
                    <w:rPr>
                      <w:rFonts w:hint="default" w:ascii="Times New Roman" w:hAnsi="Times New Roman" w:cs="Times New Roman"/>
                      <w:color w:val="auto"/>
                      <w:highlight w:val="none"/>
                      <w:lang w:val="en-US"/>
                    </w:rPr>
                  </w:pPr>
                  <w:r>
                    <w:rPr>
                      <w:rFonts w:hint="eastAsia" w:hAnsi="Times New Roman" w:cs="Times New Roman"/>
                      <w:color w:val="auto"/>
                      <w:highlight w:val="none"/>
                      <w:lang w:val="en-US" w:eastAsia="zh-CN"/>
                    </w:rPr>
                    <w:t>位于二楼车间西侧中部和东侧中部，总共设置有10台自动绕线机，</w:t>
                  </w:r>
                  <w:r>
                    <w:rPr>
                      <w:rFonts w:hint="default" w:ascii="Times New Roman" w:hAnsi="Times New Roman" w:cs="Times New Roman"/>
                      <w:color w:val="auto"/>
                      <w:highlight w:val="none"/>
                    </w:rPr>
                    <w:t>占地面积约</w:t>
                  </w:r>
                  <w:r>
                    <w:rPr>
                      <w:rFonts w:hint="eastAsia" w:hAnsi="Times New Roman" w:cs="Times New Roman"/>
                      <w:color w:val="auto"/>
                      <w:highlight w:val="none"/>
                      <w:lang w:val="en-US" w:eastAsia="zh-CN"/>
                    </w:rPr>
                    <w:t>180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，主要</w:t>
                  </w:r>
                  <w:r>
                    <w:rPr>
                      <w:rFonts w:hint="eastAsia" w:hAnsi="Times New Roman" w:cs="Times New Roman"/>
                      <w:color w:val="auto"/>
                      <w:highlight w:val="none"/>
                      <w:lang w:val="en-US" w:eastAsia="zh-CN"/>
                    </w:rPr>
                    <w:t>进行骨架绕线工作</w:t>
                  </w:r>
                </w:p>
              </w:tc>
              <w:tc>
                <w:tcPr>
                  <w:tcW w:w="588" w:type="pct"/>
                  <w:vMerge w:val="restart"/>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施工扬尘、</w:t>
                  </w:r>
                </w:p>
                <w:p>
                  <w:pPr>
                    <w:pStyle w:val="32"/>
                    <w:spacing w:line="240" w:lineRule="auto"/>
                    <w:ind w:left="0" w:right="0" w:firstLine="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施工固废、</w:t>
                  </w:r>
                </w:p>
                <w:p>
                  <w:pPr>
                    <w:pStyle w:val="32"/>
                    <w:spacing w:line="240" w:lineRule="auto"/>
                    <w:ind w:left="0" w:right="0" w:firstLine="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生活垃圾、施工噪声、施工废水</w:t>
                  </w:r>
                </w:p>
              </w:tc>
              <w:tc>
                <w:tcPr>
                  <w:tcW w:w="561"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噪声、废气、固废</w:t>
                  </w:r>
                </w:p>
              </w:tc>
              <w:tc>
                <w:tcPr>
                  <w:tcW w:w="40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pStyle w:val="31"/>
                    <w:adjustRightInd/>
                    <w:snapToGrid/>
                    <w:spacing w:line="240" w:lineRule="auto"/>
                    <w:contextualSpacing/>
                    <w:rPr>
                      <w:rFonts w:hint="default" w:ascii="Times New Roman" w:hAnsi="Times New Roman" w:eastAsia="宋体" w:cs="Times New Roman"/>
                      <w:color w:val="auto"/>
                      <w:highlight w:val="none"/>
                      <w:lang w:val="en-US" w:eastAsia="zh-CN"/>
                    </w:rPr>
                  </w:pPr>
                  <w:r>
                    <w:rPr>
                      <w:rFonts w:hint="eastAsia" w:hAnsi="Times New Roman" w:cs="Times New Roman"/>
                      <w:color w:val="auto"/>
                      <w:highlight w:val="none"/>
                      <w:lang w:val="en-US" w:eastAsia="zh-CN"/>
                    </w:rPr>
                    <w:t>脱皮区</w:t>
                  </w:r>
                </w:p>
              </w:tc>
              <w:tc>
                <w:tcPr>
                  <w:tcW w:w="2290" w:type="pct"/>
                  <w:noWrap w:val="0"/>
                  <w:vAlign w:val="center"/>
                </w:tcPr>
                <w:p>
                  <w:pPr>
                    <w:pStyle w:val="31"/>
                    <w:adjustRightInd/>
                    <w:snapToGrid/>
                    <w:spacing w:line="240" w:lineRule="auto"/>
                    <w:contextualSpacing/>
                    <w:jc w:val="center"/>
                    <w:rPr>
                      <w:rFonts w:hint="default" w:ascii="Times New Roman" w:hAnsi="Times New Roman" w:eastAsia="宋体" w:cs="Times New Roman"/>
                      <w:color w:val="auto"/>
                      <w:highlight w:val="none"/>
                      <w:vertAlign w:val="baseline"/>
                      <w:lang w:val="en-US" w:eastAsia="zh-CN"/>
                    </w:rPr>
                  </w:pPr>
                  <w:r>
                    <w:rPr>
                      <w:rFonts w:hint="eastAsia" w:hAnsi="Times New Roman" w:cs="Times New Roman"/>
                      <w:color w:val="auto"/>
                      <w:highlight w:val="none"/>
                      <w:lang w:val="en-US" w:eastAsia="zh-CN"/>
                    </w:rPr>
                    <w:t>位于二楼车间西南侧，设置有2台激光脱皮机，</w:t>
                  </w:r>
                  <w:r>
                    <w:rPr>
                      <w:rFonts w:hint="default" w:ascii="Times New Roman" w:hAnsi="Times New Roman" w:cs="Times New Roman"/>
                      <w:color w:val="auto"/>
                      <w:highlight w:val="none"/>
                    </w:rPr>
                    <w:t>占地面积约</w:t>
                  </w:r>
                  <w:r>
                    <w:rPr>
                      <w:rFonts w:hint="eastAsia" w:hAnsi="Times New Roman" w:cs="Times New Roman"/>
                      <w:color w:val="auto"/>
                      <w:highlight w:val="none"/>
                      <w:lang w:val="en-US" w:eastAsia="zh-CN"/>
                    </w:rPr>
                    <w:t>40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hAnsi="Times New Roman" w:cs="Times New Roman"/>
                      <w:color w:val="auto"/>
                      <w:highlight w:val="none"/>
                      <w:vertAlign w:val="baseline"/>
                      <w:lang w:eastAsia="zh-CN"/>
                    </w:rPr>
                    <w:t>，</w:t>
                  </w:r>
                  <w:r>
                    <w:rPr>
                      <w:rFonts w:hint="eastAsia" w:hAnsi="Times New Roman" w:cs="Times New Roman"/>
                      <w:color w:val="auto"/>
                      <w:highlight w:val="none"/>
                      <w:vertAlign w:val="baseline"/>
                      <w:lang w:val="en-US" w:eastAsia="zh-CN"/>
                    </w:rPr>
                    <w:t>通过激光将三层绝缘线外层烧掉</w:t>
                  </w:r>
                </w:p>
              </w:tc>
              <w:tc>
                <w:tcPr>
                  <w:tcW w:w="588" w:type="pct"/>
                  <w:vMerge w:val="continue"/>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p>
              </w:tc>
              <w:tc>
                <w:tcPr>
                  <w:tcW w:w="561" w:type="pct"/>
                  <w:vMerge w:val="continue"/>
                  <w:noWrap w:val="0"/>
                  <w:vAlign w:val="center"/>
                </w:tcPr>
                <w:p>
                  <w:pPr>
                    <w:jc w:val="center"/>
                    <w:rPr>
                      <w:rFonts w:hint="default" w:ascii="Times New Roman" w:hAnsi="Times New Roman" w:cs="Times New Roman"/>
                      <w:color w:val="auto"/>
                      <w:szCs w:val="21"/>
                      <w:highlight w:val="none"/>
                    </w:rPr>
                  </w:pPr>
                </w:p>
              </w:tc>
              <w:tc>
                <w:tcPr>
                  <w:tcW w:w="406" w:type="pct"/>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pStyle w:val="31"/>
                    <w:adjustRightInd/>
                    <w:snapToGrid/>
                    <w:spacing w:line="240" w:lineRule="auto"/>
                    <w:contextualSpacing/>
                    <w:rPr>
                      <w:rFonts w:hint="eastAsia" w:ascii="Times New Roman" w:hAnsi="Times New Roman" w:eastAsia="宋体" w:cs="Times New Roman"/>
                      <w:color w:val="auto"/>
                      <w:highlight w:val="none"/>
                      <w:lang w:val="en-US" w:eastAsia="zh-CN"/>
                    </w:rPr>
                  </w:pPr>
                  <w:r>
                    <w:rPr>
                      <w:rFonts w:hint="eastAsia" w:hAnsi="Times New Roman" w:cs="Times New Roman"/>
                      <w:color w:val="auto"/>
                      <w:highlight w:val="none"/>
                      <w:lang w:val="en-US" w:eastAsia="zh-CN"/>
                    </w:rPr>
                    <w:t>焊锡区</w:t>
                  </w:r>
                </w:p>
              </w:tc>
              <w:tc>
                <w:tcPr>
                  <w:tcW w:w="2290" w:type="pct"/>
                  <w:noWrap w:val="0"/>
                  <w:vAlign w:val="center"/>
                </w:tcPr>
                <w:p>
                  <w:pPr>
                    <w:pStyle w:val="31"/>
                    <w:adjustRightInd/>
                    <w:snapToGrid/>
                    <w:spacing w:line="240" w:lineRule="auto"/>
                    <w:contextualSpacing/>
                    <w:jc w:val="center"/>
                    <w:rPr>
                      <w:rFonts w:hint="default" w:ascii="Times New Roman" w:hAnsi="Times New Roman" w:eastAsia="宋体" w:cs="Times New Roman"/>
                      <w:color w:val="auto"/>
                      <w:highlight w:val="none"/>
                      <w:vertAlign w:val="baseline"/>
                      <w:lang w:val="en-US" w:eastAsia="zh-CN"/>
                    </w:rPr>
                  </w:pPr>
                  <w:r>
                    <w:rPr>
                      <w:rFonts w:hint="eastAsia" w:hAnsi="Times New Roman" w:cs="Times New Roman"/>
                      <w:color w:val="auto"/>
                      <w:highlight w:val="none"/>
                      <w:lang w:val="en-US" w:eastAsia="zh-CN"/>
                    </w:rPr>
                    <w:t>位于二楼车间南侧，设置有2台焊锡机，占地面积约30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hAnsi="Times New Roman" w:cs="Times New Roman"/>
                      <w:color w:val="auto"/>
                      <w:highlight w:val="none"/>
                      <w:vertAlign w:val="baseline"/>
                      <w:lang w:eastAsia="zh-CN"/>
                    </w:rPr>
                    <w:t>，</w:t>
                  </w:r>
                  <w:r>
                    <w:rPr>
                      <w:rFonts w:hint="eastAsia" w:hAnsi="Times New Roman" w:cs="Times New Roman"/>
                      <w:color w:val="auto"/>
                      <w:highlight w:val="none"/>
                      <w:vertAlign w:val="baseline"/>
                      <w:lang w:val="en-US" w:eastAsia="zh-CN"/>
                    </w:rPr>
                    <w:t>进行焊锡工作</w:t>
                  </w:r>
                </w:p>
              </w:tc>
              <w:tc>
                <w:tcPr>
                  <w:tcW w:w="588" w:type="pct"/>
                  <w:vMerge w:val="continue"/>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p>
              </w:tc>
              <w:tc>
                <w:tcPr>
                  <w:tcW w:w="561" w:type="pct"/>
                  <w:vMerge w:val="continue"/>
                  <w:noWrap w:val="0"/>
                  <w:vAlign w:val="center"/>
                </w:tcPr>
                <w:p>
                  <w:pPr>
                    <w:jc w:val="center"/>
                    <w:rPr>
                      <w:rFonts w:hint="default" w:ascii="Times New Roman" w:hAnsi="Times New Roman" w:cs="Times New Roman"/>
                      <w:color w:val="auto"/>
                      <w:szCs w:val="21"/>
                      <w:highlight w:val="none"/>
                    </w:rPr>
                  </w:pPr>
                </w:p>
              </w:tc>
              <w:tc>
                <w:tcPr>
                  <w:tcW w:w="406" w:type="pct"/>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pStyle w:val="31"/>
                    <w:adjustRightInd/>
                    <w:snapToGrid/>
                    <w:spacing w:line="240" w:lineRule="auto"/>
                    <w:contextualSpacing/>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装配区</w:t>
                  </w:r>
                </w:p>
              </w:tc>
              <w:tc>
                <w:tcPr>
                  <w:tcW w:w="2290" w:type="pct"/>
                  <w:noWrap w:val="0"/>
                  <w:vAlign w:val="center"/>
                </w:tcPr>
                <w:p>
                  <w:pPr>
                    <w:pStyle w:val="31"/>
                    <w:adjustRightInd/>
                    <w:snapToGrid/>
                    <w:spacing w:line="240" w:lineRule="auto"/>
                    <w:contextualSpacing/>
                    <w:jc w:val="center"/>
                    <w:rPr>
                      <w:rFonts w:hint="default" w:hAnsi="Times New Roman" w:eastAsia="宋体" w:cs="Times New Roman"/>
                      <w:color w:val="auto"/>
                      <w:highlight w:val="none"/>
                      <w:vertAlign w:val="baseline"/>
                      <w:lang w:val="en-US" w:eastAsia="zh-CN"/>
                    </w:rPr>
                  </w:pPr>
                  <w:r>
                    <w:rPr>
                      <w:rFonts w:hint="eastAsia" w:hAnsi="Times New Roman" w:cs="Times New Roman"/>
                      <w:color w:val="auto"/>
                      <w:highlight w:val="none"/>
                      <w:lang w:val="en-US" w:eastAsia="zh-CN"/>
                    </w:rPr>
                    <w:t>位于一楼车间东侧，共设置有自动装配机2台、半自动装配机2台，占地面积约60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hAnsi="Times New Roman" w:cs="Times New Roman"/>
                      <w:color w:val="auto"/>
                      <w:highlight w:val="none"/>
                      <w:vertAlign w:val="baseline"/>
                      <w:lang w:eastAsia="zh-CN"/>
                    </w:rPr>
                    <w:t>，</w:t>
                  </w:r>
                  <w:r>
                    <w:rPr>
                      <w:rFonts w:hint="eastAsia" w:hAnsi="Times New Roman" w:cs="Times New Roman"/>
                      <w:color w:val="auto"/>
                      <w:highlight w:val="none"/>
                      <w:vertAlign w:val="baseline"/>
                      <w:lang w:val="en-US" w:eastAsia="zh-CN"/>
                    </w:rPr>
                    <w:t>主要将线包装上外购的磁芯并在磁芯外装1圈胶带</w:t>
                  </w:r>
                </w:p>
              </w:tc>
              <w:tc>
                <w:tcPr>
                  <w:tcW w:w="588" w:type="pct"/>
                  <w:vMerge w:val="continue"/>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p>
              </w:tc>
              <w:tc>
                <w:tcPr>
                  <w:tcW w:w="561" w:type="pct"/>
                  <w:vMerge w:val="continue"/>
                  <w:noWrap w:val="0"/>
                  <w:vAlign w:val="center"/>
                </w:tcPr>
                <w:p>
                  <w:pPr>
                    <w:jc w:val="center"/>
                    <w:rPr>
                      <w:rFonts w:hint="default" w:ascii="Times New Roman" w:hAnsi="Times New Roman" w:cs="Times New Roman"/>
                      <w:color w:val="auto"/>
                      <w:szCs w:val="21"/>
                      <w:highlight w:val="none"/>
                    </w:rPr>
                  </w:pPr>
                </w:p>
              </w:tc>
              <w:tc>
                <w:tcPr>
                  <w:tcW w:w="406" w:type="pct"/>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pStyle w:val="31"/>
                    <w:adjustRightInd/>
                    <w:snapToGrid/>
                    <w:spacing w:line="240" w:lineRule="auto"/>
                    <w:contextualSpacing/>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浸漆、烘干区</w:t>
                  </w:r>
                </w:p>
              </w:tc>
              <w:tc>
                <w:tcPr>
                  <w:tcW w:w="2290" w:type="pct"/>
                  <w:noWrap w:val="0"/>
                  <w:vAlign w:val="center"/>
                </w:tcPr>
                <w:p>
                  <w:pPr>
                    <w:pStyle w:val="31"/>
                    <w:adjustRightInd/>
                    <w:snapToGrid/>
                    <w:spacing w:line="240" w:lineRule="auto"/>
                    <w:contextualSpacing/>
                    <w:jc w:val="center"/>
                    <w:rPr>
                      <w:rFonts w:hint="default" w:hAnsi="Times New Roman" w:eastAsia="宋体" w:cs="Times New Roman"/>
                      <w:color w:val="auto"/>
                      <w:highlight w:val="none"/>
                      <w:vertAlign w:val="baseline"/>
                      <w:lang w:val="en-US" w:eastAsia="zh-CN"/>
                    </w:rPr>
                  </w:pPr>
                  <w:r>
                    <w:rPr>
                      <w:rFonts w:hint="eastAsia" w:hAnsi="Times New Roman" w:cs="Times New Roman"/>
                      <w:color w:val="auto"/>
                      <w:highlight w:val="none"/>
                      <w:lang w:val="en-US" w:eastAsia="zh-CN"/>
                    </w:rPr>
                    <w:t>位于一楼车间南侧，设置有含浸机1套、烤箱2台，占地面积约30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hAnsi="Times New Roman" w:cs="Times New Roman"/>
                      <w:color w:val="auto"/>
                      <w:highlight w:val="none"/>
                      <w:vertAlign w:val="baseline"/>
                      <w:lang w:eastAsia="zh-CN"/>
                    </w:rPr>
                    <w:t>，</w:t>
                  </w:r>
                  <w:r>
                    <w:rPr>
                      <w:rFonts w:hint="eastAsia" w:hAnsi="Times New Roman" w:cs="Times New Roman"/>
                      <w:color w:val="auto"/>
                      <w:highlight w:val="none"/>
                      <w:vertAlign w:val="baseline"/>
                      <w:lang w:val="en-US" w:eastAsia="zh-CN"/>
                    </w:rPr>
                    <w:t>主要对半成品进行浸漆、烘干工作</w:t>
                  </w:r>
                </w:p>
              </w:tc>
              <w:tc>
                <w:tcPr>
                  <w:tcW w:w="588" w:type="pct"/>
                  <w:vMerge w:val="continue"/>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p>
              </w:tc>
              <w:tc>
                <w:tcPr>
                  <w:tcW w:w="561" w:type="pct"/>
                  <w:vMerge w:val="continue"/>
                  <w:noWrap w:val="0"/>
                  <w:vAlign w:val="center"/>
                </w:tcPr>
                <w:p>
                  <w:pPr>
                    <w:jc w:val="center"/>
                    <w:rPr>
                      <w:rFonts w:hint="default" w:ascii="Times New Roman" w:hAnsi="Times New Roman" w:cs="Times New Roman"/>
                      <w:color w:val="auto"/>
                      <w:szCs w:val="21"/>
                      <w:highlight w:val="none"/>
                    </w:rPr>
                  </w:pPr>
                </w:p>
              </w:tc>
              <w:tc>
                <w:tcPr>
                  <w:tcW w:w="406" w:type="pct"/>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pStyle w:val="31"/>
                    <w:adjustRightInd/>
                    <w:snapToGrid/>
                    <w:spacing w:line="240" w:lineRule="auto"/>
                    <w:contextualSpacing/>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试压、包装区</w:t>
                  </w:r>
                </w:p>
              </w:tc>
              <w:tc>
                <w:tcPr>
                  <w:tcW w:w="2290" w:type="pct"/>
                  <w:noWrap w:val="0"/>
                  <w:vAlign w:val="center"/>
                </w:tcPr>
                <w:p>
                  <w:pPr>
                    <w:pStyle w:val="31"/>
                    <w:adjustRightInd/>
                    <w:snapToGrid/>
                    <w:spacing w:line="240" w:lineRule="auto"/>
                    <w:contextualSpacing/>
                    <w:jc w:val="center"/>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位于一楼车间西侧，设置有耐压机2台、电感机2台、激光打标机1台，占地面积约60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hAnsi="Times New Roman" w:cs="Times New Roman"/>
                      <w:color w:val="auto"/>
                      <w:highlight w:val="none"/>
                      <w:lang w:val="en-US" w:eastAsia="zh-CN"/>
                    </w:rPr>
                    <w:t>，主要对成品进行检测后，合格产品进行包装入库</w:t>
                  </w:r>
                </w:p>
              </w:tc>
              <w:tc>
                <w:tcPr>
                  <w:tcW w:w="588" w:type="pct"/>
                  <w:vMerge w:val="continue"/>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p>
              </w:tc>
              <w:tc>
                <w:tcPr>
                  <w:tcW w:w="561" w:type="pct"/>
                  <w:vMerge w:val="continue"/>
                  <w:noWrap w:val="0"/>
                  <w:vAlign w:val="center"/>
                </w:tcPr>
                <w:p>
                  <w:pPr>
                    <w:jc w:val="center"/>
                    <w:rPr>
                      <w:rFonts w:hint="default" w:ascii="Times New Roman" w:hAnsi="Times New Roman" w:cs="Times New Roman"/>
                      <w:color w:val="auto"/>
                      <w:szCs w:val="21"/>
                      <w:highlight w:val="none"/>
                    </w:rPr>
                  </w:pPr>
                </w:p>
              </w:tc>
              <w:tc>
                <w:tcPr>
                  <w:tcW w:w="406" w:type="pct"/>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pStyle w:val="31"/>
                    <w:adjustRightInd/>
                    <w:snapToGrid/>
                    <w:spacing w:line="240" w:lineRule="auto"/>
                    <w:contextualSpacing/>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检品工作台</w:t>
                  </w:r>
                </w:p>
              </w:tc>
              <w:tc>
                <w:tcPr>
                  <w:tcW w:w="2290" w:type="pct"/>
                  <w:noWrap w:val="0"/>
                  <w:vAlign w:val="center"/>
                </w:tcPr>
                <w:p>
                  <w:pPr>
                    <w:pStyle w:val="31"/>
                    <w:adjustRightInd/>
                    <w:snapToGrid/>
                    <w:spacing w:line="240" w:lineRule="auto"/>
                    <w:contextualSpacing/>
                    <w:jc w:val="center"/>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位于二楼车间西侧，主要进行人工检品工作</w:t>
                  </w:r>
                </w:p>
              </w:tc>
              <w:tc>
                <w:tcPr>
                  <w:tcW w:w="588" w:type="pct"/>
                  <w:vMerge w:val="continue"/>
                  <w:noWrap w:val="0"/>
                  <w:vAlign w:val="center"/>
                </w:tcPr>
                <w:p>
                  <w:pPr>
                    <w:pStyle w:val="32"/>
                    <w:spacing w:line="240" w:lineRule="auto"/>
                    <w:ind w:left="0" w:right="0" w:firstLine="0"/>
                    <w:jc w:val="center"/>
                    <w:rPr>
                      <w:rFonts w:hint="default" w:ascii="Times New Roman" w:hAnsi="Times New Roman" w:cs="Times New Roman"/>
                      <w:color w:val="auto"/>
                      <w:kern w:val="2"/>
                      <w:sz w:val="21"/>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p>
              </w:tc>
              <w:tc>
                <w:tcPr>
                  <w:tcW w:w="406"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仓储工程</w:t>
                  </w:r>
                </w:p>
              </w:tc>
              <w:tc>
                <w:tcPr>
                  <w:tcW w:w="812"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eastAsia" w:ascii="宋体" w:hAnsi="宋体" w:cs="宋体"/>
                      <w:color w:val="auto"/>
                      <w:kern w:val="0"/>
                      <w:sz w:val="21"/>
                      <w:szCs w:val="21"/>
                      <w:highlight w:val="none"/>
                      <w:lang w:val="en-US" w:eastAsia="zh-CN" w:bidi="ar"/>
                    </w:rPr>
                    <w:t>辅料库房</w:t>
                  </w:r>
                </w:p>
              </w:tc>
              <w:tc>
                <w:tcPr>
                  <w:tcW w:w="2290" w:type="pct"/>
                  <w:noWrap w:val="0"/>
                  <w:vAlign w:val="center"/>
                </w:tcPr>
                <w:p>
                  <w:pPr>
                    <w:pStyle w:val="31"/>
                    <w:adjustRightInd/>
                    <w:snapToGrid/>
                    <w:spacing w:line="240" w:lineRule="auto"/>
                    <w:contextualSpacing/>
                    <w:rPr>
                      <w:rFonts w:hint="default" w:ascii="Times New Roman" w:hAnsi="Times New Roman" w:eastAsia="宋体" w:cs="Times New Roman"/>
                      <w:color w:val="auto"/>
                      <w:highlight w:val="none"/>
                      <w:lang w:eastAsia="zh-CN"/>
                    </w:rPr>
                  </w:pPr>
                  <w:r>
                    <w:rPr>
                      <w:rFonts w:hint="eastAsia" w:hAnsi="Times New Roman" w:cs="Times New Roman"/>
                      <w:color w:val="auto"/>
                      <w:highlight w:val="none"/>
                      <w:lang w:val="en-US" w:eastAsia="zh-CN"/>
                    </w:rPr>
                    <w:t>存放液态化学品原料，重点防渗，</w:t>
                  </w:r>
                  <w:r>
                    <w:rPr>
                      <w:rFonts w:hint="eastAsia" w:ascii="Times New Roman" w:hAnsi="Times New Roman" w:eastAsia="宋体" w:cs="Times New Roman"/>
                      <w:color w:val="auto"/>
                      <w:highlight w:val="none"/>
                      <w:lang w:val="en-US" w:eastAsia="zh-CN"/>
                    </w:rPr>
                    <w:t>占地约为</w:t>
                  </w:r>
                  <w:r>
                    <w:rPr>
                      <w:rFonts w:hint="eastAsia" w:hAns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r>
                    <w:rPr>
                      <w:rFonts w:hint="eastAsia" w:ascii="Times New Roman" w:hAnsi="Times New Roman" w:eastAsia="宋体" w:cs="Times New Roman"/>
                      <w:color w:val="auto"/>
                      <w:highlight w:val="none"/>
                      <w:vertAlign w:val="baseline"/>
                      <w:lang w:eastAsia="zh-CN"/>
                    </w:rPr>
                    <w:t>，</w:t>
                  </w:r>
                  <w:r>
                    <w:rPr>
                      <w:rFonts w:hint="default" w:ascii="Times New Roman" w:hAnsi="Times New Roman" w:eastAsia="宋体" w:cs="Times New Roman"/>
                      <w:color w:val="auto"/>
                      <w:highlight w:val="none"/>
                      <w:lang w:eastAsia="zh-CN"/>
                    </w:rPr>
                    <w:t>位于</w:t>
                  </w:r>
                  <w:r>
                    <w:rPr>
                      <w:rFonts w:hint="eastAsia" w:hAnsi="Times New Roman" w:cs="Times New Roman"/>
                      <w:color w:val="auto"/>
                      <w:highlight w:val="none"/>
                      <w:lang w:val="en-US" w:eastAsia="zh-CN"/>
                    </w:rPr>
                    <w:t>一楼</w:t>
                  </w:r>
                  <w:r>
                    <w:rPr>
                      <w:rFonts w:hint="eastAsia" w:ascii="Times New Roman" w:hAnsi="Times New Roman" w:eastAsia="宋体" w:cs="Times New Roman"/>
                      <w:color w:val="auto"/>
                      <w:highlight w:val="none"/>
                      <w:lang w:eastAsia="zh-CN"/>
                    </w:rPr>
                    <w:t>生产车间</w:t>
                  </w:r>
                  <w:r>
                    <w:rPr>
                      <w:rFonts w:hint="eastAsia" w:hAnsi="Times New Roman" w:cs="Times New Roman"/>
                      <w:color w:val="auto"/>
                      <w:highlight w:val="none"/>
                      <w:lang w:val="en-US" w:eastAsia="zh-CN"/>
                    </w:rPr>
                    <w:t>东北</w:t>
                  </w:r>
                  <w:r>
                    <w:rPr>
                      <w:rFonts w:hint="eastAsia" w:ascii="Times New Roman" w:hAnsi="Times New Roman" w:eastAsia="宋体" w:cs="Times New Roman"/>
                      <w:color w:val="auto"/>
                      <w:highlight w:val="none"/>
                      <w:lang w:eastAsia="zh-CN"/>
                    </w:rPr>
                    <w:t>侧</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p>
              </w:tc>
              <w:tc>
                <w:tcPr>
                  <w:tcW w:w="406" w:type="pct"/>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原料堆放区</w:t>
                  </w:r>
                </w:p>
              </w:tc>
              <w:tc>
                <w:tcPr>
                  <w:tcW w:w="2290" w:type="pct"/>
                  <w:noWrap w:val="0"/>
                  <w:vAlign w:val="center"/>
                </w:tcPr>
                <w:p>
                  <w:pPr>
                    <w:pStyle w:val="31"/>
                    <w:adjustRightInd/>
                    <w:snapToGrid/>
                    <w:spacing w:line="240" w:lineRule="auto"/>
                    <w:contextualSpacing/>
                    <w:rPr>
                      <w:rFonts w:hint="default" w:ascii="Times New Roman" w:hAnsi="Times New Roman" w:eastAsia="宋体" w:cs="Times New Roman"/>
                      <w:color w:val="auto"/>
                      <w:highlight w:val="none"/>
                      <w:lang w:val="en-US" w:eastAsia="zh-CN"/>
                    </w:rPr>
                  </w:pPr>
                  <w:r>
                    <w:rPr>
                      <w:rFonts w:hint="eastAsia" w:hAnsi="Times New Roman" w:cs="Times New Roman"/>
                      <w:color w:val="auto"/>
                      <w:highlight w:val="none"/>
                      <w:lang w:val="en-US" w:eastAsia="zh-CN"/>
                    </w:rPr>
                    <w:t>共</w:t>
                  </w:r>
                  <w:r>
                    <w:rPr>
                      <w:rFonts w:hint="eastAsia" w:ascii="Times New Roman" w:hAnsi="Times New Roman" w:eastAsia="宋体" w:cs="Times New Roman"/>
                      <w:color w:val="auto"/>
                      <w:highlight w:val="none"/>
                      <w:lang w:val="en-US" w:eastAsia="zh-CN"/>
                    </w:rPr>
                    <w:t>占地约</w:t>
                  </w:r>
                  <w:r>
                    <w:rPr>
                      <w:rFonts w:hint="eastAsia" w:hAnsi="Times New Roman" w:cs="Times New Roman"/>
                      <w:color w:val="auto"/>
                      <w:highlight w:val="none"/>
                      <w:lang w:val="en-US" w:eastAsia="zh-CN"/>
                    </w:rPr>
                    <w:t>80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，位于</w:t>
                  </w:r>
                  <w:r>
                    <w:rPr>
                      <w:rFonts w:hint="eastAsia" w:hAnsi="Times New Roman" w:cs="Times New Roman"/>
                      <w:color w:val="auto"/>
                      <w:highlight w:val="none"/>
                      <w:lang w:val="en-US" w:eastAsia="zh-CN"/>
                    </w:rPr>
                    <w:t>一楼</w:t>
                  </w:r>
                  <w:r>
                    <w:rPr>
                      <w:rFonts w:hint="default" w:ascii="Times New Roman" w:hAnsi="Times New Roman" w:cs="Times New Roman"/>
                      <w:color w:val="auto"/>
                      <w:highlight w:val="none"/>
                    </w:rPr>
                    <w:t>生产车间</w:t>
                  </w:r>
                  <w:r>
                    <w:rPr>
                      <w:rFonts w:hint="eastAsia" w:hAnsi="Times New Roman" w:cs="Times New Roman"/>
                      <w:color w:val="auto"/>
                      <w:highlight w:val="none"/>
                      <w:lang w:val="en-US" w:eastAsia="zh-CN"/>
                    </w:rPr>
                    <w:t>西北侧、东北侧和二楼</w:t>
                  </w:r>
                  <w:r>
                    <w:rPr>
                      <w:rFonts w:hint="default" w:ascii="Times New Roman" w:hAnsi="Times New Roman" w:cs="Times New Roman"/>
                      <w:color w:val="auto"/>
                      <w:highlight w:val="none"/>
                    </w:rPr>
                    <w:t>生产车间</w:t>
                  </w:r>
                  <w:r>
                    <w:rPr>
                      <w:rFonts w:hint="eastAsia" w:hAnsi="Times New Roman" w:cs="Times New Roman"/>
                      <w:color w:val="auto"/>
                      <w:highlight w:val="none"/>
                      <w:lang w:val="en-US" w:eastAsia="zh-CN"/>
                    </w:rPr>
                    <w:t>西北侧</w:t>
                  </w:r>
                  <w:r>
                    <w:rPr>
                      <w:rFonts w:hint="default" w:ascii="Times New Roman" w:hAnsi="Times New Roman" w:cs="Times New Roman"/>
                      <w:color w:val="auto"/>
                      <w:highlight w:val="none"/>
                    </w:rPr>
                    <w:t>，用于</w:t>
                  </w:r>
                  <w:r>
                    <w:rPr>
                      <w:rFonts w:hint="eastAsia" w:ascii="Times New Roman" w:hAnsi="Times New Roman" w:cs="Times New Roman"/>
                      <w:color w:val="auto"/>
                      <w:highlight w:val="none"/>
                      <w:lang w:val="en-US" w:eastAsia="zh-CN"/>
                    </w:rPr>
                    <w:t>原材料</w:t>
                  </w:r>
                  <w:r>
                    <w:rPr>
                      <w:rFonts w:hint="default" w:ascii="Times New Roman" w:hAnsi="Times New Roman" w:cs="Times New Roman"/>
                      <w:color w:val="auto"/>
                      <w:highlight w:val="none"/>
                      <w:lang w:eastAsia="zh-CN"/>
                    </w:rPr>
                    <w:t>暂存</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06"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来料待检区</w:t>
                  </w:r>
                </w:p>
              </w:tc>
              <w:tc>
                <w:tcPr>
                  <w:tcW w:w="2290" w:type="pct"/>
                  <w:noWrap w:val="0"/>
                  <w:vAlign w:val="center"/>
                </w:tcPr>
                <w:p>
                  <w:pPr>
                    <w:pStyle w:val="31"/>
                    <w:adjustRightInd/>
                    <w:snapToGrid/>
                    <w:spacing w:line="240" w:lineRule="auto"/>
                    <w:contextualSpacing/>
                    <w:rPr>
                      <w:rFonts w:hint="default" w:hAnsi="Times New Roman" w:cs="Times New Roman"/>
                      <w:color w:val="auto"/>
                      <w:highlight w:val="none"/>
                      <w:lang w:val="en-US" w:eastAsia="zh-CN"/>
                    </w:rPr>
                  </w:pPr>
                  <w:r>
                    <w:rPr>
                      <w:rFonts w:hint="eastAsia" w:hAnsi="Times New Roman" w:cs="Times New Roman"/>
                      <w:color w:val="auto"/>
                      <w:highlight w:val="none"/>
                      <w:lang w:val="en-US" w:eastAsia="zh-CN"/>
                    </w:rPr>
                    <w:t>位于一楼东北侧，用于临时堆放外购回来的原料，后续转移进库房</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eastAsia" w:ascii="Times New Roman" w:hAnsi="Times New Roman" w:cs="Times New Roman"/>
                      <w:color w:val="auto"/>
                      <w:szCs w:val="21"/>
                      <w:highlight w:val="none"/>
                      <w:lang w:val="en-US" w:eastAsia="zh-CN"/>
                    </w:rPr>
                  </w:pPr>
                </w:p>
              </w:tc>
              <w:tc>
                <w:tcPr>
                  <w:tcW w:w="406"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材料存放区</w:t>
                  </w:r>
                </w:p>
              </w:tc>
              <w:tc>
                <w:tcPr>
                  <w:tcW w:w="2290" w:type="pct"/>
                  <w:noWrap w:val="0"/>
                  <w:vAlign w:val="center"/>
                </w:tcPr>
                <w:p>
                  <w:pPr>
                    <w:pStyle w:val="31"/>
                    <w:adjustRightInd/>
                    <w:snapToGrid/>
                    <w:spacing w:line="240" w:lineRule="auto"/>
                    <w:contextualSpacing/>
                    <w:rPr>
                      <w:rFonts w:hint="eastAsia" w:hAnsi="Times New Roman" w:cs="Times New Roman"/>
                      <w:color w:val="auto"/>
                      <w:highlight w:val="none"/>
                      <w:lang w:val="en-US" w:eastAsia="zh-CN"/>
                    </w:rPr>
                  </w:pPr>
                  <w:r>
                    <w:rPr>
                      <w:rFonts w:hint="eastAsia" w:hAnsi="Times New Roman" w:cs="Times New Roman"/>
                      <w:color w:val="auto"/>
                      <w:highlight w:val="none"/>
                      <w:lang w:val="en-US" w:eastAsia="zh-CN"/>
                    </w:rPr>
                    <w:t>位于一楼西北侧，用于临时堆放外购回来检测合格的原料，后续转移进库房</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eastAsia" w:ascii="Times New Roman" w:hAnsi="Times New Roman" w:cs="Times New Roman"/>
                      <w:color w:val="auto"/>
                      <w:szCs w:val="21"/>
                      <w:highlight w:val="none"/>
                      <w:lang w:val="en-US" w:eastAsia="zh-CN"/>
                    </w:rPr>
                  </w:pPr>
                </w:p>
              </w:tc>
              <w:tc>
                <w:tcPr>
                  <w:tcW w:w="406"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jc w:val="center"/>
                    <w:rPr>
                      <w:rFonts w:hint="default" w:ascii="Times New Roman" w:hAnsi="Times New Roman" w:cs="Times New Roman"/>
                      <w:color w:val="auto"/>
                      <w:szCs w:val="21"/>
                      <w:highlight w:val="none"/>
                    </w:rPr>
                  </w:pPr>
                </w:p>
              </w:tc>
              <w:tc>
                <w:tcPr>
                  <w:tcW w:w="812" w:type="pct"/>
                  <w:noWrap w:val="0"/>
                  <w:vAlign w:val="center"/>
                </w:tcPr>
                <w:p>
                  <w:pPr>
                    <w:spacing w:line="240" w:lineRule="auto"/>
                    <w:ind w:firstLine="0" w:firstLineChars="0"/>
                    <w:jc w:val="center"/>
                    <w:rPr>
                      <w:rFonts w:hint="default" w:ascii="Times New Roman" w:hAnsi="Times New Roman" w:cs="Times New Roman"/>
                      <w:color w:val="auto"/>
                      <w:highlight w:val="none"/>
                      <w:lang w:val="en-US" w:eastAsia="zh-CN"/>
                    </w:rPr>
                  </w:pPr>
                  <w:r>
                    <w:rPr>
                      <w:rFonts w:hint="eastAsia"/>
                      <w:color w:val="auto"/>
                      <w:sz w:val="21"/>
                      <w:szCs w:val="21"/>
                      <w:highlight w:val="none"/>
                      <w:lang w:val="en-US" w:eastAsia="zh-CN"/>
                    </w:rPr>
                    <w:t>成品堆放区</w:t>
                  </w:r>
                </w:p>
              </w:tc>
              <w:tc>
                <w:tcPr>
                  <w:tcW w:w="2290" w:type="pct"/>
                  <w:noWrap w:val="0"/>
                  <w:vAlign w:val="center"/>
                </w:tcPr>
                <w:p>
                  <w:pPr>
                    <w:pStyle w:val="31"/>
                    <w:adjustRightInd/>
                    <w:snapToGrid/>
                    <w:spacing w:line="240" w:lineRule="auto"/>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r>
                    <w:rPr>
                      <w:rFonts w:hint="eastAsia" w:hAnsi="Times New Roman" w:cs="Times New Roman"/>
                      <w:color w:val="auto"/>
                      <w:highlight w:val="none"/>
                      <w:lang w:val="en-US" w:eastAsia="zh-CN"/>
                    </w:rPr>
                    <w:t>共</w:t>
                  </w:r>
                  <w:r>
                    <w:rPr>
                      <w:rFonts w:hint="default" w:ascii="Times New Roman" w:hAnsi="Times New Roman" w:cs="Times New Roman"/>
                      <w:color w:val="auto"/>
                      <w:highlight w:val="none"/>
                    </w:rPr>
                    <w:t>约</w:t>
                  </w:r>
                  <w:r>
                    <w:rPr>
                      <w:rFonts w:hint="eastAsia" w:hAnsi="Times New Roman" w:cs="Times New Roman"/>
                      <w:color w:val="auto"/>
                      <w:highlight w:val="none"/>
                      <w:lang w:val="en-US" w:eastAsia="zh-CN"/>
                    </w:rPr>
                    <w:t>4</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，位于</w:t>
                  </w:r>
                  <w:r>
                    <w:rPr>
                      <w:rFonts w:hint="eastAsia" w:hAnsi="Times New Roman" w:cs="Times New Roman"/>
                      <w:color w:val="auto"/>
                      <w:highlight w:val="none"/>
                      <w:lang w:val="en-US" w:eastAsia="zh-CN"/>
                    </w:rPr>
                    <w:t>一楼</w:t>
                  </w:r>
                  <w:r>
                    <w:rPr>
                      <w:rFonts w:hint="default" w:ascii="Times New Roman" w:hAnsi="Times New Roman" w:cs="Times New Roman"/>
                      <w:color w:val="auto"/>
                      <w:highlight w:val="none"/>
                    </w:rPr>
                    <w:t>生产车间</w:t>
                  </w:r>
                  <w:r>
                    <w:rPr>
                      <w:rFonts w:hint="eastAsia" w:hAnsi="Times New Roman" w:cs="Times New Roman"/>
                      <w:color w:val="auto"/>
                      <w:highlight w:val="none"/>
                      <w:lang w:val="en-US" w:eastAsia="zh-CN"/>
                    </w:rPr>
                    <w:t>东侧</w:t>
                  </w:r>
                  <w:r>
                    <w:rPr>
                      <w:rFonts w:hint="default" w:ascii="Times New Roman" w:hAnsi="Times New Roman" w:cs="Times New Roman"/>
                      <w:color w:val="auto"/>
                      <w:highlight w:val="none"/>
                    </w:rPr>
                    <w:t>，用于</w:t>
                  </w:r>
                  <w:r>
                    <w:rPr>
                      <w:rFonts w:hint="default" w:ascii="Times New Roman" w:hAnsi="Times New Roman" w:cs="Times New Roman"/>
                      <w:color w:val="auto"/>
                      <w:highlight w:val="none"/>
                      <w:lang w:eastAsia="zh-CN"/>
                    </w:rPr>
                    <w:t>产品暂存</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06" w:type="pc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辅助设施</w:t>
                  </w:r>
                </w:p>
              </w:tc>
              <w:tc>
                <w:tcPr>
                  <w:tcW w:w="812" w:type="pct"/>
                  <w:noWrap w:val="0"/>
                  <w:vAlign w:val="center"/>
                </w:tcPr>
                <w:p>
                  <w:pPr>
                    <w:pStyle w:val="13"/>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办公区</w:t>
                  </w:r>
                </w:p>
              </w:tc>
              <w:tc>
                <w:tcPr>
                  <w:tcW w:w="2290" w:type="pct"/>
                  <w:noWrap w:val="0"/>
                  <w:vAlign w:val="center"/>
                </w:tcPr>
                <w:p>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位于</w:t>
                  </w:r>
                  <w:r>
                    <w:rPr>
                      <w:rFonts w:hint="eastAsia" w:cs="Times New Roman"/>
                      <w:color w:val="auto"/>
                      <w:kern w:val="0"/>
                      <w:sz w:val="21"/>
                      <w:szCs w:val="21"/>
                      <w:highlight w:val="none"/>
                      <w:lang w:val="en-US" w:eastAsia="zh-CN" w:bidi="ar-SA"/>
                    </w:rPr>
                    <w:t>一楼厂区西北侧和二楼厂区西北侧，三楼西北侧</w:t>
                  </w:r>
                  <w:r>
                    <w:rPr>
                      <w:rFonts w:hint="eastAsia" w:ascii="Times New Roman" w:hAnsi="Times New Roman" w:eastAsia="宋体" w:cs="Times New Roman"/>
                      <w:color w:val="auto"/>
                      <w:kern w:val="0"/>
                      <w:sz w:val="21"/>
                      <w:szCs w:val="21"/>
                      <w:highlight w:val="none"/>
                      <w:lang w:val="en-US" w:eastAsia="zh-CN" w:bidi="ar-SA"/>
                    </w:rPr>
                    <w:t>，占地面积</w:t>
                  </w:r>
                  <w:r>
                    <w:rPr>
                      <w:rFonts w:hint="eastAsia" w:cs="Times New Roman"/>
                      <w:color w:val="auto"/>
                      <w:kern w:val="0"/>
                      <w:sz w:val="21"/>
                      <w:szCs w:val="21"/>
                      <w:highlight w:val="none"/>
                      <w:lang w:val="en-US" w:eastAsia="zh-CN" w:bidi="ar-SA"/>
                    </w:rPr>
                    <w:t>共</w:t>
                  </w:r>
                  <w:r>
                    <w:rPr>
                      <w:rFonts w:hint="eastAsia" w:ascii="Times New Roman" w:hAnsi="Times New Roman" w:eastAsia="宋体" w:cs="Times New Roman"/>
                      <w:color w:val="auto"/>
                      <w:kern w:val="0"/>
                      <w:sz w:val="21"/>
                      <w:szCs w:val="21"/>
                      <w:highlight w:val="none"/>
                      <w:lang w:val="en-US" w:eastAsia="zh-CN" w:bidi="ar-SA"/>
                    </w:rPr>
                    <w:t>约</w:t>
                  </w:r>
                  <w:r>
                    <w:rPr>
                      <w:rFonts w:hint="eastAsia" w:cs="Times New Roman"/>
                      <w:color w:val="auto"/>
                      <w:kern w:val="0"/>
                      <w:sz w:val="21"/>
                      <w:szCs w:val="21"/>
                      <w:highlight w:val="none"/>
                      <w:lang w:val="en-US" w:eastAsia="zh-CN" w:bidi="ar-SA"/>
                    </w:rPr>
                    <w:t>6</w:t>
                  </w:r>
                  <w:r>
                    <w:rPr>
                      <w:rFonts w:hint="eastAsia" w:ascii="Times New Roman" w:hAnsi="Times New Roman" w:eastAsia="宋体" w:cs="Times New Roman"/>
                      <w:color w:val="auto"/>
                      <w:kern w:val="0"/>
                      <w:sz w:val="21"/>
                      <w:szCs w:val="21"/>
                      <w:highlight w:val="none"/>
                      <w:lang w:val="en-US" w:eastAsia="zh-CN" w:bidi="ar-SA"/>
                    </w:rPr>
                    <w:t>0m</w:t>
                  </w:r>
                  <w:r>
                    <w:rPr>
                      <w:rFonts w:hint="eastAsia" w:ascii="Times New Roman" w:hAnsi="Times New Roman" w:eastAsia="宋体" w:cs="Times New Roman"/>
                      <w:color w:val="auto"/>
                      <w:kern w:val="0"/>
                      <w:sz w:val="21"/>
                      <w:szCs w:val="21"/>
                      <w:highlight w:val="none"/>
                      <w:vertAlign w:val="superscript"/>
                      <w:lang w:val="en-US" w:eastAsia="zh-CN" w:bidi="ar-SA"/>
                    </w:rPr>
                    <w:t>2</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生活污水、生活垃圾</w:t>
                  </w:r>
                </w:p>
              </w:tc>
              <w:tc>
                <w:tcPr>
                  <w:tcW w:w="40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noWrap w:val="0"/>
                  <w:vAlign w:val="center"/>
                </w:tcPr>
                <w:p>
                  <w:pPr>
                    <w:pStyle w:val="13"/>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卫生间</w:t>
                  </w:r>
                </w:p>
              </w:tc>
              <w:tc>
                <w:tcPr>
                  <w:tcW w:w="2290" w:type="pct"/>
                  <w:noWrap w:val="0"/>
                  <w:vAlign w:val="center"/>
                </w:tcPr>
                <w:p>
                  <w:pPr>
                    <w:widowControl/>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一楼</w:t>
                  </w:r>
                  <w:r>
                    <w:rPr>
                      <w:rFonts w:hint="eastAsia" w:ascii="Times New Roman" w:hAnsi="Times New Roman" w:cs="Times New Roman"/>
                      <w:color w:val="auto"/>
                      <w:kern w:val="0"/>
                      <w:szCs w:val="21"/>
                      <w:highlight w:val="none"/>
                      <w:lang w:eastAsia="zh-CN"/>
                    </w:rPr>
                    <w:t>厂区内南侧</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vMerge w:val="continue"/>
                  <w:noWrap w:val="0"/>
                  <w:vAlign w:val="center"/>
                </w:tcPr>
                <w:p>
                  <w:pPr>
                    <w:jc w:val="center"/>
                    <w:rPr>
                      <w:rFonts w:hint="default" w:ascii="Times New Roman" w:hAnsi="Times New Roman" w:cs="Times New Roman"/>
                      <w:color w:val="auto"/>
                      <w:szCs w:val="21"/>
                      <w:highlight w:val="none"/>
                    </w:rPr>
                  </w:pPr>
                </w:p>
              </w:tc>
              <w:tc>
                <w:tcPr>
                  <w:tcW w:w="406" w:type="pct"/>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公用工程</w:t>
                  </w:r>
                </w:p>
              </w:tc>
              <w:tc>
                <w:tcPr>
                  <w:tcW w:w="812" w:type="pc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供水系统</w:t>
                  </w:r>
                </w:p>
              </w:tc>
              <w:tc>
                <w:tcPr>
                  <w:tcW w:w="2290" w:type="pc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由市政供水</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供电系统</w:t>
                  </w:r>
                </w:p>
              </w:tc>
              <w:tc>
                <w:tcPr>
                  <w:tcW w:w="2290" w:type="pct"/>
                  <w:noWrap w:val="0"/>
                  <w:vAlign w:val="center"/>
                </w:tcPr>
                <w:p>
                  <w:pPr>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由市政供电</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noWrap w:val="0"/>
                  <w:vAlign w:val="center"/>
                </w:tcPr>
                <w:p>
                  <w:pPr>
                    <w:widowControl/>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环保工程</w:t>
                  </w:r>
                </w:p>
              </w:tc>
              <w:tc>
                <w:tcPr>
                  <w:tcW w:w="812" w:type="pc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废气治理</w:t>
                  </w:r>
                </w:p>
              </w:tc>
              <w:tc>
                <w:tcPr>
                  <w:tcW w:w="2290" w:type="pct"/>
                  <w:noWrap w:val="0"/>
                  <w:vAlign w:val="center"/>
                </w:tcPr>
                <w:p>
                  <w:pPr>
                    <w:adjustRightInd w:val="0"/>
                    <w:snapToGrid w:val="0"/>
                    <w:jc w:val="left"/>
                    <w:rPr>
                      <w:rFonts w:hint="default" w:ascii="Times New Roman" w:hAnsi="Times New Roman" w:cs="Times New Roman"/>
                      <w:color w:val="auto"/>
                      <w:highlight w:val="none"/>
                      <w:lang w:eastAsia="zh-CN"/>
                    </w:rPr>
                  </w:pPr>
                  <w:r>
                    <w:rPr>
                      <w:rFonts w:hint="default" w:ascii="Times New Roman" w:hAnsi="Times New Roman" w:cs="Times New Roman"/>
                      <w:b/>
                      <w:bCs/>
                      <w:color w:val="auto"/>
                      <w:szCs w:val="21"/>
                      <w:highlight w:val="none"/>
                      <w:lang w:val="en-US" w:eastAsia="zh-CN"/>
                    </w:rPr>
                    <w:t>激光脱皮废气、焊锡废气：</w:t>
                  </w:r>
                  <w:r>
                    <w:rPr>
                      <w:rFonts w:hint="default" w:ascii="Times New Roman" w:hAnsi="Times New Roman" w:cs="Times New Roman"/>
                      <w:bCs/>
                      <w:color w:val="auto"/>
                      <w:kern w:val="0"/>
                      <w:szCs w:val="21"/>
                      <w:highlight w:val="none"/>
                      <w:lang w:val="en-US" w:eastAsia="zh-CN"/>
                    </w:rPr>
                    <w:t>经“</w:t>
                  </w:r>
                  <w:r>
                    <w:rPr>
                      <w:rFonts w:hint="default" w:ascii="Times New Roman" w:hAnsi="Times New Roman" w:cs="Times New Roman"/>
                      <w:color w:val="auto"/>
                      <w:highlight w:val="none"/>
                      <w:lang w:val="en-US" w:eastAsia="zh-CN"/>
                    </w:rPr>
                    <w:t>集气罩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过滤棉+二级活性炭吸附装置</w:t>
                  </w:r>
                  <w:r>
                    <w:rPr>
                      <w:rFonts w:hint="default" w:ascii="Times New Roman" w:hAnsi="Times New Roman" w:cs="Times New Roman"/>
                      <w:bCs/>
                      <w:color w:val="auto"/>
                      <w:kern w:val="0"/>
                      <w:szCs w:val="21"/>
                      <w:highlight w:val="none"/>
                      <w:lang w:val="en-US" w:eastAsia="zh-CN"/>
                    </w:rPr>
                    <w:t>”</w:t>
                  </w:r>
                  <w:r>
                    <w:rPr>
                      <w:rFonts w:hint="default" w:ascii="Times New Roman" w:hAnsi="Times New Roman" w:cs="Times New Roman"/>
                      <w:color w:val="auto"/>
                      <w:highlight w:val="none"/>
                      <w:lang w:eastAsia="zh-CN"/>
                    </w:rPr>
                    <w:t>处理后经</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5m排气筒（DA00</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达标</w:t>
                  </w:r>
                  <w:r>
                    <w:rPr>
                      <w:rFonts w:hint="default" w:ascii="Times New Roman" w:hAnsi="Times New Roman" w:cs="Times New Roman"/>
                      <w:color w:val="auto"/>
                      <w:highlight w:val="none"/>
                      <w:lang w:eastAsia="zh-CN"/>
                    </w:rPr>
                    <w:t>排放</w:t>
                  </w:r>
                </w:p>
                <w:p>
                  <w:pPr>
                    <w:adjustRightInd w:val="0"/>
                    <w:snapToGrid w:val="0"/>
                    <w:jc w:val="left"/>
                    <w:rPr>
                      <w:rFonts w:hint="default" w:ascii="Times New Roman" w:hAnsi="Times New Roman" w:cs="Times New Roman"/>
                      <w:bCs/>
                      <w:color w:val="auto"/>
                      <w:kern w:val="0"/>
                      <w:szCs w:val="21"/>
                      <w:highlight w:val="none"/>
                    </w:rPr>
                  </w:pPr>
                  <w:r>
                    <w:rPr>
                      <w:rFonts w:hint="default" w:ascii="Times New Roman" w:hAnsi="Times New Roman" w:eastAsia="宋体" w:cs="Times New Roman"/>
                      <w:b/>
                      <w:bCs w:val="0"/>
                      <w:color w:val="auto"/>
                      <w:kern w:val="0"/>
                      <w:szCs w:val="21"/>
                      <w:highlight w:val="none"/>
                      <w:lang w:val="en-US" w:eastAsia="zh-CN"/>
                    </w:rPr>
                    <w:t>浸漆和</w:t>
                  </w:r>
                  <w:r>
                    <w:rPr>
                      <w:rFonts w:hint="default" w:ascii="Times New Roman" w:hAnsi="Times New Roman" w:cs="Times New Roman"/>
                      <w:b/>
                      <w:bCs w:val="0"/>
                      <w:color w:val="auto"/>
                      <w:highlight w:val="none"/>
                      <w:lang w:eastAsia="zh-CN"/>
                    </w:rPr>
                    <w:t>烘干废气：</w:t>
                  </w:r>
                  <w:r>
                    <w:rPr>
                      <w:rFonts w:hint="default" w:ascii="Times New Roman" w:hAnsi="Times New Roman" w:cs="Times New Roman"/>
                      <w:color w:val="auto"/>
                      <w:highlight w:val="none"/>
                      <w:lang w:eastAsia="zh-CN"/>
                    </w:rPr>
                    <w:t>经“</w:t>
                  </w:r>
                  <w:r>
                    <w:rPr>
                      <w:rFonts w:hint="default" w:ascii="Times New Roman" w:hAnsi="Times New Roman" w:cs="Times New Roman"/>
                      <w:bCs/>
                      <w:color w:val="auto"/>
                      <w:kern w:val="0"/>
                      <w:szCs w:val="21"/>
                      <w:highlight w:val="none"/>
                      <w:lang w:val="en-US" w:eastAsia="zh-CN"/>
                    </w:rPr>
                    <w:t>封闭设备集气管收集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过滤棉+二级活性炭吸附装置</w:t>
                  </w:r>
                  <w:r>
                    <w:rPr>
                      <w:rFonts w:hint="default" w:ascii="Times New Roman" w:hAnsi="Times New Roman" w:cs="Times New Roman"/>
                      <w:color w:val="auto"/>
                      <w:highlight w:val="none"/>
                      <w:lang w:eastAsia="zh-CN"/>
                    </w:rPr>
                    <w:t>”处理后经</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5m排气筒（DA00</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达标</w:t>
                  </w:r>
                  <w:r>
                    <w:rPr>
                      <w:rFonts w:hint="default" w:ascii="Times New Roman" w:hAnsi="Times New Roman" w:cs="Times New Roman"/>
                      <w:color w:val="auto"/>
                      <w:highlight w:val="none"/>
                      <w:lang w:eastAsia="zh-CN"/>
                    </w:rPr>
                    <w:t>排放</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废水治理</w:t>
                  </w:r>
                </w:p>
              </w:tc>
              <w:tc>
                <w:tcPr>
                  <w:tcW w:w="2290" w:type="pct"/>
                  <w:noWrap w:val="0"/>
                  <w:vAlign w:val="center"/>
                </w:tcPr>
                <w:p>
                  <w:pPr>
                    <w:adjustRightInd w:val="0"/>
                    <w:snapToGrid w:val="0"/>
                    <w:jc w:val="left"/>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
                      <w:bCs w:val="0"/>
                      <w:color w:val="auto"/>
                      <w:kern w:val="0"/>
                      <w:szCs w:val="21"/>
                      <w:highlight w:val="none"/>
                    </w:rPr>
                    <w:t>生活污水：</w:t>
                  </w:r>
                  <w:r>
                    <w:rPr>
                      <w:rFonts w:hint="default" w:ascii="Times New Roman" w:hAnsi="Times New Roman" w:cs="Times New Roman"/>
                      <w:bCs/>
                      <w:color w:val="auto"/>
                      <w:kern w:val="0"/>
                      <w:szCs w:val="21"/>
                      <w:highlight w:val="none"/>
                    </w:rPr>
                    <w:t>经厂区预处理池（</w:t>
                  </w:r>
                  <w:r>
                    <w:rPr>
                      <w:rFonts w:hint="eastAsia" w:cs="Times New Roman"/>
                      <w:bCs/>
                      <w:color w:val="auto"/>
                      <w:kern w:val="0"/>
                      <w:szCs w:val="21"/>
                      <w:highlight w:val="none"/>
                      <w:lang w:val="en-US" w:eastAsia="zh-CN"/>
                    </w:rPr>
                    <w:t>20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Cs/>
                      <w:color w:val="auto"/>
                      <w:kern w:val="0"/>
                      <w:szCs w:val="21"/>
                      <w:highlight w:val="none"/>
                    </w:rPr>
                    <w:t>）处理</w:t>
                  </w:r>
                  <w:r>
                    <w:rPr>
                      <w:rFonts w:hint="default" w:ascii="Times New Roman" w:hAnsi="Times New Roman" w:cs="Times New Roman"/>
                      <w:bCs/>
                      <w:color w:val="auto"/>
                      <w:kern w:val="0"/>
                      <w:szCs w:val="21"/>
                      <w:highlight w:val="none"/>
                      <w:lang w:eastAsia="zh-CN"/>
                    </w:rPr>
                    <w:t>达标后，排入市政污水管网，经蓬溪县经济开发区废水处理厂处理</w:t>
                  </w:r>
                  <w:r>
                    <w:rPr>
                      <w:rFonts w:hint="default" w:ascii="Times New Roman" w:hAnsi="Times New Roman" w:cs="Times New Roman"/>
                      <w:bCs/>
                      <w:color w:val="auto"/>
                      <w:kern w:val="0"/>
                      <w:szCs w:val="21"/>
                      <w:highlight w:val="none"/>
                    </w:rPr>
                    <w:t>后</w:t>
                  </w:r>
                  <w:r>
                    <w:rPr>
                      <w:rFonts w:hint="default" w:ascii="Times New Roman" w:hAnsi="Times New Roman" w:cs="Times New Roman"/>
                      <w:bCs/>
                      <w:color w:val="auto"/>
                      <w:kern w:val="0"/>
                      <w:szCs w:val="21"/>
                      <w:highlight w:val="none"/>
                      <w:lang w:eastAsia="zh-CN"/>
                    </w:rPr>
                    <w:t>达标排放。</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噪声治理</w:t>
                  </w:r>
                </w:p>
              </w:tc>
              <w:tc>
                <w:tcPr>
                  <w:tcW w:w="2290" w:type="pct"/>
                  <w:noWrap w:val="0"/>
                  <w:vAlign w:val="center"/>
                </w:tcPr>
                <w:p>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对设备进行合理布局，采取基础减振，距离衰减，厂房隔声的降噪</w:t>
                  </w:r>
                  <w:r>
                    <w:rPr>
                      <w:rFonts w:hint="eastAsia" w:cs="Times New Roman"/>
                      <w:color w:val="auto"/>
                      <w:kern w:val="0"/>
                      <w:sz w:val="21"/>
                      <w:szCs w:val="21"/>
                      <w:highlight w:val="none"/>
                      <w:lang w:val="en-US" w:eastAsia="zh-CN" w:bidi="ar"/>
                    </w:rPr>
                    <w:t>方</w:t>
                  </w:r>
                  <w:r>
                    <w:rPr>
                      <w:rFonts w:hint="default" w:ascii="Times New Roman" w:hAnsi="Times New Roman" w:cs="Times New Roman"/>
                      <w:color w:val="auto"/>
                      <w:kern w:val="0"/>
                      <w:sz w:val="21"/>
                      <w:szCs w:val="21"/>
                      <w:highlight w:val="none"/>
                      <w:lang w:bidi="ar"/>
                    </w:rPr>
                    <w:t>式</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vMerge w:val="restar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固废治理</w:t>
                  </w:r>
                </w:p>
              </w:tc>
              <w:tc>
                <w:tcPr>
                  <w:tcW w:w="2290" w:type="pct"/>
                  <w:noWrap w:val="0"/>
                  <w:vAlign w:val="center"/>
                </w:tcPr>
                <w:p>
                  <w:pPr>
                    <w:widowControl/>
                    <w:jc w:val="left"/>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kern w:val="0"/>
                      <w:sz w:val="21"/>
                      <w:szCs w:val="21"/>
                      <w:highlight w:val="none"/>
                      <w:lang w:val="en-US" w:eastAsia="zh-CN" w:bidi="ar"/>
                    </w:rPr>
                    <w:t>设置一般固废暂存区，位于二楼车间西北侧，约20</w:t>
                  </w:r>
                  <w:r>
                    <w:rPr>
                      <w:rFonts w:hint="default" w:ascii="Times New Roman" w:hAnsi="Times New Roman" w:eastAsia="宋体" w:cs="Times New Roman"/>
                      <w:b w:val="0"/>
                      <w:bCs/>
                      <w:color w:val="auto"/>
                      <w:kern w:val="0"/>
                      <w:sz w:val="21"/>
                      <w:szCs w:val="21"/>
                      <w:highlight w:val="none"/>
                      <w:lang w:val="en-US" w:eastAsia="zh-CN" w:bidi="ar"/>
                    </w:rPr>
                    <w:t>m</w:t>
                  </w:r>
                  <w:r>
                    <w:rPr>
                      <w:rFonts w:hint="default" w:ascii="Times New Roman" w:hAnsi="Times New Roman" w:eastAsia="宋体" w:cs="Times New Roman"/>
                      <w:b w:val="0"/>
                      <w:bCs/>
                      <w:color w:val="auto"/>
                      <w:kern w:val="0"/>
                      <w:sz w:val="21"/>
                      <w:szCs w:val="21"/>
                      <w:highlight w:val="none"/>
                      <w:vertAlign w:val="superscript"/>
                      <w:lang w:val="en-US" w:eastAsia="zh-CN" w:bidi="ar"/>
                    </w:rPr>
                    <w:t>2</w:t>
                  </w:r>
                  <w:r>
                    <w:rPr>
                      <w:rFonts w:hint="eastAsia" w:ascii="Times New Roman" w:hAnsi="Times New Roman" w:cs="Times New Roman"/>
                      <w:b w:val="0"/>
                      <w:bCs/>
                      <w:color w:val="auto"/>
                      <w:kern w:val="0"/>
                      <w:sz w:val="21"/>
                      <w:szCs w:val="21"/>
                      <w:highlight w:val="none"/>
                      <w:vertAlign w:val="baseline"/>
                      <w:lang w:val="en-US" w:eastAsia="zh-CN" w:bidi="ar"/>
                    </w:rPr>
                    <w:t>。</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vMerge w:val="continue"/>
                  <w:noWrap w:val="0"/>
                  <w:vAlign w:val="center"/>
                </w:tcPr>
                <w:p>
                  <w:pPr>
                    <w:pStyle w:val="33"/>
                    <w:spacing w:before="0"/>
                    <w:rPr>
                      <w:rFonts w:hint="default" w:ascii="Times New Roman" w:hAnsi="Times New Roman" w:cs="Times New Roman"/>
                      <w:bCs/>
                      <w:color w:val="auto"/>
                      <w:sz w:val="21"/>
                      <w:szCs w:val="21"/>
                      <w:highlight w:val="none"/>
                    </w:rPr>
                  </w:pPr>
                </w:p>
              </w:tc>
              <w:tc>
                <w:tcPr>
                  <w:tcW w:w="2290" w:type="pct"/>
                  <w:noWrap w:val="0"/>
                  <w:vAlign w:val="center"/>
                </w:tcPr>
                <w:p>
                  <w:pPr>
                    <w:pStyle w:val="7"/>
                    <w:jc w:val="both"/>
                    <w:rPr>
                      <w:rFonts w:hint="default" w:ascii="Times New Roman" w:hAnsi="Times New Roman" w:cs="Times New Roman"/>
                      <w:color w:val="auto"/>
                      <w:sz w:val="21"/>
                      <w:szCs w:val="21"/>
                      <w:highlight w:val="none"/>
                      <w:lang w:bidi="ar"/>
                    </w:rPr>
                  </w:pPr>
                  <w:r>
                    <w:rPr>
                      <w:rFonts w:hint="eastAsia" w:cs="Times New Roman"/>
                      <w:bCs/>
                      <w:color w:val="auto"/>
                      <w:kern w:val="0"/>
                      <w:sz w:val="21"/>
                      <w:szCs w:val="21"/>
                      <w:highlight w:val="none"/>
                      <w:lang w:val="en-US" w:eastAsia="zh-CN" w:bidi="ar"/>
                    </w:rPr>
                    <w:t>设置危险废物暂存间</w:t>
                  </w:r>
                  <w:r>
                    <w:rPr>
                      <w:rFonts w:hint="eastAsia" w:ascii="Times New Roman" w:hAnsi="Times New Roman" w:eastAsia="宋体" w:cs="Times New Roman"/>
                      <w:bCs/>
                      <w:color w:val="auto"/>
                      <w:kern w:val="0"/>
                      <w:sz w:val="21"/>
                      <w:szCs w:val="21"/>
                      <w:highlight w:val="none"/>
                      <w:lang w:val="en-US" w:eastAsia="zh-CN" w:bidi="ar"/>
                    </w:rPr>
                    <w:t>，占地约为20</w:t>
                  </w:r>
                  <w:r>
                    <w:rPr>
                      <w:rFonts w:hint="default" w:ascii="Times New Roman" w:hAnsi="Times New Roman" w:eastAsia="宋体" w:cs="Times New Roman"/>
                      <w:bCs/>
                      <w:color w:val="auto"/>
                      <w:kern w:val="0"/>
                      <w:sz w:val="21"/>
                      <w:szCs w:val="21"/>
                      <w:highlight w:val="none"/>
                      <w:lang w:val="en-US" w:eastAsia="zh-CN" w:bidi="ar"/>
                    </w:rPr>
                    <w:t>m</w:t>
                  </w:r>
                  <w:r>
                    <w:rPr>
                      <w:rFonts w:hint="default" w:ascii="Times New Roman" w:hAnsi="Times New Roman" w:eastAsia="宋体" w:cs="Times New Roman"/>
                      <w:bCs/>
                      <w:color w:val="auto"/>
                      <w:kern w:val="0"/>
                      <w:sz w:val="21"/>
                      <w:szCs w:val="21"/>
                      <w:highlight w:val="none"/>
                      <w:vertAlign w:val="superscript"/>
                      <w:lang w:val="en-US" w:eastAsia="zh-CN" w:bidi="ar"/>
                    </w:rPr>
                    <w:t>2</w:t>
                  </w:r>
                  <w:r>
                    <w:rPr>
                      <w:rFonts w:hint="eastAsia" w:ascii="Times New Roman" w:hAnsi="Times New Roman" w:eastAsia="宋体"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位于</w:t>
                  </w:r>
                  <w:r>
                    <w:rPr>
                      <w:rFonts w:hint="eastAsia" w:cs="Times New Roman"/>
                      <w:bCs/>
                      <w:color w:val="auto"/>
                      <w:kern w:val="0"/>
                      <w:sz w:val="21"/>
                      <w:szCs w:val="21"/>
                      <w:highlight w:val="none"/>
                      <w:lang w:val="en-US" w:eastAsia="zh-CN" w:bidi="ar"/>
                    </w:rPr>
                    <w:t>一</w:t>
                  </w:r>
                  <w:r>
                    <w:rPr>
                      <w:rFonts w:hint="eastAsia" w:ascii="Times New Roman" w:hAnsi="Times New Roman" w:eastAsia="宋体" w:cs="Times New Roman"/>
                      <w:bCs/>
                      <w:color w:val="auto"/>
                      <w:kern w:val="0"/>
                      <w:sz w:val="21"/>
                      <w:szCs w:val="21"/>
                      <w:highlight w:val="none"/>
                      <w:lang w:val="en-US" w:eastAsia="zh-CN" w:bidi="ar"/>
                    </w:rPr>
                    <w:t>楼生产车间西侧</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交由有资质的单位处置。</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环境风险</w:t>
                  </w:r>
                </w:p>
              </w:tc>
              <w:tc>
                <w:tcPr>
                  <w:tcW w:w="40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center"/>
                </w:tcPr>
                <w:p>
                  <w:pPr>
                    <w:widowControl/>
                    <w:jc w:val="center"/>
                    <w:rPr>
                      <w:rFonts w:hint="default" w:ascii="Times New Roman" w:hAnsi="Times New Roman" w:cs="Times New Roman"/>
                      <w:color w:val="auto"/>
                      <w:szCs w:val="21"/>
                      <w:highlight w:val="none"/>
                    </w:rPr>
                  </w:pPr>
                </w:p>
              </w:tc>
              <w:tc>
                <w:tcPr>
                  <w:tcW w:w="812" w:type="pct"/>
                  <w:noWrap w:val="0"/>
                  <w:vAlign w:val="center"/>
                </w:tcPr>
                <w:p>
                  <w:pPr>
                    <w:pStyle w:val="33"/>
                    <w:spacing w:before="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地下水治理</w:t>
                  </w:r>
                </w:p>
              </w:tc>
              <w:tc>
                <w:tcPr>
                  <w:tcW w:w="2290" w:type="pct"/>
                  <w:noWrap w:val="0"/>
                  <w:vAlign w:val="center"/>
                </w:tcPr>
                <w:p>
                  <w:pPr>
                    <w:adjustRightInd w:val="0"/>
                    <w:snapToGrid w:val="0"/>
                    <w:jc w:val="both"/>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重点防渗区</w:t>
                  </w:r>
                  <w:r>
                    <w:rPr>
                      <w:rFonts w:hint="default" w:ascii="Times New Roman" w:hAnsi="Times New Roman" w:cs="Times New Roman"/>
                      <w:color w:val="auto"/>
                      <w:szCs w:val="21"/>
                      <w:highlight w:val="none"/>
                    </w:rPr>
                    <w:t>：危废暂存间</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浸</w:t>
                  </w:r>
                  <w:r>
                    <w:rPr>
                      <w:rFonts w:hint="eastAsia" w:cs="Times New Roman"/>
                      <w:color w:val="auto"/>
                      <w:szCs w:val="21"/>
                      <w:highlight w:val="none"/>
                      <w:lang w:val="en-US" w:eastAsia="zh-CN"/>
                    </w:rPr>
                    <w:t>漆和</w:t>
                  </w:r>
                  <w:r>
                    <w:rPr>
                      <w:rFonts w:hint="eastAsia" w:ascii="Times New Roman" w:hAnsi="Times New Roman" w:cs="Times New Roman"/>
                      <w:color w:val="auto"/>
                      <w:szCs w:val="21"/>
                      <w:highlight w:val="none"/>
                      <w:lang w:eastAsia="zh-CN"/>
                    </w:rPr>
                    <w:t>烘干</w:t>
                  </w:r>
                  <w:r>
                    <w:rPr>
                      <w:rFonts w:hint="default" w:ascii="Times New Roman" w:hAnsi="Times New Roman" w:cs="Times New Roman"/>
                      <w:color w:val="auto"/>
                      <w:szCs w:val="21"/>
                      <w:highlight w:val="none"/>
                    </w:rPr>
                    <w:t>区、</w:t>
                  </w:r>
                  <w:r>
                    <w:rPr>
                      <w:rFonts w:hint="eastAsia" w:cs="Times New Roman"/>
                      <w:color w:val="auto"/>
                      <w:szCs w:val="21"/>
                      <w:highlight w:val="none"/>
                      <w:lang w:val="en-US" w:eastAsia="zh-CN"/>
                    </w:rPr>
                    <w:t>辅料库房采取</w:t>
                  </w:r>
                  <w:r>
                    <w:rPr>
                      <w:rFonts w:hint="eastAsia"/>
                      <w:color w:val="auto"/>
                      <w:sz w:val="21"/>
                      <w:szCs w:val="21"/>
                      <w:highlight w:val="none"/>
                    </w:rPr>
                    <w:t>防渗混凝土+2mm厚HDPE（高密度聚乙烯膜）</w:t>
                  </w:r>
                  <w:r>
                    <w:rPr>
                      <w:rFonts w:hint="eastAsia"/>
                      <w:color w:val="auto"/>
                      <w:sz w:val="21"/>
                      <w:szCs w:val="21"/>
                      <w:highlight w:val="none"/>
                      <w:lang w:eastAsia="zh-CN"/>
                    </w:rPr>
                    <w:t>，</w:t>
                  </w:r>
                  <w:r>
                    <w:rPr>
                      <w:color w:val="auto"/>
                      <w:sz w:val="21"/>
                      <w:szCs w:val="21"/>
                      <w:highlight w:val="none"/>
                    </w:rPr>
                    <w:t>满足防渗要求</w:t>
                  </w:r>
                  <w:r>
                    <w:rPr>
                      <w:rFonts w:hint="eastAsia"/>
                      <w:color w:val="auto"/>
                      <w:sz w:val="21"/>
                      <w:szCs w:val="21"/>
                      <w:highlight w:val="none"/>
                      <w:lang w:eastAsia="zh-CN"/>
                    </w:rPr>
                    <w:t>，</w:t>
                  </w:r>
                  <w:r>
                    <w:rPr>
                      <w:rFonts w:hint="eastAsia"/>
                      <w:color w:val="auto"/>
                      <w:sz w:val="21"/>
                      <w:szCs w:val="21"/>
                      <w:highlight w:val="none"/>
                      <w:lang w:val="en-US" w:eastAsia="zh-CN"/>
                    </w:rPr>
                    <w:t>并设置围堰和防渗托盘，</w:t>
                  </w:r>
                  <w:r>
                    <w:rPr>
                      <w:rFonts w:hint="eastAsia" w:ascii="Times New Roman" w:hAnsi="Times New Roman" w:eastAsia="宋体" w:cs="Times New Roman"/>
                      <w:b w:val="0"/>
                      <w:bCs/>
                      <w:color w:val="auto"/>
                      <w:sz w:val="21"/>
                      <w:szCs w:val="21"/>
                      <w:highlight w:val="none"/>
                    </w:rPr>
                    <w:t>等效黏土防渗层Mb≥6.0m，K≤1×10</w:t>
                  </w:r>
                  <w:r>
                    <w:rPr>
                      <w:rFonts w:hint="eastAsia" w:ascii="Times New Roman" w:hAnsi="Times New Roman" w:eastAsia="宋体" w:cs="Times New Roman"/>
                      <w:b w:val="0"/>
                      <w:bCs/>
                      <w:color w:val="auto"/>
                      <w:sz w:val="21"/>
                      <w:szCs w:val="21"/>
                      <w:highlight w:val="none"/>
                      <w:vertAlign w:val="superscript"/>
                    </w:rPr>
                    <w:t>-10</w:t>
                  </w:r>
                  <w:r>
                    <w:rPr>
                      <w:rFonts w:hint="eastAsia" w:ascii="Times New Roman" w:hAnsi="Times New Roman" w:eastAsia="宋体" w:cs="Times New Roman"/>
                      <w:b w:val="0"/>
                      <w:bCs/>
                      <w:color w:val="auto"/>
                      <w:sz w:val="21"/>
                      <w:szCs w:val="21"/>
                      <w:highlight w:val="none"/>
                    </w:rPr>
                    <w:t>cm/s）</w:t>
                  </w:r>
                  <w:r>
                    <w:rPr>
                      <w:rFonts w:hint="default" w:ascii="Times New Roman" w:hAnsi="Times New Roman" w:cs="Times New Roman"/>
                      <w:color w:val="auto"/>
                      <w:szCs w:val="21"/>
                      <w:highlight w:val="none"/>
                    </w:rPr>
                    <w:t xml:space="preserve"> </w:t>
                  </w: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b/>
                      <w:bCs/>
                      <w:color w:val="auto"/>
                      <w:szCs w:val="21"/>
                      <w:highlight w:val="none"/>
                    </w:rPr>
                    <w:t>一般防渗区</w:t>
                  </w:r>
                  <w:r>
                    <w:rPr>
                      <w:rFonts w:hint="default" w:ascii="Times New Roman" w:hAnsi="Times New Roman" w:cs="Times New Roman"/>
                      <w:color w:val="auto"/>
                      <w:szCs w:val="21"/>
                      <w:highlight w:val="none"/>
                    </w:rPr>
                    <w:t>：</w:t>
                  </w:r>
                  <w:r>
                    <w:rPr>
                      <w:rFonts w:hint="default" w:ascii="Times New Roman" w:hAnsi="Times New Roman" w:cs="Times New Roman"/>
                      <w:color w:val="auto"/>
                      <w:sz w:val="21"/>
                      <w:szCs w:val="21"/>
                      <w:highlight w:val="none"/>
                    </w:rPr>
                    <w:t>除重点防渗和简单防渗区域外剩余区域进行一般防渗</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一般防渗区地面采取粘土铺底，上层铺10～15cm的水泥进行硬化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等效黏土防渗层Mb≥1.5m，防渗层渗透系数≤1×10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p>
                <w:p>
                  <w:pPr>
                    <w:adjustRightInd w:val="0"/>
                    <w:snapToGrid w:val="0"/>
                    <w:jc w:val="both"/>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简单防渗区</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一楼办公区、二楼车间整体、三楼车间整体均为简单防渗</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地面</w:t>
                  </w:r>
                  <w:r>
                    <w:rPr>
                      <w:rFonts w:hint="eastAsia" w:cs="Times New Roman"/>
                      <w:color w:val="auto"/>
                      <w:szCs w:val="21"/>
                      <w:highlight w:val="none"/>
                      <w:lang w:val="en-US" w:eastAsia="zh-CN"/>
                    </w:rPr>
                    <w:t>采取</w:t>
                  </w:r>
                  <w:r>
                    <w:rPr>
                      <w:rFonts w:hint="default" w:ascii="Times New Roman" w:hAnsi="Times New Roman" w:cs="Times New Roman"/>
                      <w:color w:val="auto"/>
                      <w:szCs w:val="21"/>
                      <w:highlight w:val="none"/>
                    </w:rPr>
                    <w:t>硬化处理</w:t>
                  </w:r>
                </w:p>
              </w:tc>
              <w:tc>
                <w:tcPr>
                  <w:tcW w:w="588" w:type="pct"/>
                  <w:vMerge w:val="continue"/>
                  <w:noWrap w:val="0"/>
                  <w:vAlign w:val="center"/>
                </w:tcPr>
                <w:p>
                  <w:pPr>
                    <w:jc w:val="center"/>
                    <w:rPr>
                      <w:rFonts w:hint="default" w:ascii="Times New Roman" w:hAnsi="Times New Roman" w:cs="Times New Roman"/>
                      <w:color w:val="auto"/>
                      <w:szCs w:val="21"/>
                      <w:highlight w:val="none"/>
                    </w:rPr>
                  </w:pPr>
                </w:p>
              </w:tc>
              <w:tc>
                <w:tcPr>
                  <w:tcW w:w="56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06" w:type="pct"/>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新建</w:t>
                  </w:r>
                </w:p>
              </w:tc>
            </w:tr>
          </w:tbl>
          <w:p>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项目组成及主要环境问题</w:t>
            </w:r>
          </w:p>
          <w:p>
            <w:pPr>
              <w:pStyle w:val="3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本项目依托关系见下表。</w:t>
            </w:r>
          </w:p>
          <w:p>
            <w:pPr>
              <w:pStyle w:val="17"/>
              <w:spacing w:before="0" w:after="0"/>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 xml:space="preserve">  本项目依托关系一览表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363"/>
              <w:gridCol w:w="2098"/>
              <w:gridCol w:w="3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noWrap w:val="0"/>
                  <w:vAlign w:val="center"/>
                </w:tcPr>
                <w:p>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858" w:type="pct"/>
                  <w:noWrap w:val="0"/>
                  <w:vAlign w:val="center"/>
                </w:tcPr>
                <w:p>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依托设施</w:t>
                  </w:r>
                </w:p>
              </w:tc>
              <w:tc>
                <w:tcPr>
                  <w:tcW w:w="1320" w:type="pct"/>
                  <w:noWrap w:val="0"/>
                  <w:vAlign w:val="center"/>
                </w:tcPr>
                <w:p>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依托情况</w:t>
                  </w:r>
                </w:p>
              </w:tc>
              <w:tc>
                <w:tcPr>
                  <w:tcW w:w="2416" w:type="pct"/>
                  <w:noWrap w:val="0"/>
                  <w:vAlign w:val="center"/>
                </w:tcPr>
                <w:p>
                  <w:pPr>
                    <w:widowControl/>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本项目依托的可行性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858" w:type="pct"/>
                  <w:noWrap w:val="0"/>
                  <w:vAlign w:val="center"/>
                </w:tcPr>
                <w:p>
                  <w:pPr>
                    <w:widowControl/>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水、电等市政设施</w:t>
                  </w:r>
                </w:p>
              </w:tc>
              <w:tc>
                <w:tcPr>
                  <w:tcW w:w="1320" w:type="pct"/>
                  <w:noWrap w:val="0"/>
                  <w:vAlign w:val="center"/>
                </w:tcPr>
                <w:p>
                  <w:pPr>
                    <w:widowControl/>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厂房配套供水供电设施</w:t>
                  </w:r>
                </w:p>
              </w:tc>
              <w:tc>
                <w:tcPr>
                  <w:tcW w:w="2416" w:type="pct"/>
                  <w:noWrap w:val="0"/>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满足本项目使用需求，依托可行</w:t>
                  </w:r>
                  <w:r>
                    <w:rPr>
                      <w:rFonts w:hint="default" w:ascii="Times New Roman" w:hAnsi="Times New Roman" w:cs="Times New Roman"/>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858" w:type="pct"/>
                  <w:noWrap w:val="0"/>
                  <w:vAlign w:val="center"/>
                </w:tcPr>
                <w:p>
                  <w:pPr>
                    <w:widowControl/>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预处理池</w:t>
                  </w:r>
                </w:p>
              </w:tc>
              <w:tc>
                <w:tcPr>
                  <w:tcW w:w="1320" w:type="pct"/>
                  <w:noWrap w:val="0"/>
                  <w:vAlign w:val="center"/>
                </w:tcPr>
                <w:p>
                  <w:pPr>
                    <w:widowControl/>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厂区已建有一座（</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）预处理池</w:t>
                  </w:r>
                </w:p>
              </w:tc>
              <w:tc>
                <w:tcPr>
                  <w:tcW w:w="2416" w:type="pct"/>
                  <w:noWrap w:val="0"/>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根据现场踏勘，预处理池剩余处理能力为</w:t>
                  </w:r>
                  <w:r>
                    <w:rPr>
                      <w:rFonts w:hint="default" w:ascii="Times New Roman" w:hAnsi="Times New Roman" w:cs="Times New Roman"/>
                      <w:color w:val="auto"/>
                      <w:sz w:val="21"/>
                      <w:szCs w:val="21"/>
                      <w:highlight w:val="none"/>
                      <w:lang w:val="en-US" w:eastAsia="zh-CN"/>
                    </w:rPr>
                    <w:t>9m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default" w:ascii="Times New Roman" w:hAnsi="Times New Roman" w:cs="Times New Roman"/>
                      <w:color w:val="auto"/>
                      <w:spacing w:val="-6"/>
                      <w:sz w:val="21"/>
                      <w:szCs w:val="21"/>
                      <w:highlight w:val="none"/>
                      <w:lang w:eastAsia="zh-CN"/>
                    </w:rPr>
                    <w:t>本项目生活污水排放量为</w:t>
                  </w:r>
                  <w:r>
                    <w:rPr>
                      <w:rFonts w:hint="eastAsia" w:cs="Times New Roman"/>
                      <w:color w:val="auto"/>
                      <w:spacing w:val="-6"/>
                      <w:sz w:val="21"/>
                      <w:szCs w:val="21"/>
                      <w:highlight w:val="none"/>
                      <w:lang w:val="en-US" w:eastAsia="zh-CN"/>
                    </w:rPr>
                    <w:t>1</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满足本项目使用要求，依托可行</w:t>
                  </w:r>
                  <w:r>
                    <w:rPr>
                      <w:rFonts w:hint="default" w:ascii="Times New Roman" w:hAnsi="Times New Roman" w:cs="Times New Roman"/>
                      <w:color w:val="auto"/>
                      <w:sz w:val="21"/>
                      <w:szCs w:val="21"/>
                      <w:highlight w:val="none"/>
                      <w:lang w:eastAsia="zh-CN"/>
                    </w:rPr>
                    <w:t>。</w:t>
                  </w:r>
                </w:p>
              </w:tc>
            </w:tr>
          </w:tbl>
          <w:p>
            <w:pPr>
              <w:adjustRightInd w:val="0"/>
              <w:snapToGrid w:val="0"/>
              <w:spacing w:before="120" w:beforeLines="50"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五</w:t>
            </w:r>
            <w:r>
              <w:rPr>
                <w:rFonts w:hint="default" w:ascii="Times New Roman" w:hAnsi="Times New Roman" w:cs="Times New Roman"/>
                <w:b/>
                <w:color w:val="auto"/>
                <w:sz w:val="24"/>
                <w:highlight w:val="none"/>
              </w:rPr>
              <w:t>、主要生产设备设施</w:t>
            </w:r>
          </w:p>
          <w:p>
            <w:pPr>
              <w:adjustRightInd w:val="0"/>
              <w:snapToGrid w:val="0"/>
              <w:spacing w:line="360" w:lineRule="auto"/>
              <w:ind w:firstLine="480" w:firstLineChars="200"/>
              <w:jc w:val="left"/>
              <w:rPr>
                <w:rFonts w:hint="default" w:ascii="Times New Roman" w:hAnsi="Times New Roman" w:cs="Times New Roman"/>
                <w:b/>
                <w:bCs/>
                <w:color w:val="auto"/>
                <w:szCs w:val="21"/>
                <w:highlight w:val="none"/>
              </w:rPr>
            </w:pPr>
            <w:r>
              <w:rPr>
                <w:rFonts w:hint="default" w:ascii="Times New Roman" w:hAnsi="Times New Roman" w:cs="Times New Roman"/>
                <w:snapToGrid w:val="0"/>
                <w:color w:val="auto"/>
                <w:kern w:val="0"/>
                <w:sz w:val="24"/>
                <w:highlight w:val="none"/>
              </w:rPr>
              <w:t>本项目主要设备清单见下表。</w:t>
            </w:r>
          </w:p>
          <w:p>
            <w:pPr>
              <w:autoSpaceDE w:val="0"/>
              <w:autoSpaceDN w:val="0"/>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表2-4  本项目主要设备一览表</w:t>
            </w:r>
          </w:p>
          <w:tbl>
            <w:tblPr>
              <w:tblStyle w:val="19"/>
              <w:tblW w:w="493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83"/>
              <w:gridCol w:w="765"/>
              <w:gridCol w:w="690"/>
              <w:gridCol w:w="794"/>
              <w:gridCol w:w="1677"/>
              <w:gridCol w:w="1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336"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009"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设备名称</w:t>
                  </w:r>
                </w:p>
              </w:tc>
              <w:tc>
                <w:tcPr>
                  <w:tcW w:w="487" w:type="pct"/>
                  <w:noWrap w:val="0"/>
                  <w:vAlign w:val="center"/>
                </w:tcPr>
                <w:p>
                  <w:pPr>
                    <w:jc w:val="center"/>
                    <w:rPr>
                      <w:rFonts w:hint="eastAsia" w:ascii="Times New Roman" w:hAnsi="Times New Roman" w:eastAsia="宋体" w:cs="Times New Roman"/>
                      <w:b/>
                      <w:bCs/>
                      <w:color w:val="auto"/>
                      <w:szCs w:val="21"/>
                      <w:highlight w:val="none"/>
                      <w:lang w:eastAsia="zh-CN"/>
                    </w:rPr>
                  </w:pPr>
                  <w:r>
                    <w:rPr>
                      <w:rFonts w:hint="eastAsia" w:ascii="Times New Roman" w:hAnsi="Times New Roman" w:cs="Times New Roman"/>
                      <w:b/>
                      <w:bCs/>
                      <w:color w:val="auto"/>
                      <w:szCs w:val="21"/>
                      <w:highlight w:val="none"/>
                      <w:lang w:eastAsia="zh-CN"/>
                    </w:rPr>
                    <w:t>型号</w:t>
                  </w:r>
                </w:p>
              </w:tc>
              <w:tc>
                <w:tcPr>
                  <w:tcW w:w="440"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单位</w:t>
                  </w:r>
                </w:p>
              </w:tc>
              <w:tc>
                <w:tcPr>
                  <w:tcW w:w="506"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数量</w:t>
                  </w:r>
                </w:p>
              </w:tc>
              <w:tc>
                <w:tcPr>
                  <w:tcW w:w="1069"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工序</w:t>
                  </w:r>
                </w:p>
              </w:tc>
              <w:tc>
                <w:tcPr>
                  <w:tcW w:w="1150" w:type="pct"/>
                  <w:noWrap w:val="0"/>
                  <w:vAlign w:val="center"/>
                </w:tcPr>
                <w:p>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09" w:type="pct"/>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lang w:eastAsia="zh-CN"/>
                    </w:rPr>
                  </w:pPr>
                  <w:r>
                    <w:rPr>
                      <w:rFonts w:hint="eastAsia"/>
                      <w:color w:val="auto"/>
                      <w:sz w:val="21"/>
                      <w:szCs w:val="21"/>
                      <w:highlight w:val="none"/>
                      <w:lang w:val="en-US" w:eastAsia="zh-CN"/>
                    </w:rPr>
                    <w:t>自动绕线机</w:t>
                  </w:r>
                </w:p>
              </w:tc>
              <w:tc>
                <w:tcPr>
                  <w:tcW w:w="487"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16轴</w:t>
                  </w:r>
                </w:p>
              </w:tc>
              <w:tc>
                <w:tcPr>
                  <w:tcW w:w="440"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06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绕线</w:t>
                  </w:r>
                </w:p>
              </w:tc>
              <w:tc>
                <w:tcPr>
                  <w:tcW w:w="1150" w:type="pct"/>
                  <w:vMerge w:val="restar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功能都是绕线，单轴绕线机只有一个轴，只能同时绕制一个线圈，而多轴绕线机则具有多个轴，可以同时绕制多个线圈。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100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自动绕线机</w:t>
                  </w:r>
                </w:p>
              </w:tc>
              <w:tc>
                <w:tcPr>
                  <w:tcW w:w="487" w:type="pct"/>
                  <w:noWrap w:val="0"/>
                  <w:vAlign w:val="center"/>
                </w:tcPr>
                <w:p>
                  <w:pPr>
                    <w:jc w:val="center"/>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12轴</w:t>
                  </w:r>
                </w:p>
              </w:tc>
              <w:tc>
                <w:tcPr>
                  <w:tcW w:w="440"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069"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绕线</w:t>
                  </w:r>
                </w:p>
              </w:tc>
              <w:tc>
                <w:tcPr>
                  <w:tcW w:w="1150"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00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自动绕线机</w:t>
                  </w:r>
                </w:p>
              </w:tc>
              <w:tc>
                <w:tcPr>
                  <w:tcW w:w="487" w:type="pct"/>
                  <w:noWrap w:val="0"/>
                  <w:vAlign w:val="center"/>
                </w:tcPr>
                <w:p>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单轴</w:t>
                  </w:r>
                </w:p>
              </w:tc>
              <w:tc>
                <w:tcPr>
                  <w:tcW w:w="440"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w:t>
                  </w:r>
                </w:p>
              </w:tc>
              <w:tc>
                <w:tcPr>
                  <w:tcW w:w="1069"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绕线</w:t>
                  </w:r>
                </w:p>
              </w:tc>
              <w:tc>
                <w:tcPr>
                  <w:tcW w:w="1150"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激光脱皮机</w:t>
                  </w:r>
                </w:p>
              </w:tc>
              <w:tc>
                <w:tcPr>
                  <w:tcW w:w="487"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440"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台</w:t>
                  </w:r>
                </w:p>
              </w:tc>
              <w:tc>
                <w:tcPr>
                  <w:tcW w:w="50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w:t>
                  </w:r>
                </w:p>
              </w:tc>
              <w:tc>
                <w:tcPr>
                  <w:tcW w:w="106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激光脱皮</w:t>
                  </w:r>
                </w:p>
              </w:tc>
              <w:tc>
                <w:tcPr>
                  <w:tcW w:w="1150"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激光脱皮每次配套模具一起使用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w:t>
                  </w:r>
                </w:p>
              </w:tc>
              <w:tc>
                <w:tcPr>
                  <w:tcW w:w="100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eastAsia="zh-CN"/>
                    </w:rPr>
                    <w:t>焊锡机</w:t>
                  </w:r>
                </w:p>
              </w:tc>
              <w:tc>
                <w:tcPr>
                  <w:tcW w:w="487" w:type="pct"/>
                  <w:noWrap w:val="0"/>
                  <w:vAlign w:val="center"/>
                </w:tcPr>
                <w:p>
                  <w:pPr>
                    <w:jc w:val="center"/>
                    <w:rPr>
                      <w:rFonts w:hint="eastAsia" w:cs="Times New Roman"/>
                      <w:color w:val="auto"/>
                      <w:szCs w:val="21"/>
                      <w:highlight w:val="none"/>
                      <w:lang w:val="en-US" w:eastAsia="zh-CN"/>
                    </w:rPr>
                  </w:pPr>
                  <w:r>
                    <w:rPr>
                      <w:rFonts w:hint="default" w:ascii="Times New Roman" w:hAnsi="Times New Roman" w:cs="Times New Roman"/>
                      <w:color w:val="auto"/>
                      <w:szCs w:val="21"/>
                      <w:highlight w:val="none"/>
                    </w:rPr>
                    <w:t>/</w:t>
                  </w:r>
                </w:p>
              </w:tc>
              <w:tc>
                <w:tcPr>
                  <w:tcW w:w="440" w:type="pct"/>
                  <w:noWrap w:val="0"/>
                  <w:vAlign w:val="center"/>
                </w:tcPr>
                <w:p>
                  <w:pPr>
                    <w:jc w:val="center"/>
                    <w:rPr>
                      <w:rFonts w:hint="eastAsia" w:cs="Times New Roman"/>
                      <w:color w:val="auto"/>
                      <w:szCs w:val="21"/>
                      <w:highlight w:val="none"/>
                      <w:lang w:val="en-US" w:eastAsia="zh-CN"/>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w:t>
                  </w:r>
                </w:p>
              </w:tc>
              <w:tc>
                <w:tcPr>
                  <w:tcW w:w="1069" w:type="pct"/>
                  <w:noWrap w:val="0"/>
                  <w:vAlign w:val="center"/>
                </w:tcPr>
                <w:p>
                  <w:pPr>
                    <w:jc w:val="center"/>
                    <w:rPr>
                      <w:rFonts w:hint="eastAsia" w:cs="Times New Roman"/>
                      <w:color w:val="auto"/>
                      <w:szCs w:val="21"/>
                      <w:highlight w:val="none"/>
                      <w:lang w:val="en-US" w:eastAsia="zh-CN"/>
                    </w:rPr>
                  </w:pPr>
                  <w:r>
                    <w:rPr>
                      <w:rFonts w:hint="eastAsia" w:cs="Times New Roman"/>
                      <w:color w:val="auto"/>
                      <w:kern w:val="2"/>
                      <w:sz w:val="21"/>
                      <w:szCs w:val="21"/>
                      <w:highlight w:val="none"/>
                      <w:lang w:val="en-US" w:eastAsia="zh-CN" w:bidi="ar-SA"/>
                    </w:rPr>
                    <w:t>焊锡</w:t>
                  </w:r>
                </w:p>
              </w:tc>
              <w:tc>
                <w:tcPr>
                  <w:tcW w:w="1150" w:type="pct"/>
                  <w:noWrap w:val="0"/>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1009" w:type="pct"/>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eastAsia"/>
                      <w:color w:val="auto"/>
                      <w:sz w:val="21"/>
                      <w:szCs w:val="21"/>
                      <w:highlight w:val="none"/>
                      <w:lang w:val="en-US" w:eastAsia="zh-CN"/>
                    </w:rPr>
                    <w:t>自动装配机</w:t>
                  </w:r>
                </w:p>
              </w:tc>
              <w:tc>
                <w:tcPr>
                  <w:tcW w:w="487"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106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装配</w:t>
                  </w:r>
                </w:p>
              </w:tc>
              <w:tc>
                <w:tcPr>
                  <w:tcW w:w="1150" w:type="pct"/>
                  <w:noWrap w:val="0"/>
                  <w:vAlign w:val="center"/>
                </w:tcPr>
                <w:p>
                  <w:pPr>
                    <w:spacing w:line="240" w:lineRule="auto"/>
                    <w:ind w:left="0" w:leftChars="0" w:firstLine="0" w:firstLineChars="0"/>
                    <w:jc w:val="center"/>
                    <w:rPr>
                      <w:rFonts w:hint="default" w:ascii="Times New Roman" w:hAnsi="Times New Roman" w:cs="Times New Roman"/>
                      <w:color w:val="auto"/>
                      <w:szCs w:val="21"/>
                      <w:highlight w:val="none"/>
                      <w:lang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半自动装配机</w:t>
                  </w:r>
                </w:p>
              </w:tc>
              <w:tc>
                <w:tcPr>
                  <w:tcW w:w="487" w:type="pct"/>
                  <w:noWrap w:val="0"/>
                  <w:vAlign w:val="center"/>
                </w:tcPr>
                <w:p>
                  <w:pPr>
                    <w:jc w:val="center"/>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440"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台</w:t>
                  </w:r>
                </w:p>
              </w:tc>
              <w:tc>
                <w:tcPr>
                  <w:tcW w:w="506"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w:t>
                  </w:r>
                </w:p>
              </w:tc>
              <w:tc>
                <w:tcPr>
                  <w:tcW w:w="106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装配</w:t>
                  </w:r>
                </w:p>
              </w:tc>
              <w:tc>
                <w:tcPr>
                  <w:tcW w:w="1150" w:type="pct"/>
                  <w:noWrap w:val="0"/>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w:t>
                  </w:r>
                </w:p>
              </w:tc>
              <w:tc>
                <w:tcPr>
                  <w:tcW w:w="100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全自动含</w:t>
                  </w:r>
                  <w:r>
                    <w:rPr>
                      <w:rFonts w:hint="eastAsia"/>
                      <w:color w:val="auto"/>
                      <w:sz w:val="21"/>
                      <w:szCs w:val="21"/>
                      <w:highlight w:val="none"/>
                      <w:lang w:eastAsia="zh-CN"/>
                    </w:rPr>
                    <w:t>浸机</w:t>
                  </w:r>
                </w:p>
              </w:tc>
              <w:tc>
                <w:tcPr>
                  <w:tcW w:w="487" w:type="pct"/>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套</w:t>
                  </w:r>
                </w:p>
              </w:tc>
              <w:tc>
                <w:tcPr>
                  <w:tcW w:w="50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1069" w:type="pct"/>
                  <w:noWrap w:val="0"/>
                  <w:vAlign w:val="center"/>
                </w:tcPr>
                <w:p>
                  <w:pPr>
                    <w:jc w:val="center"/>
                    <w:rPr>
                      <w:rFonts w:hint="default" w:cs="Times New Roman"/>
                      <w:color w:val="auto"/>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浸</w:t>
                  </w:r>
                  <w:r>
                    <w:rPr>
                      <w:rFonts w:hint="eastAsia" w:cs="Times New Roman"/>
                      <w:color w:val="auto"/>
                      <w:kern w:val="2"/>
                      <w:sz w:val="21"/>
                      <w:szCs w:val="21"/>
                      <w:highlight w:val="none"/>
                      <w:lang w:val="en-US" w:eastAsia="zh-CN" w:bidi="ar-SA"/>
                    </w:rPr>
                    <w:t>漆</w:t>
                  </w:r>
                </w:p>
              </w:tc>
              <w:tc>
                <w:tcPr>
                  <w:tcW w:w="1150" w:type="pct"/>
                  <w:noWrap w:val="0"/>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设备分为控制台和工作台两部分，机器设备有配套铁盘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9</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烤</w:t>
                  </w:r>
                  <w:r>
                    <w:rPr>
                      <w:rFonts w:hint="eastAsia"/>
                      <w:color w:val="auto"/>
                      <w:sz w:val="21"/>
                      <w:szCs w:val="21"/>
                      <w:highlight w:val="none"/>
                      <w:lang w:eastAsia="zh-CN"/>
                    </w:rPr>
                    <w:t>箱</w:t>
                  </w:r>
                </w:p>
              </w:tc>
              <w:tc>
                <w:tcPr>
                  <w:tcW w:w="487"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default"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2</w:t>
                  </w:r>
                </w:p>
              </w:tc>
              <w:tc>
                <w:tcPr>
                  <w:tcW w:w="1069" w:type="pct"/>
                  <w:noWrap w:val="0"/>
                  <w:vAlign w:val="center"/>
                </w:tcPr>
                <w:p>
                  <w:pPr>
                    <w:jc w:val="center"/>
                    <w:rPr>
                      <w:rFonts w:hint="default"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烘干</w:t>
                  </w:r>
                </w:p>
              </w:tc>
              <w:tc>
                <w:tcPr>
                  <w:tcW w:w="1150" w:type="pct"/>
                  <w:noWrap w:val="0"/>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一个双门烤箱，一个单门烤箱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100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s="Times New Roman"/>
                      <w:color w:val="auto"/>
                      <w:szCs w:val="21"/>
                      <w:highlight w:val="none"/>
                      <w:lang w:val="en-US" w:eastAsia="zh-CN"/>
                    </w:rPr>
                    <w:t>耐压机</w:t>
                  </w:r>
                </w:p>
              </w:tc>
              <w:tc>
                <w:tcPr>
                  <w:tcW w:w="487" w:type="pct"/>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eastAsia" w:cs="Times New Roman"/>
                      <w:color w:val="auto"/>
                      <w:szCs w:val="21"/>
                      <w:highlight w:val="none"/>
                      <w:lang w:val="en-US" w:eastAsia="zh-CN"/>
                    </w:rPr>
                  </w:pPr>
                  <w:r>
                    <w:rPr>
                      <w:rFonts w:hint="default" w:ascii="Times New Roman" w:hAnsi="Times New Roman" w:cs="Times New Roman"/>
                      <w:color w:val="auto"/>
                      <w:szCs w:val="21"/>
                      <w:highlight w:val="none"/>
                    </w:rPr>
                    <w:t>台</w:t>
                  </w:r>
                </w:p>
              </w:tc>
              <w:tc>
                <w:tcPr>
                  <w:tcW w:w="506" w:type="pct"/>
                  <w:noWrap w:val="0"/>
                  <w:vAlign w:val="center"/>
                </w:tcPr>
                <w:p>
                  <w:pPr>
                    <w:jc w:val="center"/>
                    <w:rPr>
                      <w:rFonts w:hint="eastAsia" w:cs="Times New Roman"/>
                      <w:color w:val="auto"/>
                      <w:szCs w:val="21"/>
                      <w:highlight w:val="none"/>
                      <w:lang w:val="en-US" w:eastAsia="zh-CN"/>
                    </w:rPr>
                  </w:pPr>
                  <w:r>
                    <w:rPr>
                      <w:rFonts w:hint="eastAsia" w:cs="Times New Roman"/>
                      <w:color w:val="auto"/>
                      <w:kern w:val="2"/>
                      <w:sz w:val="21"/>
                      <w:szCs w:val="21"/>
                      <w:highlight w:val="none"/>
                      <w:lang w:val="en-US" w:eastAsia="zh-CN" w:bidi="ar-SA"/>
                    </w:rPr>
                    <w:t>2</w:t>
                  </w:r>
                </w:p>
              </w:tc>
              <w:tc>
                <w:tcPr>
                  <w:tcW w:w="1069" w:type="pct"/>
                  <w:noWrap w:val="0"/>
                  <w:vAlign w:val="center"/>
                </w:tcPr>
                <w:p>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成品</w:t>
                  </w:r>
                  <w:r>
                    <w:rPr>
                      <w:rFonts w:hint="eastAsia" w:ascii="Times New Roman" w:hAnsi="Times New Roman" w:eastAsia="宋体" w:cs="Times New Roman"/>
                      <w:color w:val="auto"/>
                      <w:szCs w:val="21"/>
                      <w:highlight w:val="none"/>
                      <w:lang w:val="en-US" w:eastAsia="zh-CN"/>
                    </w:rPr>
                    <w:t>检测</w:t>
                  </w:r>
                </w:p>
              </w:tc>
              <w:tc>
                <w:tcPr>
                  <w:tcW w:w="1150" w:type="pct"/>
                  <w:noWrap w:val="0"/>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11</w:t>
                  </w:r>
                </w:p>
              </w:tc>
              <w:tc>
                <w:tcPr>
                  <w:tcW w:w="1009" w:type="pct"/>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eastAsia"/>
                      <w:color w:val="auto"/>
                      <w:sz w:val="21"/>
                      <w:szCs w:val="21"/>
                      <w:highlight w:val="none"/>
                      <w:lang w:val="en-US" w:eastAsia="zh-CN"/>
                    </w:rPr>
                    <w:t>电感机</w:t>
                  </w:r>
                </w:p>
              </w:tc>
              <w:tc>
                <w:tcPr>
                  <w:tcW w:w="487"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台</w:t>
                  </w:r>
                </w:p>
              </w:tc>
              <w:tc>
                <w:tcPr>
                  <w:tcW w:w="50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06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成品</w:t>
                  </w:r>
                  <w:r>
                    <w:rPr>
                      <w:rFonts w:hint="eastAsia" w:ascii="Times New Roman" w:hAnsi="Times New Roman" w:eastAsia="宋体" w:cs="Times New Roman"/>
                      <w:color w:val="auto"/>
                      <w:szCs w:val="21"/>
                      <w:highlight w:val="none"/>
                      <w:lang w:val="en-US" w:eastAsia="zh-CN"/>
                    </w:rPr>
                    <w:t>检测</w:t>
                  </w:r>
                </w:p>
              </w:tc>
              <w:tc>
                <w:tcPr>
                  <w:tcW w:w="1150" w:type="pct"/>
                  <w:noWrap w:val="0"/>
                  <w:vAlign w:val="center"/>
                </w:tcPr>
                <w:p>
                  <w:pPr>
                    <w:spacing w:line="240" w:lineRule="auto"/>
                    <w:ind w:left="0" w:leftChars="0" w:firstLine="0" w:firstLineChars="0"/>
                    <w:jc w:val="center"/>
                    <w:rPr>
                      <w:rFonts w:hint="default" w:ascii="Times New Roman" w:hAnsi="Times New Roman" w:cs="Times New Roman"/>
                      <w:color w:val="auto"/>
                      <w:szCs w:val="21"/>
                      <w:highlight w:val="none"/>
                      <w:lang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12</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激光打标机</w:t>
                  </w:r>
                </w:p>
              </w:tc>
              <w:tc>
                <w:tcPr>
                  <w:tcW w:w="487"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台</w:t>
                  </w:r>
                </w:p>
              </w:tc>
              <w:tc>
                <w:tcPr>
                  <w:tcW w:w="50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w:t>
                  </w:r>
                </w:p>
              </w:tc>
              <w:tc>
                <w:tcPr>
                  <w:tcW w:w="1069"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包装入库</w:t>
                  </w:r>
                </w:p>
              </w:tc>
              <w:tc>
                <w:tcPr>
                  <w:tcW w:w="1150" w:type="pct"/>
                  <w:noWrap w:val="0"/>
                  <w:vAlign w:val="center"/>
                </w:tcPr>
                <w:p>
                  <w:pPr>
                    <w:spacing w:line="240" w:lineRule="auto"/>
                    <w:ind w:left="0" w:leftChars="0" w:firstLine="0" w:firstLineChars="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对产品进行激光标记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13</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空压机</w:t>
                  </w:r>
                </w:p>
              </w:tc>
              <w:tc>
                <w:tcPr>
                  <w:tcW w:w="487"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台</w:t>
                  </w:r>
                </w:p>
              </w:tc>
              <w:tc>
                <w:tcPr>
                  <w:tcW w:w="506"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c>
                <w:tcPr>
                  <w:tcW w:w="1069" w:type="pct"/>
                  <w:noWrap w:val="0"/>
                  <w:vAlign w:val="center"/>
                </w:tcPr>
                <w:p>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辅助设备</w:t>
                  </w:r>
                </w:p>
              </w:tc>
              <w:tc>
                <w:tcPr>
                  <w:tcW w:w="1150" w:type="pct"/>
                  <w:noWrap w:val="0"/>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14</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集气装置</w:t>
                  </w:r>
                </w:p>
              </w:tc>
              <w:tc>
                <w:tcPr>
                  <w:tcW w:w="487" w:type="pct"/>
                  <w:noWrap w:val="0"/>
                  <w:vAlign w:val="center"/>
                </w:tcPr>
                <w:p>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p>
              </w:tc>
              <w:tc>
                <w:tcPr>
                  <w:tcW w:w="440"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个</w:t>
                  </w:r>
                </w:p>
              </w:tc>
              <w:tc>
                <w:tcPr>
                  <w:tcW w:w="50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w:t>
                  </w:r>
                </w:p>
              </w:tc>
              <w:tc>
                <w:tcPr>
                  <w:tcW w:w="1069" w:type="pct"/>
                  <w:noWrap w:val="0"/>
                  <w:vAlign w:val="center"/>
                </w:tcPr>
                <w:p>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环保</w:t>
                  </w:r>
                </w:p>
              </w:tc>
              <w:tc>
                <w:tcPr>
                  <w:tcW w:w="1150" w:type="pct"/>
                  <w:noWrap w:val="0"/>
                  <w:vAlign w:val="center"/>
                </w:tcPr>
                <w:p>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激光脱皮机、焊锡机设备处设置的集气罩，含浸机、烤箱设备处设置的集气管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15</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风机</w:t>
                  </w:r>
                </w:p>
              </w:tc>
              <w:tc>
                <w:tcPr>
                  <w:tcW w:w="487" w:type="pct"/>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w:t>
                  </w:r>
                </w:p>
              </w:tc>
              <w:tc>
                <w:tcPr>
                  <w:tcW w:w="440"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台</w:t>
                  </w:r>
                </w:p>
              </w:tc>
              <w:tc>
                <w:tcPr>
                  <w:tcW w:w="50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1069" w:type="pct"/>
                  <w:noWrap w:val="0"/>
                  <w:vAlign w:val="center"/>
                </w:tcPr>
                <w:p>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环保</w:t>
                  </w:r>
                </w:p>
              </w:tc>
              <w:tc>
                <w:tcPr>
                  <w:tcW w:w="1150" w:type="pct"/>
                  <w:noWrap w:val="0"/>
                  <w:vAlign w:val="center"/>
                </w:tcPr>
                <w:p>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noWrap w:val="0"/>
                  <w:vAlign w:val="center"/>
                </w:tcPr>
                <w:p>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16</w:t>
                  </w:r>
                </w:p>
              </w:tc>
              <w:tc>
                <w:tcPr>
                  <w:tcW w:w="1009"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eastAsia="zh-CN"/>
                    </w:rPr>
                    <w:t>二级活性炭吸附装置</w:t>
                  </w:r>
                </w:p>
              </w:tc>
              <w:tc>
                <w:tcPr>
                  <w:tcW w:w="487"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c>
                <w:tcPr>
                  <w:tcW w:w="440" w:type="pct"/>
                  <w:noWrap w:val="0"/>
                  <w:vAlign w:val="center"/>
                </w:tcPr>
                <w:p>
                  <w:pPr>
                    <w:jc w:val="center"/>
                    <w:rPr>
                      <w:rFonts w:hint="default"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套</w:t>
                  </w:r>
                </w:p>
              </w:tc>
              <w:tc>
                <w:tcPr>
                  <w:tcW w:w="506" w:type="pct"/>
                  <w:noWrap w:val="0"/>
                  <w:vAlign w:val="center"/>
                </w:tcPr>
                <w:p>
                  <w:pPr>
                    <w:jc w:val="center"/>
                    <w:rPr>
                      <w:rFonts w:hint="default"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1</w:t>
                  </w:r>
                </w:p>
              </w:tc>
              <w:tc>
                <w:tcPr>
                  <w:tcW w:w="1069" w:type="pct"/>
                  <w:noWrap w:val="0"/>
                  <w:vAlign w:val="center"/>
                </w:tcPr>
                <w:p>
                  <w:pPr>
                    <w:jc w:val="center"/>
                    <w:rPr>
                      <w:rFonts w:hint="default"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环保</w:t>
                  </w:r>
                </w:p>
              </w:tc>
              <w:tc>
                <w:tcPr>
                  <w:tcW w:w="1150"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bl>
          <w:p>
            <w:pPr>
              <w:adjustRightInd w:val="0"/>
              <w:snapToGrid w:val="0"/>
              <w:spacing w:before="120" w:beforeLines="50"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六</w:t>
            </w:r>
            <w:r>
              <w:rPr>
                <w:rFonts w:hint="default" w:ascii="Times New Roman" w:hAnsi="Times New Roman" w:cs="Times New Roman"/>
                <w:b/>
                <w:color w:val="auto"/>
                <w:sz w:val="24"/>
                <w:highlight w:val="none"/>
              </w:rPr>
              <w:t>、主要原辅料及燃料种类</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本项目原辅材料消耗情况见下表。</w:t>
            </w:r>
          </w:p>
          <w:p>
            <w:pPr>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表2-5  本项目主要原辅材料一览表</w:t>
            </w:r>
          </w:p>
          <w:tbl>
            <w:tblPr>
              <w:tblStyle w:val="20"/>
              <w:tblW w:w="4993"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5"/>
              <w:gridCol w:w="1294"/>
              <w:gridCol w:w="640"/>
              <w:gridCol w:w="932"/>
              <w:gridCol w:w="1192"/>
              <w:gridCol w:w="1779"/>
              <w:gridCol w:w="13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年用量</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厂区最大贮存量</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规格</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使用工序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原辅材料</w:t>
                  </w: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电木粉骨架</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只</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r>
                    <w:rPr>
                      <w:rFonts w:hint="eastAsia" w:ascii="Times New Roman" w:hAnsi="Times New Roman" w:eastAsia="宋体" w:cs="Times New Roman"/>
                      <w:color w:val="auto"/>
                      <w:sz w:val="21"/>
                      <w:szCs w:val="21"/>
                      <w:highlight w:val="none"/>
                      <w:lang w:val="en-US" w:eastAsia="zh-CN"/>
                    </w:rPr>
                    <w:t>万</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48万</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E</w:t>
                  </w:r>
                  <w:r>
                    <w:rPr>
                      <w:rFonts w:hint="eastAsia" w:cs="Times New Roman"/>
                      <w:color w:val="auto"/>
                      <w:sz w:val="21"/>
                      <w:szCs w:val="21"/>
                      <w:highlight w:val="none"/>
                      <w:lang w:val="en-US" w:eastAsia="zh-CN"/>
                    </w:rPr>
                    <w:t>型（上面自带针脚）</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绕装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铜</w:t>
                  </w:r>
                  <w:r>
                    <w:rPr>
                      <w:rFonts w:hint="eastAsia" w:ascii="Times New Roman" w:hAnsi="Times New Roman" w:eastAsia="宋体" w:cs="Times New Roman"/>
                      <w:color w:val="auto"/>
                      <w:sz w:val="21"/>
                      <w:szCs w:val="21"/>
                      <w:highlight w:val="none"/>
                      <w:lang w:val="en-US" w:eastAsia="zh-CN"/>
                    </w:rPr>
                    <w:t>线</w:t>
                  </w:r>
                </w:p>
              </w:tc>
              <w:tc>
                <w:tcPr>
                  <w:tcW w:w="403"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7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1.2</w:t>
                  </w:r>
                </w:p>
              </w:tc>
              <w:tc>
                <w:tcPr>
                  <w:tcW w:w="11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0.40-0.50mm</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绕装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绝缘线</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米</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15万</w:t>
                  </w:r>
                </w:p>
              </w:tc>
              <w:tc>
                <w:tcPr>
                  <w:tcW w:w="7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1.2万</w:t>
                  </w:r>
                </w:p>
              </w:tc>
              <w:tc>
                <w:tcPr>
                  <w:tcW w:w="11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0.35-0.40mm</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绕装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焊锡条</w:t>
                  </w:r>
                </w:p>
              </w:tc>
              <w:tc>
                <w:tcPr>
                  <w:tcW w:w="403" w:type="pct"/>
                  <w:tcBorders>
                    <w:tl2br w:val="nil"/>
                    <w:tr2bl w:val="nil"/>
                  </w:tcBorders>
                  <w:noWrap w:val="0"/>
                  <w:vAlign w:val="center"/>
                </w:tcPr>
                <w:p>
                  <w:pPr>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0.096</w:t>
                  </w:r>
                </w:p>
              </w:tc>
              <w:tc>
                <w:tcPr>
                  <w:tcW w:w="1121" w:type="pct"/>
                  <w:tcBorders>
                    <w:tl2br w:val="nil"/>
                    <w:tr2bl w:val="nil"/>
                  </w:tcBorders>
                  <w:noWrap w:val="0"/>
                  <w:vAlign w:val="center"/>
                </w:tcPr>
                <w:p>
                  <w:pPr>
                    <w:jc w:val="center"/>
                    <w:rPr>
                      <w:rFonts w:hint="eastAsia"/>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助焊剂</w:t>
                  </w:r>
                </w:p>
              </w:tc>
              <w:tc>
                <w:tcPr>
                  <w:tcW w:w="403" w:type="pct"/>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121" w:type="pct"/>
                  <w:tcBorders>
                    <w:tl2br w:val="nil"/>
                    <w:tr2bl w:val="nil"/>
                  </w:tcBorders>
                  <w:noWrap w:val="0"/>
                  <w:vAlign w:val="center"/>
                </w:tcPr>
                <w:p>
                  <w:pPr>
                    <w:jc w:val="center"/>
                    <w:rPr>
                      <w:rFonts w:hint="default"/>
                      <w:color w:val="auto"/>
                      <w:szCs w:val="21"/>
                      <w:highlight w:val="none"/>
                      <w:lang w:val="en-US" w:eastAsia="zh-CN"/>
                    </w:rPr>
                  </w:pPr>
                  <w:r>
                    <w:rPr>
                      <w:rFonts w:hint="eastAsia" w:cs="Times New Roman"/>
                      <w:color w:val="auto"/>
                      <w:sz w:val="21"/>
                      <w:szCs w:val="21"/>
                      <w:highlight w:val="none"/>
                      <w:lang w:val="en-US" w:eastAsia="zh-CN"/>
                    </w:rPr>
                    <w:t>桶装，约25kg/桶</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磁芯</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只</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r>
                    <w:rPr>
                      <w:rFonts w:hint="eastAsia" w:ascii="Times New Roman" w:hAnsi="Times New Roman" w:eastAsia="宋体" w:cs="Times New Roman"/>
                      <w:color w:val="auto"/>
                      <w:sz w:val="21"/>
                      <w:szCs w:val="21"/>
                      <w:highlight w:val="none"/>
                      <w:lang w:val="en-US" w:eastAsia="zh-CN"/>
                    </w:rPr>
                    <w:t>万</w:t>
                  </w:r>
                </w:p>
              </w:tc>
              <w:tc>
                <w:tcPr>
                  <w:tcW w:w="751"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48万</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E</w:t>
                  </w:r>
                  <w:r>
                    <w:rPr>
                      <w:rFonts w:hint="eastAsia" w:cs="Times New Roman"/>
                      <w:color w:val="auto"/>
                      <w:sz w:val="21"/>
                      <w:szCs w:val="21"/>
                      <w:highlight w:val="none"/>
                      <w:lang w:val="en-US" w:eastAsia="zh-CN"/>
                    </w:rPr>
                    <w:t>型</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绕装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胶带</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卷</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751" w:type="pct"/>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5-20mm</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绕装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绝缘漆</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0.088</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罐装，约18-20kg/罐</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浸漆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稀释剂</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751" w:type="pct"/>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lang w:val="en-US" w:eastAsia="zh-CN"/>
                    </w:rPr>
                    <w:t>0.036</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罐装，约18-20kg/罐</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浸漆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泡棉</w:t>
                  </w:r>
                </w:p>
              </w:tc>
              <w:tc>
                <w:tcPr>
                  <w:tcW w:w="403"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w:t>
                  </w:r>
                </w:p>
              </w:tc>
              <w:tc>
                <w:tcPr>
                  <w:tcW w:w="1121"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包装纸箱</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机油</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1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5"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设备润滑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能耗</w:t>
                  </w: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625</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21"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生活用水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1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4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Kw</w:t>
                  </w:r>
                </w:p>
              </w:tc>
              <w:tc>
                <w:tcPr>
                  <w:tcW w:w="5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15000</w:t>
                  </w:r>
                </w:p>
              </w:tc>
              <w:tc>
                <w:tcPr>
                  <w:tcW w:w="7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21"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照明和设备</w:t>
                  </w:r>
                </w:p>
              </w:tc>
            </w:tr>
          </w:tbl>
          <w:p>
            <w:pPr>
              <w:spacing w:line="360" w:lineRule="auto"/>
              <w:ind w:firstLine="482" w:firstLineChars="200"/>
              <w:rPr>
                <w:rFonts w:hint="default" w:ascii="Times New Roman" w:hAnsi="Times New Roman" w:cs="Times New Roman"/>
                <w:color w:val="auto"/>
                <w:kern w:val="0"/>
                <w:sz w:val="24"/>
                <w:highlight w:val="none"/>
              </w:rPr>
            </w:pPr>
            <w:r>
              <w:rPr>
                <w:rFonts w:hint="default" w:ascii="Times New Roman" w:hAnsi="Times New Roman" w:cs="Times New Roman"/>
                <w:b/>
                <w:bCs/>
                <w:color w:val="auto"/>
                <w:sz w:val="24"/>
                <w:highlight w:val="none"/>
              </w:rPr>
              <w:t>原辅材料</w:t>
            </w:r>
            <w:r>
              <w:rPr>
                <w:rFonts w:hint="eastAsia" w:ascii="Times New Roman" w:hAnsi="Times New Roman" w:cs="Times New Roman"/>
                <w:b/>
                <w:bCs/>
                <w:color w:val="auto"/>
                <w:sz w:val="24"/>
                <w:highlight w:val="none"/>
                <w:lang w:eastAsia="zh-CN"/>
              </w:rPr>
              <w:t>理化</w:t>
            </w:r>
            <w:r>
              <w:rPr>
                <w:rFonts w:hint="default" w:ascii="Times New Roman" w:hAnsi="Times New Roman" w:cs="Times New Roman"/>
                <w:b/>
                <w:bCs/>
                <w:color w:val="auto"/>
                <w:sz w:val="24"/>
                <w:highlight w:val="none"/>
              </w:rPr>
              <w:t>性质</w:t>
            </w:r>
            <w:r>
              <w:rPr>
                <w:rFonts w:hint="default" w:ascii="Times New Roman" w:hAnsi="Times New Roman" w:cs="Times New Roman"/>
                <w:color w:val="auto"/>
                <w:sz w:val="24"/>
                <w:highlight w:val="none"/>
              </w:rPr>
              <w:t>：</w:t>
            </w:r>
          </w:p>
          <w:p>
            <w:pPr>
              <w:pStyle w:val="34"/>
              <w:spacing w:line="360" w:lineRule="auto"/>
              <w:ind w:firstLine="482" w:firstLineChars="200"/>
              <w:jc w:val="both"/>
              <w:rPr>
                <w:rFonts w:hint="eastAsia" w:ascii="Times New Roman" w:eastAsia="宋体" w:cs="Times New Roman"/>
                <w:b w:val="0"/>
                <w:bCs w:val="0"/>
                <w:color w:val="auto"/>
                <w:sz w:val="24"/>
                <w:szCs w:val="24"/>
                <w:highlight w:val="none"/>
                <w:lang w:val="en-US" w:eastAsia="zh-CN"/>
              </w:rPr>
            </w:pPr>
            <w:r>
              <w:rPr>
                <w:rFonts w:hint="eastAsia" w:ascii="Times New Roman" w:eastAsia="宋体" w:cs="Times New Roman"/>
                <w:b/>
                <w:bCs/>
                <w:color w:val="auto"/>
                <w:sz w:val="24"/>
                <w:szCs w:val="24"/>
                <w:highlight w:val="none"/>
                <w:lang w:val="en-US" w:eastAsia="zh-CN"/>
              </w:rPr>
              <w:t>电木粉骨架：</w:t>
            </w:r>
            <w:r>
              <w:rPr>
                <w:rFonts w:hint="eastAsia" w:ascii="Times New Roman" w:eastAsia="宋体" w:cs="Times New Roman"/>
                <w:b w:val="0"/>
                <w:bCs w:val="0"/>
                <w:color w:val="auto"/>
                <w:sz w:val="24"/>
                <w:szCs w:val="24"/>
                <w:highlight w:val="none"/>
                <w:lang w:val="en-US" w:eastAsia="zh-CN"/>
              </w:rPr>
              <w:t>是一种用于电气设备中的绝缘材料，它的主要用途是支撑、固定隔离电气元件，多数是采用PVC或PPO塑料，内部预埋有铜柱、铜插针、铜螺丝等，形成一个框架，这个框架既可以起到支撑作用，又可以起到导电的作用。</w:t>
            </w:r>
          </w:p>
          <w:p>
            <w:pPr>
              <w:pStyle w:val="34"/>
              <w:spacing w:line="360" w:lineRule="auto"/>
              <w:ind w:firstLine="482" w:firstLineChars="200"/>
              <w:jc w:val="both"/>
              <w:rPr>
                <w:rFonts w:hint="default" w:ascii="Times New Roman" w:eastAsia="宋体" w:cs="Times New Roman"/>
                <w:b w:val="0"/>
                <w:bCs w:val="0"/>
                <w:color w:val="auto"/>
                <w:sz w:val="24"/>
                <w:szCs w:val="24"/>
                <w:highlight w:val="none"/>
                <w:lang w:val="en-US" w:eastAsia="zh-CN"/>
              </w:rPr>
            </w:pPr>
            <w:r>
              <w:rPr>
                <w:rFonts w:hint="eastAsia" w:ascii="Times New Roman" w:eastAsia="宋体" w:cs="Times New Roman"/>
                <w:b/>
                <w:bCs/>
                <w:color w:val="auto"/>
                <w:sz w:val="24"/>
                <w:szCs w:val="24"/>
                <w:highlight w:val="none"/>
                <w:lang w:val="en-US" w:eastAsia="zh-CN"/>
              </w:rPr>
              <w:t>铜线：</w:t>
            </w:r>
            <w:r>
              <w:rPr>
                <w:rFonts w:hint="eastAsia" w:ascii="Times New Roman" w:eastAsia="宋体" w:cs="Times New Roman"/>
                <w:b w:val="0"/>
                <w:bCs w:val="0"/>
                <w:color w:val="auto"/>
                <w:sz w:val="24"/>
                <w:szCs w:val="24"/>
                <w:highlight w:val="none"/>
                <w:lang w:val="en-US" w:eastAsia="zh-CN"/>
              </w:rPr>
              <w:t>纯铜是柔软的金属，表面刚切开时为红橙色带金属光泽，单质呈紫红色。延展性好，导热性和导电性高，因此在电缆和电气、电子元件是最常用的材料，也可用作建筑材料，可以组成众多种合金。铜合金机械性能优异，电阻率很低，其中最重要的数青铜和黄铜。此外，铜也是耐用的金属，可以多次回收而无损其机械性能。项目使用的为漆包铜圆线，漆包铜圆线可以长时间在200℃以上的温度下运行，适用于高温环境下的电气设备。</w:t>
            </w:r>
          </w:p>
          <w:p>
            <w:pPr>
              <w:pStyle w:val="34"/>
              <w:spacing w:line="360" w:lineRule="auto"/>
              <w:ind w:firstLine="482"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ascii="Times New Roman" w:eastAsia="宋体" w:cs="Times New Roman"/>
                <w:b/>
                <w:bCs/>
                <w:color w:val="auto"/>
                <w:sz w:val="24"/>
                <w:szCs w:val="24"/>
                <w:highlight w:val="none"/>
                <w:lang w:val="en-US" w:eastAsia="zh-CN"/>
              </w:rPr>
              <w:t>绝缘线：</w:t>
            </w:r>
            <w:r>
              <w:rPr>
                <w:rFonts w:hint="eastAsia" w:ascii="Times New Roman" w:eastAsia="宋体" w:cs="Times New Roman"/>
                <w:b w:val="0"/>
                <w:bCs w:val="0"/>
                <w:color w:val="auto"/>
                <w:sz w:val="24"/>
                <w:szCs w:val="24"/>
                <w:highlight w:val="none"/>
                <w:lang w:val="en-US" w:eastAsia="zh-CN"/>
              </w:rPr>
              <w:t>绝缘线的结构是：裸铜导体+聚酰胺薄膜+高绝缘性的喷漆涂层+透明的玻璃纤维层，适用于尖端技术、国防领域，制作微型电机绕组、小型化开关电源的高频变压器绕组。其优点是绝缘强度高，不需要加阻挡层以保证安全边距，也不用在级间绕绝缘胶带层；电流密度大。</w:t>
            </w:r>
          </w:p>
          <w:p>
            <w:pPr>
              <w:pStyle w:val="34"/>
              <w:spacing w:line="360" w:lineRule="auto"/>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b/>
                <w:bCs/>
                <w:color w:val="auto"/>
                <w:sz w:val="24"/>
                <w:szCs w:val="24"/>
                <w:highlight w:val="none"/>
                <w:lang w:eastAsia="zh-CN"/>
              </w:rPr>
              <w:t>无铅锡条：</w:t>
            </w:r>
            <w:r>
              <w:rPr>
                <w:rFonts w:hint="eastAsia" w:ascii="Times New Roman" w:hAnsi="Times New Roman" w:eastAsia="宋体"/>
                <w:b w:val="0"/>
                <w:bCs w:val="0"/>
                <w:color w:val="auto"/>
                <w:sz w:val="24"/>
                <w:szCs w:val="24"/>
                <w:highlight w:val="none"/>
                <w:lang w:eastAsia="zh-CN"/>
              </w:rPr>
              <w:t>根据成分报告，</w:t>
            </w:r>
            <w:r>
              <w:rPr>
                <w:rFonts w:hint="eastAsia" w:ascii="Times New Roman" w:hAnsi="Times New Roman" w:eastAsia="宋体"/>
                <w:b w:val="0"/>
                <w:bCs/>
                <w:color w:val="auto"/>
                <w:sz w:val="24"/>
                <w:szCs w:val="24"/>
                <w:highlight w:val="none"/>
              </w:rPr>
              <w:t>无铅焊锡条原料是由99.</w:t>
            </w:r>
            <w:r>
              <w:rPr>
                <w:rFonts w:hint="eastAsia" w:ascii="Times New Roman" w:hAnsi="Times New Roman" w:eastAsia="宋体"/>
                <w:b w:val="0"/>
                <w:bCs/>
                <w:color w:val="auto"/>
                <w:sz w:val="24"/>
                <w:szCs w:val="24"/>
                <w:highlight w:val="none"/>
                <w:lang w:val="en-US" w:eastAsia="zh-CN"/>
              </w:rPr>
              <w:t>3</w:t>
            </w:r>
            <w:r>
              <w:rPr>
                <w:rFonts w:hint="eastAsia" w:ascii="Times New Roman" w:hAnsi="Times New Roman" w:eastAsia="宋体"/>
                <w:b w:val="0"/>
                <w:bCs/>
                <w:color w:val="auto"/>
                <w:sz w:val="24"/>
                <w:szCs w:val="24"/>
                <w:highlight w:val="none"/>
              </w:rPr>
              <w:t>%的纯锡和其他非铅金属成分经过真空脱氧处理后的互相融合</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rPr>
              <w:t>能有效控制其它杂质</w:t>
            </w:r>
            <w:r>
              <w:rPr>
                <w:rFonts w:hint="eastAsia"/>
                <w:b w:val="0"/>
                <w:bCs/>
                <w:color w:val="auto"/>
                <w:sz w:val="24"/>
                <w:szCs w:val="24"/>
                <w:highlight w:val="none"/>
                <w:lang w:eastAsia="zh-CN"/>
              </w:rPr>
              <w:t>，</w:t>
            </w:r>
            <w:r>
              <w:rPr>
                <w:rFonts w:hint="eastAsia" w:ascii="Times New Roman" w:hAnsi="Times New Roman" w:eastAsia="宋体"/>
                <w:b w:val="0"/>
                <w:bCs/>
                <w:color w:val="auto"/>
                <w:sz w:val="24"/>
                <w:szCs w:val="24"/>
                <w:highlight w:val="none"/>
              </w:rPr>
              <w:t>完全符合国际标准焊锡的要求</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rPr>
              <w:t>因而有下列优点</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rPr>
              <w:t>抗氧化性能极高</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rPr>
              <w:t>杂质浮渣极少</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rPr>
              <w:t>流动性大</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rPr>
              <w:t>损耗少</w:t>
            </w:r>
            <w:r>
              <w:rPr>
                <w:rFonts w:hint="eastAsia" w:ascii="Times New Roman" w:hAnsi="Times New Roman" w:eastAsia="宋体"/>
                <w:b w:val="0"/>
                <w:bCs/>
                <w:color w:val="auto"/>
                <w:sz w:val="24"/>
                <w:szCs w:val="24"/>
                <w:highlight w:val="none"/>
                <w:lang w:eastAsia="zh-CN"/>
              </w:rPr>
              <w:t>。</w:t>
            </w:r>
          </w:p>
          <w:p>
            <w:pPr>
              <w:adjustRightInd w:val="0"/>
              <w:snapToGrid w:val="0"/>
              <w:spacing w:line="360" w:lineRule="auto"/>
              <w:ind w:firstLine="482" w:firstLineChars="200"/>
              <w:rPr>
                <w:rFonts w:hint="eastAsia"/>
                <w:color w:val="auto"/>
                <w:highlight w:val="none"/>
                <w:lang w:val="en-US" w:eastAsia="zh-CN"/>
              </w:rPr>
            </w:pPr>
            <w:r>
              <w:rPr>
                <w:rFonts w:hint="eastAsia" w:ascii="Times New Roman" w:hAnsi="Times New Roman" w:cs="Times New Roman"/>
                <w:b/>
                <w:bCs w:val="0"/>
                <w:color w:val="auto"/>
                <w:sz w:val="24"/>
                <w:highlight w:val="none"/>
                <w:lang w:eastAsia="zh-CN"/>
              </w:rPr>
              <w:t>助焊剂</w:t>
            </w:r>
            <w:r>
              <w:rPr>
                <w:rFonts w:hint="default" w:ascii="Times New Roman" w:hAnsi="Times New Roman" w:cs="Times New Roman"/>
                <w:b w:val="0"/>
                <w:bCs/>
                <w:color w:val="auto"/>
                <w:sz w:val="24"/>
                <w:highlight w:val="none"/>
              </w:rPr>
              <w:t>：助焊剂是保证焊接过程顺利进行的辅助材料，助焊剂的主要作用是清除焊料和被焊母材表面的氧化物，使金属表面达到必要的清洁度，防止焊接时表面再次氧化，降低焊料表面张力，提高焊接性能</w:t>
            </w:r>
            <w:r>
              <w:rPr>
                <w:rFonts w:hint="eastAsia" w:ascii="Times New Roman" w:hAnsi="Times New Roman" w:cs="Times New Roman"/>
                <w:b w:val="0"/>
                <w:bCs/>
                <w:color w:val="auto"/>
                <w:sz w:val="24"/>
                <w:highlight w:val="none"/>
                <w:lang w:eastAsia="zh-CN"/>
              </w:rPr>
              <w:t>，根据成分报告，本项目使用的助焊剂成分为：异丙醇</w:t>
            </w:r>
            <w:r>
              <w:rPr>
                <w:rFonts w:hint="eastAsia" w:ascii="Times New Roman" w:hAnsi="Times New Roman" w:cs="Times New Roman"/>
                <w:b w:val="0"/>
                <w:bCs/>
                <w:color w:val="auto"/>
                <w:sz w:val="24"/>
                <w:highlight w:val="none"/>
                <w:lang w:val="en-US" w:eastAsia="zh-CN"/>
              </w:rPr>
              <w:t>90%~95%</w:t>
            </w:r>
            <w:r>
              <w:rPr>
                <w:rFonts w:hint="default" w:ascii="Times New Roman" w:hAnsi="Times New Roman" w:cs="Times New Roman"/>
                <w:b w:val="0"/>
                <w:bCs/>
                <w:color w:val="auto"/>
                <w:sz w:val="24"/>
                <w:highlight w:val="none"/>
              </w:rPr>
              <w:t>。</w:t>
            </w:r>
          </w:p>
          <w:p>
            <w:pPr>
              <w:pStyle w:val="34"/>
              <w:spacing w:line="360" w:lineRule="auto"/>
              <w:ind w:firstLine="482" w:firstLineChars="200"/>
              <w:jc w:val="both"/>
              <w:rPr>
                <w:rFonts w:hint="eastAsia" w:ascii="Times New Roman" w:hAnsi="Times New Roman" w:eastAsia="宋体" w:cs="Times New Roman"/>
                <w:b w:val="0"/>
                <w:bCs/>
                <w:color w:val="auto"/>
                <w:sz w:val="24"/>
                <w:szCs w:val="24"/>
                <w:highlight w:val="none"/>
                <w:lang w:val="zh-TW" w:eastAsia="zh-TW"/>
              </w:rPr>
            </w:pPr>
            <w:r>
              <w:rPr>
                <w:rFonts w:hint="eastAsia" w:ascii="Times New Roman" w:hAnsi="Times New Roman" w:eastAsia="宋体" w:cs="Times New Roman"/>
                <w:b/>
                <w:bCs/>
                <w:color w:val="auto"/>
                <w:sz w:val="24"/>
                <w:szCs w:val="24"/>
                <w:highlight w:val="none"/>
                <w:lang w:val="en-US" w:eastAsia="zh-CN"/>
              </w:rPr>
              <w:t>磁芯</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铁氧体是一种具有亚铁磁性的金属氧化物。就电特性来说，铁氧体的电阻率比单质金属或合金磁性材料大得多，而且还有较高的介电性能。铁氧体的磁性能还表现在高频时具有较高的磁导率。因而，铁氧体已成为高频弱电领域用途广泛的非金属磁性材料</w:t>
            </w:r>
            <w:r>
              <w:rPr>
                <w:rFonts w:hint="eastAsia" w:ascii="Times New Roman" w:hAnsi="Times New Roman" w:eastAsia="宋体" w:cs="Times New Roman"/>
                <w:b w:val="0"/>
                <w:bCs/>
                <w:color w:val="auto"/>
                <w:sz w:val="24"/>
                <w:szCs w:val="24"/>
                <w:highlight w:val="none"/>
                <w:lang w:val="zh-TW" w:eastAsia="zh-TW"/>
              </w:rPr>
              <w:t>。</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胶带：</w:t>
            </w:r>
            <w:r>
              <w:rPr>
                <w:rFonts w:hint="eastAsia" w:cs="Times New Roman"/>
                <w:b w:val="0"/>
                <w:bCs w:val="0"/>
                <w:color w:val="auto"/>
                <w:sz w:val="24"/>
                <w:szCs w:val="24"/>
                <w:highlight w:val="none"/>
                <w:lang w:val="en-US" w:eastAsia="zh-CN"/>
              </w:rPr>
              <w:t>适用于电子行业绝缘，如变压器、马达、电容器等各类电机、电子元件等绝缘包扎。基材为聚酯薄膜（PET），耐温：-40~130℃，具有优异的抗溶剂性。</w:t>
            </w:r>
          </w:p>
          <w:p>
            <w:pPr>
              <w:adjustRightInd w:val="0"/>
              <w:snapToGrid w:val="0"/>
              <w:spacing w:line="360" w:lineRule="auto"/>
              <w:ind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bCs/>
                <w:color w:val="auto"/>
                <w:sz w:val="24"/>
                <w:szCs w:val="24"/>
                <w:highlight w:val="none"/>
                <w:lang w:val="en-US" w:eastAsia="zh-CN"/>
              </w:rPr>
              <w:t>绝缘漆</w:t>
            </w:r>
            <w:r>
              <w:rPr>
                <w:rFonts w:hint="eastAsia" w:ascii="Times New Roman" w:hAnsi="Times New Roman" w:eastAsia="宋体" w:cs="Times New Roman"/>
                <w:color w:val="auto"/>
                <w:sz w:val="24"/>
                <w:szCs w:val="24"/>
                <w:highlight w:val="none"/>
                <w:lang w:val="en-US" w:eastAsia="zh-CN"/>
              </w:rPr>
              <w:t>：绝缘漆是以高分子聚合物为基础，能在一定的条件下固化成绝缘膜或绝缘整体的重要绝缘材料。</w:t>
            </w:r>
            <w:r>
              <w:rPr>
                <w:rFonts w:hint="eastAsia" w:ascii="Times New Roman" w:hAnsi="Times New Roman" w:eastAsia="宋体"/>
                <w:color w:val="auto"/>
                <w:sz w:val="24"/>
                <w:szCs w:val="24"/>
                <w:highlight w:val="none"/>
                <w:lang w:val="en-US" w:eastAsia="zh-CN"/>
              </w:rPr>
              <w:t>根据检测报告可知，项目使用绝缘漆</w:t>
            </w:r>
            <w:r>
              <w:rPr>
                <w:rFonts w:hint="eastAsia" w:ascii="Times New Roman" w:hAnsi="Times New Roman" w:eastAsia="宋体" w:cs="Times New Roman"/>
                <w:color w:val="auto"/>
                <w:sz w:val="24"/>
                <w:szCs w:val="24"/>
                <w:highlight w:val="none"/>
                <w:lang w:val="en-US" w:eastAsia="zh-CN"/>
              </w:rPr>
              <w:t>固体成分为47%，</w:t>
            </w:r>
            <w:r>
              <w:rPr>
                <w:rFonts w:hint="eastAsia" w:ascii="Times New Roman" w:hAnsi="Times New Roman" w:eastAsia="宋体"/>
                <w:color w:val="auto"/>
                <w:sz w:val="24"/>
                <w:szCs w:val="24"/>
                <w:highlight w:val="none"/>
                <w:lang w:val="en-US" w:eastAsia="zh-CN"/>
              </w:rPr>
              <w:t>项目绝缘漆VOCs含量为263g/l</w:t>
            </w:r>
            <w:r>
              <w:rPr>
                <w:rFonts w:hint="eastAsia" w:cs="Times New Roman"/>
                <w:b w:val="0"/>
                <w:bCs/>
                <w:color w:val="auto"/>
                <w:sz w:val="24"/>
                <w:highlight w:val="none"/>
                <w:lang w:val="en-US" w:eastAsia="zh-CN"/>
              </w:rPr>
              <w:t>（密度0.95kg/L）</w:t>
            </w:r>
            <w:r>
              <w:rPr>
                <w:rFonts w:hint="eastAsia" w:ascii="Times New Roman" w:hAnsi="Times New Roman" w:eastAsia="宋体"/>
                <w:color w:val="auto"/>
                <w:sz w:val="24"/>
                <w:szCs w:val="24"/>
                <w:highlight w:val="none"/>
                <w:lang w:eastAsia="zh-CN"/>
              </w:rPr>
              <w:t>。</w:t>
            </w:r>
          </w:p>
          <w:p>
            <w:pPr>
              <w:adjustRightInd w:val="0"/>
              <w:snapToGrid w:val="0"/>
              <w:spacing w:line="360" w:lineRule="auto"/>
              <w:ind w:firstLine="482" w:firstLineChars="200"/>
              <w:rPr>
                <w:rFonts w:hint="eastAsia" w:eastAsia="宋体" w:cs="Times New Roman"/>
                <w:b/>
                <w:color w:val="auto"/>
                <w:sz w:val="24"/>
                <w:highlight w:val="none"/>
                <w:lang w:val="en-US" w:eastAsia="zh-CN"/>
              </w:rPr>
            </w:pPr>
            <w:r>
              <w:rPr>
                <w:rFonts w:hint="default" w:ascii="Times New Roman" w:hAnsi="Times New Roman" w:cs="Times New Roman"/>
                <w:b/>
                <w:bCs w:val="0"/>
                <w:color w:val="auto"/>
                <w:sz w:val="24"/>
                <w:highlight w:val="none"/>
              </w:rPr>
              <w:t>稀释剂</w:t>
            </w:r>
            <w:r>
              <w:rPr>
                <w:rFonts w:hint="default" w:ascii="Times New Roman" w:hAnsi="Times New Roman" w:cs="Times New Roman"/>
                <w:b w:val="0"/>
                <w:bCs/>
                <w:color w:val="auto"/>
                <w:sz w:val="24"/>
                <w:highlight w:val="none"/>
              </w:rPr>
              <w:t>：由苯类等有机溶剂混合配制而成的一种无色透明液体</w:t>
            </w:r>
            <w:r>
              <w:rPr>
                <w:rFonts w:hint="eastAsia" w:ascii="Times New Roman" w:hAnsi="Times New Roman" w:cs="Times New Roman"/>
                <w:b w:val="0"/>
                <w:bCs/>
                <w:color w:val="auto"/>
                <w:sz w:val="24"/>
                <w:highlight w:val="none"/>
                <w:lang w:eastAsia="zh-CN"/>
              </w:rPr>
              <w:t>，根据成分报告，相对密度为</w:t>
            </w:r>
            <w:r>
              <w:rPr>
                <w:rFonts w:hint="eastAsia" w:ascii="Times New Roman" w:hAnsi="Times New Roman" w:cs="Times New Roman"/>
                <w:b w:val="0"/>
                <w:bCs/>
                <w:color w:val="auto"/>
                <w:sz w:val="24"/>
                <w:highlight w:val="none"/>
                <w:lang w:val="en-US" w:eastAsia="zh-CN"/>
              </w:rPr>
              <w:t>0.86-0.9，</w:t>
            </w: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HYPERLINK "http://www.baidu.com/link?url=t-npJfWbesFq3s7Wwi64z2eMdGVE051Vvr8v7hZdkBuSpA1xrt2CYOz4yr6zzPzc" \t "https://www.baidu.com/_blank"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en-US" w:eastAsia="zh-CN"/>
              </w:rPr>
              <w:t>引燃温度454°，爆炸上限</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16%，爆炸下限3%</w:t>
            </w:r>
            <w:r>
              <w:rPr>
                <w:rFonts w:hint="eastAsia" w:ascii="Times New Roman" w:hAnsi="Times New Roman" w:cs="Times New Roman"/>
                <w:b w:val="0"/>
                <w:bCs/>
                <w:color w:val="auto"/>
                <w:sz w:val="24"/>
                <w:highlight w:val="none"/>
                <w:lang w:val="en-US" w:eastAsia="zh-CN"/>
              </w:rPr>
              <w:t>。绝缘漆使用时需加入稀释剂来降低它的粘度而便于进一步加工。</w:t>
            </w:r>
            <w:r>
              <w:rPr>
                <w:rFonts w:hint="default" w:ascii="Times New Roman" w:hAnsi="Times New Roman" w:cs="Times New Roman"/>
                <w:b w:val="0"/>
                <w:bCs/>
                <w:color w:val="auto"/>
                <w:sz w:val="24"/>
                <w:highlight w:val="none"/>
              </w:rPr>
              <w:t xml:space="preserve">本项目使用的稀释剂成分为：二甲苯 </w:t>
            </w:r>
            <w:r>
              <w:rPr>
                <w:rFonts w:hint="eastAsia" w:ascii="Times New Roman" w:hAnsi="Times New Roman" w:cs="Times New Roman"/>
                <w:b w:val="0"/>
                <w:bCs/>
                <w:color w:val="auto"/>
                <w:sz w:val="24"/>
                <w:highlight w:val="none"/>
                <w:lang w:val="en-US" w:eastAsia="zh-CN"/>
              </w:rPr>
              <w:t>25%-35</w:t>
            </w:r>
            <w:r>
              <w:rPr>
                <w:rFonts w:hint="default" w:ascii="Times New Roman" w:hAnsi="Times New Roman" w:cs="Times New Roman"/>
                <w:b w:val="0"/>
                <w:bCs/>
                <w:color w:val="auto"/>
                <w:sz w:val="24"/>
                <w:highlight w:val="none"/>
              </w:rPr>
              <w:t>％，</w:t>
            </w:r>
            <w:r>
              <w:rPr>
                <w:rFonts w:hint="eastAsia" w:ascii="Times New Roman" w:hAnsi="Times New Roman" w:cs="Times New Roman"/>
                <w:b w:val="0"/>
                <w:bCs/>
                <w:color w:val="auto"/>
                <w:sz w:val="24"/>
                <w:highlight w:val="none"/>
                <w:lang w:eastAsia="zh-CN"/>
              </w:rPr>
              <w:t>酯类溶剂</w:t>
            </w:r>
            <w:r>
              <w:rPr>
                <w:rFonts w:hint="eastAsia" w:ascii="Times New Roman" w:hAnsi="Times New Roman" w:cs="Times New Roman"/>
                <w:b w:val="0"/>
                <w:bCs/>
                <w:color w:val="auto"/>
                <w:sz w:val="24"/>
                <w:highlight w:val="none"/>
                <w:lang w:val="en-US" w:eastAsia="zh-CN"/>
              </w:rPr>
              <w:t>60%</w:t>
            </w:r>
            <w:r>
              <w:rPr>
                <w:rFonts w:hint="default" w:ascii="Times New Roman" w:hAnsi="Times New Roman" w:cs="Times New Roman"/>
                <w:b w:val="0"/>
                <w:bCs/>
                <w:color w:val="auto"/>
                <w:sz w:val="24"/>
                <w:highlight w:val="none"/>
              </w:rPr>
              <w:t>-</w:t>
            </w:r>
            <w:r>
              <w:rPr>
                <w:rFonts w:hint="eastAsia" w:ascii="Times New Roman" w:hAnsi="Times New Roman" w:cs="Times New Roman"/>
                <w:b w:val="0"/>
                <w:bCs/>
                <w:color w:val="auto"/>
                <w:sz w:val="24"/>
                <w:highlight w:val="none"/>
                <w:lang w:val="en-US" w:eastAsia="zh-CN"/>
              </w:rPr>
              <w:t>70</w:t>
            </w:r>
            <w:r>
              <w:rPr>
                <w:rFonts w:hint="default" w:ascii="Times New Roman" w:hAnsi="Times New Roman" w:cs="Times New Roman"/>
                <w:b w:val="0"/>
                <w:bCs/>
                <w:color w:val="auto"/>
                <w:sz w:val="24"/>
                <w:highlight w:val="none"/>
              </w:rPr>
              <w:t>％，</w:t>
            </w:r>
            <w:r>
              <w:rPr>
                <w:rFonts w:hint="eastAsia" w:ascii="Times New Roman" w:hAnsi="Times New Roman" w:cs="Times New Roman"/>
                <w:b w:val="0"/>
                <w:bCs/>
                <w:color w:val="auto"/>
                <w:sz w:val="24"/>
                <w:highlight w:val="none"/>
                <w:lang w:eastAsia="zh-CN"/>
              </w:rPr>
              <w:t>其他</w:t>
            </w:r>
            <w:r>
              <w:rPr>
                <w:rFonts w:hint="default" w:ascii="Times New Roman" w:hAnsi="Times New Roman" w:cs="Times New Roman"/>
                <w:b w:val="0"/>
                <w:bCs/>
                <w:color w:val="auto"/>
                <w:sz w:val="24"/>
                <w:highlight w:val="none"/>
              </w:rPr>
              <w:t>5%</w:t>
            </w:r>
            <w:r>
              <w:rPr>
                <w:rFonts w:hint="eastAsia" w:ascii="Times New Roman" w:hAnsi="Times New Roman" w:cs="Times New Roman"/>
                <w:b w:val="0"/>
                <w:bCs/>
                <w:color w:val="auto"/>
                <w:sz w:val="24"/>
                <w:highlight w:val="none"/>
                <w:lang w:eastAsia="zh-CN"/>
              </w:rPr>
              <w:t>。</w:t>
            </w:r>
          </w:p>
          <w:p>
            <w:pPr>
              <w:adjustRightInd w:val="0"/>
              <w:snapToGrid w:val="0"/>
              <w:spacing w:line="360" w:lineRule="auto"/>
              <w:rPr>
                <w:rFonts w:hint="default" w:cs="Times New Roman"/>
                <w:b/>
                <w:color w:val="auto"/>
                <w:sz w:val="24"/>
                <w:highlight w:val="none"/>
                <w:lang w:val="en-US" w:eastAsia="zh-CN"/>
              </w:rPr>
            </w:pPr>
            <w:r>
              <w:rPr>
                <w:rFonts w:hint="eastAsia" w:cs="Times New Roman"/>
                <w:b/>
                <w:color w:val="auto"/>
                <w:sz w:val="24"/>
                <w:highlight w:val="none"/>
                <w:lang w:val="en-US" w:eastAsia="zh-CN"/>
              </w:rPr>
              <w:t>七、VOCs平衡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b/>
                <w:bCs/>
                <w:color w:val="auto"/>
                <w:sz w:val="21"/>
                <w:szCs w:val="21"/>
                <w:highlight w:val="none"/>
                <w:shd w:val="clear" w:color="auto" w:fill="auto"/>
                <w:lang w:eastAsia="zh-CN"/>
              </w:rPr>
            </w:pPr>
            <w:r>
              <w:rPr>
                <w:rFonts w:hint="eastAsia" w:ascii="Times New Roman" w:hAnsi="Times New Roman" w:eastAsia="宋体" w:cs="Times New Roman"/>
                <w:b/>
                <w:color w:val="auto"/>
                <w:sz w:val="24"/>
                <w:highlight w:val="none"/>
                <w:lang w:eastAsia="zh-CN"/>
              </w:rPr>
              <w:t>项目</w:t>
            </w:r>
            <w:r>
              <w:rPr>
                <w:rFonts w:hint="eastAsia" w:ascii="Times New Roman" w:hAnsi="Times New Roman" w:eastAsia="宋体" w:cs="Times New Roman"/>
                <w:b/>
                <w:color w:val="auto"/>
                <w:sz w:val="24"/>
                <w:highlight w:val="none"/>
                <w:lang w:val="en-US" w:eastAsia="zh-CN"/>
              </w:rPr>
              <w:t>VOCs物料平衡见下图：</w:t>
            </w:r>
          </w:p>
          <w:p>
            <w:pPr>
              <w:adjustRightInd w:val="0"/>
              <w:snapToGrid w:val="0"/>
              <w:spacing w:line="360" w:lineRule="auto"/>
              <w:jc w:val="center"/>
              <w:rPr>
                <w:rFonts w:hint="eastAsia" w:ascii="Times New Roman" w:hAnsi="Times New Roman" w:eastAsia="宋体"/>
                <w:b/>
                <w:bCs/>
                <w:color w:val="auto"/>
                <w:sz w:val="21"/>
                <w:szCs w:val="21"/>
                <w:highlight w:val="none"/>
                <w:shd w:val="clear" w:color="auto" w:fill="auto"/>
                <w:lang w:eastAsia="zh-CN"/>
              </w:rPr>
            </w:pPr>
            <w:r>
              <w:rPr>
                <w:rFonts w:hint="eastAsia" w:ascii="Times New Roman" w:hAnsi="Times New Roman" w:eastAsia="宋体"/>
                <w:b/>
                <w:bCs/>
                <w:color w:val="auto"/>
                <w:sz w:val="21"/>
                <w:szCs w:val="21"/>
                <w:highlight w:val="none"/>
                <w:shd w:val="clear" w:color="auto" w:fill="auto"/>
                <w:lang w:eastAsia="zh-CN"/>
              </w:rPr>
              <w:drawing>
                <wp:inline distT="0" distB="0" distL="114300" distR="114300">
                  <wp:extent cx="4996180" cy="1522730"/>
                  <wp:effectExtent l="0" t="0" r="1397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15"/>
                          <a:srcRect l="3275" t="10785" r="10518" b="14600"/>
                          <a:stretch>
                            <a:fillRect/>
                          </a:stretch>
                        </pic:blipFill>
                        <pic:spPr>
                          <a:xfrm>
                            <a:off x="0" y="0"/>
                            <a:ext cx="4996180" cy="1522730"/>
                          </a:xfrm>
                          <a:prstGeom prst="rect">
                            <a:avLst/>
                          </a:prstGeom>
                        </pic:spPr>
                      </pic:pic>
                    </a:graphicData>
                  </a:graphic>
                </wp:inline>
              </w:drawing>
            </w:r>
          </w:p>
          <w:p>
            <w:pPr>
              <w:adjustRightInd w:val="0"/>
              <w:snapToGrid w:val="0"/>
              <w:spacing w:line="360" w:lineRule="auto"/>
              <w:jc w:val="center"/>
              <w:rPr>
                <w:rFonts w:hint="eastAsia" w:ascii="Times New Roman" w:hAnsi="Times New Roman" w:eastAsia="宋体"/>
                <w:b/>
                <w:bCs/>
                <w:color w:val="auto"/>
                <w:sz w:val="21"/>
                <w:szCs w:val="21"/>
                <w:highlight w:val="none"/>
                <w:shd w:val="clear" w:color="auto" w:fill="auto"/>
                <w:lang w:eastAsia="zh-CN"/>
              </w:rPr>
            </w:pPr>
          </w:p>
          <w:p>
            <w:pPr>
              <w:adjustRightInd w:val="0"/>
              <w:snapToGrid w:val="0"/>
              <w:spacing w:line="360" w:lineRule="auto"/>
              <w:jc w:val="center"/>
              <w:rPr>
                <w:rFonts w:hint="eastAsia"/>
                <w:b/>
                <w:bCs/>
                <w:color w:val="auto"/>
                <w:sz w:val="21"/>
                <w:szCs w:val="21"/>
                <w:highlight w:val="none"/>
                <w:shd w:val="clear" w:color="auto" w:fill="auto"/>
                <w:lang w:eastAsia="zh-CN"/>
              </w:rPr>
            </w:pPr>
            <w:r>
              <w:rPr>
                <w:rFonts w:hint="eastAsia" w:ascii="Times New Roman" w:hAnsi="Times New Roman" w:eastAsia="宋体"/>
                <w:b/>
                <w:bCs/>
                <w:color w:val="auto"/>
                <w:sz w:val="21"/>
                <w:szCs w:val="21"/>
                <w:highlight w:val="none"/>
                <w:shd w:val="clear" w:color="auto" w:fill="auto"/>
                <w:lang w:eastAsia="zh-CN"/>
              </w:rPr>
              <w:t>图</w:t>
            </w:r>
            <w:r>
              <w:rPr>
                <w:rFonts w:hint="eastAsia" w:ascii="Times New Roman" w:hAnsi="Times New Roman" w:eastAsia="宋体"/>
                <w:b/>
                <w:bCs/>
                <w:color w:val="auto"/>
                <w:sz w:val="21"/>
                <w:szCs w:val="21"/>
                <w:highlight w:val="none"/>
                <w:shd w:val="clear" w:color="auto" w:fill="auto"/>
              </w:rPr>
              <w:t>2</w:t>
            </w:r>
            <w:r>
              <w:rPr>
                <w:rFonts w:ascii="Times New Roman" w:hAnsi="Times New Roman" w:eastAsia="宋体"/>
                <w:b/>
                <w:bCs/>
                <w:color w:val="auto"/>
                <w:sz w:val="21"/>
                <w:szCs w:val="21"/>
                <w:highlight w:val="none"/>
                <w:shd w:val="clear" w:color="auto" w:fill="auto"/>
              </w:rPr>
              <w:t>-</w:t>
            </w:r>
            <w:r>
              <w:rPr>
                <w:rFonts w:hint="eastAsia" w:ascii="Times New Roman" w:hAnsi="Times New Roman" w:eastAsia="宋体"/>
                <w:b/>
                <w:bCs/>
                <w:color w:val="auto"/>
                <w:sz w:val="21"/>
                <w:szCs w:val="21"/>
                <w:highlight w:val="none"/>
                <w:shd w:val="clear" w:color="auto" w:fill="auto"/>
                <w:lang w:val="en-US" w:eastAsia="zh-CN"/>
              </w:rPr>
              <w:t>2</w:t>
            </w:r>
            <w:r>
              <w:rPr>
                <w:rFonts w:ascii="Times New Roman" w:hAnsi="Times New Roman" w:eastAsia="宋体"/>
                <w:b/>
                <w:bCs/>
                <w:color w:val="auto"/>
                <w:sz w:val="21"/>
                <w:szCs w:val="21"/>
                <w:highlight w:val="none"/>
                <w:shd w:val="clear" w:color="auto" w:fill="auto"/>
              </w:rPr>
              <w:t xml:space="preserve">   </w:t>
            </w:r>
            <w:r>
              <w:rPr>
                <w:rFonts w:hint="eastAsia" w:ascii="Times New Roman" w:hAnsi="Times New Roman" w:eastAsia="宋体"/>
                <w:b/>
                <w:bCs/>
                <w:color w:val="auto"/>
                <w:sz w:val="21"/>
                <w:szCs w:val="21"/>
                <w:highlight w:val="none"/>
                <w:shd w:val="clear" w:color="auto" w:fill="auto"/>
              </w:rPr>
              <w:t>项目</w:t>
            </w:r>
            <w:r>
              <w:rPr>
                <w:rFonts w:hint="eastAsia" w:ascii="Times New Roman" w:hAnsi="Times New Roman" w:eastAsia="宋体"/>
                <w:b/>
                <w:bCs/>
                <w:color w:val="auto"/>
                <w:sz w:val="21"/>
                <w:szCs w:val="21"/>
                <w:highlight w:val="none"/>
                <w:shd w:val="clear" w:color="auto" w:fill="auto"/>
                <w:lang w:val="en-US" w:eastAsia="zh-CN"/>
              </w:rPr>
              <w:t>VOCs</w:t>
            </w:r>
            <w:r>
              <w:rPr>
                <w:rFonts w:hint="eastAsia" w:ascii="Times New Roman" w:hAnsi="Times New Roman" w:eastAsia="宋体"/>
                <w:b/>
                <w:bCs/>
                <w:color w:val="auto"/>
                <w:sz w:val="21"/>
                <w:szCs w:val="21"/>
                <w:highlight w:val="none"/>
                <w:shd w:val="clear" w:color="auto" w:fill="auto"/>
              </w:rPr>
              <w:t>平衡</w:t>
            </w:r>
            <w:r>
              <w:rPr>
                <w:rFonts w:hint="eastAsia" w:ascii="Times New Roman" w:hAnsi="Times New Roman" w:eastAsia="宋体"/>
                <w:b/>
                <w:bCs/>
                <w:color w:val="auto"/>
                <w:sz w:val="21"/>
                <w:szCs w:val="21"/>
                <w:highlight w:val="none"/>
                <w:shd w:val="clear" w:color="auto" w:fill="auto"/>
                <w:lang w:eastAsia="zh-CN"/>
              </w:rPr>
              <w:t>图</w:t>
            </w:r>
            <w:r>
              <w:rPr>
                <w:rFonts w:hint="eastAsia"/>
                <w:b/>
                <w:bCs/>
                <w:color w:val="auto"/>
                <w:sz w:val="21"/>
                <w:szCs w:val="21"/>
                <w:highlight w:val="none"/>
                <w:shd w:val="clear" w:color="auto" w:fill="auto"/>
                <w:lang w:eastAsia="zh-CN"/>
              </w:rPr>
              <w:t>（</w:t>
            </w:r>
            <w:r>
              <w:rPr>
                <w:rFonts w:hint="eastAsia"/>
                <w:b/>
                <w:bCs/>
                <w:color w:val="auto"/>
                <w:sz w:val="21"/>
                <w:szCs w:val="21"/>
                <w:highlight w:val="none"/>
                <w:shd w:val="clear" w:color="auto" w:fill="auto"/>
                <w:lang w:val="en-US" w:eastAsia="zh-CN"/>
              </w:rPr>
              <w:t>单位:t/a</w:t>
            </w:r>
            <w:r>
              <w:rPr>
                <w:rFonts w:hint="eastAsia"/>
                <w:b/>
                <w:bCs/>
                <w:color w:val="auto"/>
                <w:sz w:val="21"/>
                <w:szCs w:val="21"/>
                <w:highlight w:val="none"/>
                <w:shd w:val="clear" w:color="auto" w:fill="auto"/>
                <w:lang w:eastAsia="zh-CN"/>
              </w:rPr>
              <w:t>）</w:t>
            </w:r>
          </w:p>
          <w:p>
            <w:pPr>
              <w:adjustRightInd w:val="0"/>
              <w:snapToGrid w:val="0"/>
              <w:spacing w:line="360" w:lineRule="auto"/>
              <w:jc w:val="both"/>
              <w:rPr>
                <w:rFonts w:hint="eastAsia" w:ascii="Times New Roman" w:hAnsi="Times New Roman" w:eastAsia="宋体" w:cs="Times New Roman"/>
                <w:b/>
                <w:color w:val="auto"/>
                <w:sz w:val="24"/>
                <w:highlight w:val="none"/>
                <w:lang w:eastAsia="zh-CN"/>
              </w:rPr>
            </w:pPr>
            <w:r>
              <w:rPr>
                <w:rFonts w:hint="eastAsia" w:cs="Times New Roman"/>
                <w:b/>
                <w:color w:val="auto"/>
                <w:sz w:val="24"/>
                <w:highlight w:val="none"/>
                <w:lang w:val="en-US" w:eastAsia="zh-CN"/>
              </w:rPr>
              <w:t>八、异丙醇平衡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olor w:val="auto"/>
                <w:highlight w:val="none"/>
                <w:lang w:val="en-US" w:eastAsia="zh-CN"/>
              </w:rPr>
            </w:pPr>
            <w:r>
              <w:rPr>
                <w:rFonts w:hint="eastAsia" w:ascii="Times New Roman" w:hAnsi="Times New Roman" w:eastAsia="宋体" w:cs="Times New Roman"/>
                <w:b/>
                <w:color w:val="auto"/>
                <w:sz w:val="24"/>
                <w:highlight w:val="none"/>
                <w:lang w:eastAsia="zh-CN"/>
              </w:rPr>
              <w:t>项目</w:t>
            </w:r>
            <w:r>
              <w:rPr>
                <w:rFonts w:hint="eastAsia" w:cs="Times New Roman"/>
                <w:b/>
                <w:color w:val="auto"/>
                <w:sz w:val="24"/>
                <w:highlight w:val="none"/>
                <w:lang w:val="en-US" w:eastAsia="zh-CN"/>
              </w:rPr>
              <w:t>异丙醇</w:t>
            </w:r>
            <w:r>
              <w:rPr>
                <w:rFonts w:hint="eastAsia" w:ascii="Times New Roman" w:hAnsi="Times New Roman" w:eastAsia="宋体" w:cs="Times New Roman"/>
                <w:b/>
                <w:color w:val="auto"/>
                <w:sz w:val="24"/>
                <w:highlight w:val="none"/>
                <w:lang w:val="en-US" w:eastAsia="zh-CN"/>
              </w:rPr>
              <w:t>物料平衡见下图：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052060" cy="1892935"/>
                  <wp:effectExtent l="0" t="0" r="0" b="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6"/>
                          <a:srcRect l="4888" t="6508" r="11880" b="16796"/>
                          <a:stretch>
                            <a:fillRect/>
                          </a:stretch>
                        </pic:blipFill>
                        <pic:spPr>
                          <a:xfrm>
                            <a:off x="0" y="0"/>
                            <a:ext cx="5052060" cy="1892935"/>
                          </a:xfrm>
                          <a:prstGeom prst="rect">
                            <a:avLst/>
                          </a:prstGeom>
                        </pic:spPr>
                      </pic:pic>
                    </a:graphicData>
                  </a:graphic>
                </wp:inline>
              </w:drawing>
            </w:r>
          </w:p>
          <w:p>
            <w:pPr>
              <w:adjustRightInd w:val="0"/>
              <w:snapToGrid w:val="0"/>
              <w:spacing w:line="360" w:lineRule="auto"/>
              <w:jc w:val="center"/>
              <w:rPr>
                <w:rFonts w:hint="eastAsia"/>
                <w:color w:val="auto"/>
                <w:highlight w:val="none"/>
                <w:lang w:val="en-US" w:eastAsia="zh-CN"/>
              </w:rPr>
            </w:pPr>
            <w:r>
              <w:rPr>
                <w:rFonts w:hint="eastAsia" w:ascii="Times New Roman" w:hAnsi="Times New Roman" w:eastAsia="宋体"/>
                <w:b/>
                <w:bCs/>
                <w:color w:val="auto"/>
                <w:sz w:val="21"/>
                <w:szCs w:val="21"/>
                <w:highlight w:val="none"/>
                <w:shd w:val="clear" w:color="auto" w:fill="auto"/>
                <w:lang w:eastAsia="zh-CN"/>
              </w:rPr>
              <w:t>图</w:t>
            </w:r>
            <w:r>
              <w:rPr>
                <w:rFonts w:hint="eastAsia" w:ascii="Times New Roman" w:hAnsi="Times New Roman" w:eastAsia="宋体"/>
                <w:b/>
                <w:bCs/>
                <w:color w:val="auto"/>
                <w:sz w:val="21"/>
                <w:szCs w:val="21"/>
                <w:highlight w:val="none"/>
                <w:shd w:val="clear" w:color="auto" w:fill="auto"/>
              </w:rPr>
              <w:t>2</w:t>
            </w:r>
            <w:r>
              <w:rPr>
                <w:rFonts w:ascii="Times New Roman" w:hAnsi="Times New Roman" w:eastAsia="宋体"/>
                <w:b/>
                <w:bCs/>
                <w:color w:val="auto"/>
                <w:sz w:val="21"/>
                <w:szCs w:val="21"/>
                <w:highlight w:val="none"/>
                <w:shd w:val="clear" w:color="auto" w:fill="auto"/>
              </w:rPr>
              <w:t>-</w:t>
            </w:r>
            <w:r>
              <w:rPr>
                <w:rFonts w:hint="eastAsia"/>
                <w:b/>
                <w:bCs/>
                <w:color w:val="auto"/>
                <w:sz w:val="21"/>
                <w:szCs w:val="21"/>
                <w:highlight w:val="none"/>
                <w:shd w:val="clear" w:color="auto" w:fill="auto"/>
                <w:lang w:val="en-US" w:eastAsia="zh-CN"/>
              </w:rPr>
              <w:t>3</w:t>
            </w:r>
            <w:r>
              <w:rPr>
                <w:rFonts w:ascii="Times New Roman" w:hAnsi="Times New Roman" w:eastAsia="宋体"/>
                <w:b/>
                <w:bCs/>
                <w:color w:val="auto"/>
                <w:sz w:val="21"/>
                <w:szCs w:val="21"/>
                <w:highlight w:val="none"/>
                <w:shd w:val="clear" w:color="auto" w:fill="auto"/>
              </w:rPr>
              <w:t xml:space="preserve">   </w:t>
            </w:r>
            <w:r>
              <w:rPr>
                <w:rFonts w:hint="eastAsia" w:ascii="Times New Roman" w:hAnsi="Times New Roman" w:eastAsia="宋体"/>
                <w:b/>
                <w:bCs/>
                <w:color w:val="auto"/>
                <w:sz w:val="21"/>
                <w:szCs w:val="21"/>
                <w:highlight w:val="none"/>
                <w:shd w:val="clear" w:color="auto" w:fill="auto"/>
              </w:rPr>
              <w:t>项目</w:t>
            </w:r>
            <w:r>
              <w:rPr>
                <w:rFonts w:hint="eastAsia"/>
                <w:b/>
                <w:bCs/>
                <w:color w:val="auto"/>
                <w:sz w:val="21"/>
                <w:szCs w:val="21"/>
                <w:highlight w:val="none"/>
                <w:shd w:val="clear" w:color="auto" w:fill="auto"/>
                <w:lang w:val="en-US" w:eastAsia="zh-CN"/>
              </w:rPr>
              <w:t>异丙醇</w:t>
            </w:r>
            <w:r>
              <w:rPr>
                <w:rFonts w:hint="eastAsia" w:ascii="Times New Roman" w:hAnsi="Times New Roman" w:eastAsia="宋体"/>
                <w:b/>
                <w:bCs/>
                <w:color w:val="auto"/>
                <w:sz w:val="21"/>
                <w:szCs w:val="21"/>
                <w:highlight w:val="none"/>
                <w:shd w:val="clear" w:color="auto" w:fill="auto"/>
              </w:rPr>
              <w:t>平衡</w:t>
            </w:r>
            <w:r>
              <w:rPr>
                <w:rFonts w:hint="eastAsia" w:ascii="Times New Roman" w:hAnsi="Times New Roman" w:eastAsia="宋体"/>
                <w:b/>
                <w:bCs/>
                <w:color w:val="auto"/>
                <w:sz w:val="21"/>
                <w:szCs w:val="21"/>
                <w:highlight w:val="none"/>
                <w:shd w:val="clear" w:color="auto" w:fill="auto"/>
                <w:lang w:eastAsia="zh-CN"/>
              </w:rPr>
              <w:t>图</w:t>
            </w:r>
            <w:r>
              <w:rPr>
                <w:rFonts w:hint="eastAsia"/>
                <w:b/>
                <w:bCs/>
                <w:color w:val="auto"/>
                <w:sz w:val="21"/>
                <w:szCs w:val="21"/>
                <w:highlight w:val="none"/>
                <w:shd w:val="clear" w:color="auto" w:fill="auto"/>
                <w:lang w:eastAsia="zh-CN"/>
              </w:rPr>
              <w:t>（</w:t>
            </w:r>
            <w:r>
              <w:rPr>
                <w:rFonts w:hint="eastAsia"/>
                <w:b/>
                <w:bCs/>
                <w:color w:val="auto"/>
                <w:sz w:val="21"/>
                <w:szCs w:val="21"/>
                <w:highlight w:val="none"/>
                <w:shd w:val="clear" w:color="auto" w:fill="auto"/>
                <w:lang w:val="en-US" w:eastAsia="zh-CN"/>
              </w:rPr>
              <w:t>单位:t/a</w:t>
            </w:r>
            <w:r>
              <w:rPr>
                <w:rFonts w:hint="eastAsia"/>
                <w:b/>
                <w:bCs/>
                <w:color w:val="auto"/>
                <w:sz w:val="21"/>
                <w:szCs w:val="21"/>
                <w:highlight w:val="none"/>
                <w:shd w:val="clear" w:color="auto" w:fill="auto"/>
                <w:lang w:eastAsia="zh-CN"/>
              </w:rPr>
              <w:t>）</w:t>
            </w:r>
          </w:p>
          <w:p>
            <w:pPr>
              <w:adjustRightInd w:val="0"/>
              <w:snapToGrid w:val="0"/>
              <w:spacing w:line="360" w:lineRule="auto"/>
              <w:jc w:val="both"/>
              <w:rPr>
                <w:rFonts w:hint="eastAsia"/>
                <w:color w:val="auto"/>
                <w:highlight w:val="none"/>
                <w:lang w:val="en-US" w:eastAsia="zh-CN"/>
              </w:rPr>
            </w:pPr>
            <w:r>
              <w:rPr>
                <w:rFonts w:hint="eastAsia" w:cs="Times New Roman"/>
                <w:b/>
                <w:color w:val="auto"/>
                <w:sz w:val="24"/>
                <w:highlight w:val="none"/>
                <w:lang w:val="en-US" w:eastAsia="zh-CN"/>
              </w:rPr>
              <w:t>九、二甲苯平衡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b/>
                <w:bCs/>
                <w:color w:val="auto"/>
                <w:sz w:val="21"/>
                <w:szCs w:val="21"/>
                <w:highlight w:val="none"/>
                <w:shd w:val="clear" w:color="auto" w:fill="auto"/>
                <w:lang w:eastAsia="zh-CN"/>
              </w:rPr>
            </w:pPr>
            <w:r>
              <w:rPr>
                <w:rFonts w:hint="eastAsia" w:ascii="Times New Roman" w:hAnsi="Times New Roman" w:eastAsia="宋体" w:cs="Times New Roman"/>
                <w:b/>
                <w:color w:val="auto"/>
                <w:sz w:val="24"/>
                <w:highlight w:val="none"/>
                <w:lang w:eastAsia="zh-CN"/>
              </w:rPr>
              <w:t>项目</w:t>
            </w:r>
            <w:r>
              <w:rPr>
                <w:rFonts w:hint="eastAsia" w:cs="Times New Roman"/>
                <w:b/>
                <w:color w:val="auto"/>
                <w:sz w:val="24"/>
                <w:highlight w:val="none"/>
                <w:lang w:val="en-US" w:eastAsia="zh-CN"/>
              </w:rPr>
              <w:t>二甲苯</w:t>
            </w:r>
            <w:r>
              <w:rPr>
                <w:rFonts w:hint="eastAsia" w:ascii="Times New Roman" w:hAnsi="Times New Roman" w:eastAsia="宋体" w:cs="Times New Roman"/>
                <w:b/>
                <w:color w:val="auto"/>
                <w:sz w:val="24"/>
                <w:highlight w:val="none"/>
                <w:lang w:val="en-US" w:eastAsia="zh-CN"/>
              </w:rPr>
              <w:t>物料平衡见下图：</w:t>
            </w:r>
          </w:p>
          <w:p>
            <w:pPr>
              <w:adjustRightInd w:val="0"/>
              <w:snapToGrid w:val="0"/>
              <w:spacing w:line="360" w:lineRule="auto"/>
              <w:jc w:val="both"/>
              <w:rPr>
                <w:rFonts w:hint="eastAsia" w:cs="Times New Roman"/>
                <w:b/>
                <w:color w:val="auto"/>
                <w:sz w:val="24"/>
                <w:highlight w:val="none"/>
                <w:lang w:val="en-US" w:eastAsia="zh-CN"/>
              </w:rPr>
            </w:pPr>
          </w:p>
          <w:p>
            <w:pPr>
              <w:adjustRightInd w:val="0"/>
              <w:snapToGrid w:val="0"/>
              <w:spacing w:line="360" w:lineRule="auto"/>
              <w:jc w:val="center"/>
              <w:rPr>
                <w:rFonts w:hint="eastAsia" w:cs="Times New Roman"/>
                <w:b/>
                <w:color w:val="auto"/>
                <w:sz w:val="24"/>
                <w:highlight w:val="none"/>
                <w:lang w:val="en-US" w:eastAsia="zh-CN"/>
              </w:rPr>
            </w:pPr>
            <w:r>
              <w:rPr>
                <w:rFonts w:hint="eastAsia" w:cs="Times New Roman"/>
                <w:b/>
                <w:color w:val="auto"/>
                <w:sz w:val="24"/>
                <w:highlight w:val="none"/>
                <w:lang w:val="en-US" w:eastAsia="zh-CN"/>
              </w:rPr>
              <w:drawing>
                <wp:inline distT="0" distB="0" distL="114300" distR="114300">
                  <wp:extent cx="4666615" cy="1627505"/>
                  <wp:effectExtent l="0" t="0" r="0" b="0"/>
                  <wp:docPr id="19"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wps"/>
                          <pic:cNvPicPr>
                            <a:picLocks noChangeAspect="1"/>
                          </pic:cNvPicPr>
                        </pic:nvPicPr>
                        <pic:blipFill>
                          <a:blip r:embed="rId17"/>
                          <a:srcRect l="4069" t="12739" r="9851" b="17152"/>
                          <a:stretch>
                            <a:fillRect/>
                          </a:stretch>
                        </pic:blipFill>
                        <pic:spPr>
                          <a:xfrm>
                            <a:off x="0" y="0"/>
                            <a:ext cx="4666615" cy="1627505"/>
                          </a:xfrm>
                          <a:prstGeom prst="rect">
                            <a:avLst/>
                          </a:prstGeom>
                        </pic:spPr>
                      </pic:pic>
                    </a:graphicData>
                  </a:graphic>
                </wp:inline>
              </w:drawing>
            </w:r>
          </w:p>
          <w:p>
            <w:pPr>
              <w:adjustRightInd w:val="0"/>
              <w:snapToGrid w:val="0"/>
              <w:spacing w:line="360" w:lineRule="auto"/>
              <w:jc w:val="center"/>
              <w:rPr>
                <w:rFonts w:hint="eastAsia" w:cs="Times New Roman"/>
                <w:b/>
                <w:color w:val="auto"/>
                <w:sz w:val="24"/>
                <w:highlight w:val="none"/>
                <w:lang w:val="en-US" w:eastAsia="zh-CN"/>
              </w:rPr>
            </w:pPr>
            <w:r>
              <w:rPr>
                <w:rFonts w:hint="eastAsia" w:ascii="Times New Roman" w:hAnsi="Times New Roman" w:eastAsia="宋体"/>
                <w:b/>
                <w:bCs/>
                <w:color w:val="auto"/>
                <w:sz w:val="21"/>
                <w:szCs w:val="21"/>
                <w:highlight w:val="none"/>
                <w:shd w:val="clear" w:color="auto" w:fill="auto"/>
                <w:lang w:eastAsia="zh-CN"/>
              </w:rPr>
              <w:t>图</w:t>
            </w:r>
            <w:r>
              <w:rPr>
                <w:rFonts w:hint="eastAsia" w:ascii="Times New Roman" w:hAnsi="Times New Roman" w:eastAsia="宋体"/>
                <w:b/>
                <w:bCs/>
                <w:color w:val="auto"/>
                <w:sz w:val="21"/>
                <w:szCs w:val="21"/>
                <w:highlight w:val="none"/>
                <w:shd w:val="clear" w:color="auto" w:fill="auto"/>
              </w:rPr>
              <w:t>2</w:t>
            </w:r>
            <w:r>
              <w:rPr>
                <w:rFonts w:ascii="Times New Roman" w:hAnsi="Times New Roman" w:eastAsia="宋体"/>
                <w:b/>
                <w:bCs/>
                <w:color w:val="auto"/>
                <w:sz w:val="21"/>
                <w:szCs w:val="21"/>
                <w:highlight w:val="none"/>
                <w:shd w:val="clear" w:color="auto" w:fill="auto"/>
              </w:rPr>
              <w:t>-</w:t>
            </w:r>
            <w:r>
              <w:rPr>
                <w:rFonts w:hint="eastAsia"/>
                <w:b/>
                <w:bCs/>
                <w:color w:val="auto"/>
                <w:sz w:val="21"/>
                <w:szCs w:val="21"/>
                <w:highlight w:val="none"/>
                <w:shd w:val="clear" w:color="auto" w:fill="auto"/>
                <w:lang w:val="en-US" w:eastAsia="zh-CN"/>
              </w:rPr>
              <w:t>4</w:t>
            </w:r>
            <w:r>
              <w:rPr>
                <w:rFonts w:ascii="Times New Roman" w:hAnsi="Times New Roman" w:eastAsia="宋体"/>
                <w:b/>
                <w:bCs/>
                <w:color w:val="auto"/>
                <w:sz w:val="21"/>
                <w:szCs w:val="21"/>
                <w:highlight w:val="none"/>
                <w:shd w:val="clear" w:color="auto" w:fill="auto"/>
              </w:rPr>
              <w:t xml:space="preserve">   </w:t>
            </w:r>
            <w:r>
              <w:rPr>
                <w:rFonts w:hint="eastAsia" w:ascii="Times New Roman" w:hAnsi="Times New Roman" w:eastAsia="宋体"/>
                <w:b/>
                <w:bCs/>
                <w:color w:val="auto"/>
                <w:sz w:val="21"/>
                <w:szCs w:val="21"/>
                <w:highlight w:val="none"/>
                <w:shd w:val="clear" w:color="auto" w:fill="auto"/>
              </w:rPr>
              <w:t>项目</w:t>
            </w:r>
            <w:r>
              <w:rPr>
                <w:rFonts w:hint="eastAsia"/>
                <w:b/>
                <w:bCs/>
                <w:color w:val="auto"/>
                <w:sz w:val="21"/>
                <w:szCs w:val="21"/>
                <w:highlight w:val="none"/>
                <w:shd w:val="clear" w:color="auto" w:fill="auto"/>
                <w:lang w:val="en-US" w:eastAsia="zh-CN"/>
              </w:rPr>
              <w:t>二甲苯</w:t>
            </w:r>
            <w:r>
              <w:rPr>
                <w:rFonts w:hint="eastAsia" w:ascii="Times New Roman" w:hAnsi="Times New Roman" w:eastAsia="宋体"/>
                <w:b/>
                <w:bCs/>
                <w:color w:val="auto"/>
                <w:sz w:val="21"/>
                <w:szCs w:val="21"/>
                <w:highlight w:val="none"/>
                <w:shd w:val="clear" w:color="auto" w:fill="auto"/>
              </w:rPr>
              <w:t>平衡</w:t>
            </w:r>
            <w:r>
              <w:rPr>
                <w:rFonts w:hint="eastAsia" w:ascii="Times New Roman" w:hAnsi="Times New Roman" w:eastAsia="宋体"/>
                <w:b/>
                <w:bCs/>
                <w:color w:val="auto"/>
                <w:sz w:val="21"/>
                <w:szCs w:val="21"/>
                <w:highlight w:val="none"/>
                <w:shd w:val="clear" w:color="auto" w:fill="auto"/>
                <w:lang w:eastAsia="zh-CN"/>
              </w:rPr>
              <w:t>图</w:t>
            </w:r>
            <w:r>
              <w:rPr>
                <w:rFonts w:hint="eastAsia"/>
                <w:b/>
                <w:bCs/>
                <w:color w:val="auto"/>
                <w:sz w:val="21"/>
                <w:szCs w:val="21"/>
                <w:highlight w:val="none"/>
                <w:shd w:val="clear" w:color="auto" w:fill="auto"/>
                <w:lang w:eastAsia="zh-CN"/>
              </w:rPr>
              <w:t>（</w:t>
            </w:r>
            <w:r>
              <w:rPr>
                <w:rFonts w:hint="eastAsia"/>
                <w:b/>
                <w:bCs/>
                <w:color w:val="auto"/>
                <w:sz w:val="21"/>
                <w:szCs w:val="21"/>
                <w:highlight w:val="none"/>
                <w:shd w:val="clear" w:color="auto" w:fill="auto"/>
                <w:lang w:val="en-US" w:eastAsia="zh-CN"/>
              </w:rPr>
              <w:t>单位:t/a</w:t>
            </w:r>
            <w:r>
              <w:rPr>
                <w:rFonts w:hint="eastAsia"/>
                <w:b/>
                <w:bCs/>
                <w:color w:val="auto"/>
                <w:sz w:val="21"/>
                <w:szCs w:val="21"/>
                <w:highlight w:val="none"/>
                <w:shd w:val="clear" w:color="auto" w:fill="auto"/>
                <w:lang w:eastAsia="zh-CN"/>
              </w:rPr>
              <w:t>）</w:t>
            </w:r>
          </w:p>
          <w:p>
            <w:pPr>
              <w:adjustRightInd w:val="0"/>
              <w:snapToGrid w:val="0"/>
              <w:spacing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十</w:t>
            </w:r>
            <w:r>
              <w:rPr>
                <w:rFonts w:hint="default" w:ascii="Times New Roman" w:hAnsi="Times New Roman" w:cs="Times New Roman"/>
                <w:b/>
                <w:color w:val="auto"/>
                <w:sz w:val="24"/>
                <w:highlight w:val="none"/>
              </w:rPr>
              <w:t>、水平衡</w:t>
            </w:r>
          </w:p>
          <w:p>
            <w:pPr>
              <w:widowControl/>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本项目给水由市政自来水管网直接供水，用水全部由蓬溪县自来水厂供给，水源取自赤城湖水库。项目运营时，厂区</w:t>
            </w:r>
            <w:r>
              <w:rPr>
                <w:rFonts w:hint="eastAsia" w:cs="Times New Roman"/>
                <w:color w:val="auto"/>
                <w:sz w:val="24"/>
                <w:highlight w:val="none"/>
                <w:lang w:val="en-US" w:eastAsia="zh-CN"/>
              </w:rPr>
              <w:t>无</w:t>
            </w:r>
            <w:r>
              <w:rPr>
                <w:rFonts w:hint="default" w:ascii="Times New Roman" w:hAnsi="Times New Roman" w:cs="Times New Roman"/>
                <w:color w:val="auto"/>
                <w:sz w:val="24"/>
                <w:highlight w:val="none"/>
              </w:rPr>
              <w:t>生产用水，厂区用水主要有</w:t>
            </w:r>
            <w:r>
              <w:rPr>
                <w:rFonts w:hint="eastAsia" w:cs="Times New Roman"/>
                <w:color w:val="auto"/>
                <w:sz w:val="24"/>
                <w:highlight w:val="none"/>
                <w:lang w:val="en-US" w:eastAsia="zh-CN"/>
              </w:rPr>
              <w:t>员</w:t>
            </w:r>
            <w:r>
              <w:rPr>
                <w:rFonts w:hint="default" w:ascii="Times New Roman" w:hAnsi="Times New Roman" w:cs="Times New Roman"/>
                <w:color w:val="auto"/>
                <w:sz w:val="24"/>
                <w:highlight w:val="none"/>
              </w:rPr>
              <w:t>工生活用水</w:t>
            </w:r>
            <w:r>
              <w:rPr>
                <w:rFonts w:hint="eastAsia" w:cs="Times New Roman"/>
                <w:color w:val="auto"/>
                <w:sz w:val="24"/>
                <w:highlight w:val="none"/>
                <w:lang w:eastAsia="zh-CN"/>
              </w:rPr>
              <w:t>。</w:t>
            </w:r>
            <w:r>
              <w:rPr>
                <w:rFonts w:hint="eastAsia" w:cs="Times New Roman"/>
                <w:color w:val="auto"/>
                <w:sz w:val="24"/>
                <w:highlight w:val="none"/>
                <w:lang w:val="en-US" w:eastAsia="zh-CN"/>
              </w:rPr>
              <w:t>地面只进行简单清扫，不产生</w:t>
            </w:r>
            <w:r>
              <w:rPr>
                <w:rFonts w:hint="default" w:ascii="Times New Roman" w:hAnsi="Times New Roman" w:cs="Times New Roman"/>
                <w:color w:val="auto"/>
                <w:sz w:val="24"/>
                <w:highlight w:val="none"/>
              </w:rPr>
              <w:t>车间地面清洁用水。车间设备不需要使用水清洁，只需要使用抹布清扫灰渣。</w:t>
            </w:r>
          </w:p>
          <w:p>
            <w:pPr>
              <w:widowControl/>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本项目员工</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highlight w:val="none"/>
                <w:lang w:eastAsia="zh-CN"/>
              </w:rPr>
              <w:t>均为</w:t>
            </w:r>
            <w:r>
              <w:rPr>
                <w:rFonts w:hint="eastAsia" w:cs="Times New Roman"/>
                <w:color w:val="auto"/>
                <w:sz w:val="24"/>
                <w:highlight w:val="none"/>
                <w:lang w:val="en-US" w:eastAsia="zh-CN"/>
              </w:rPr>
              <w:t>赤城</w:t>
            </w:r>
            <w:r>
              <w:rPr>
                <w:rFonts w:hint="default" w:ascii="Times New Roman" w:hAnsi="Times New Roman" w:cs="Times New Roman"/>
                <w:color w:val="auto"/>
                <w:sz w:val="24"/>
                <w:highlight w:val="none"/>
                <w:lang w:eastAsia="zh-CN"/>
              </w:rPr>
              <w:t>镇当地居民，厂区不设置宿舍，</w:t>
            </w:r>
            <w:r>
              <w:rPr>
                <w:rFonts w:hint="default" w:ascii="Times New Roman" w:hAnsi="Times New Roman" w:cs="Times New Roman"/>
                <w:bCs/>
                <w:color w:val="auto"/>
                <w:sz w:val="24"/>
                <w:highlight w:val="none"/>
              </w:rPr>
              <w:t>根据</w:t>
            </w:r>
            <w:r>
              <w:rPr>
                <w:rFonts w:hint="default" w:ascii="Times New Roman" w:hAnsi="Times New Roman" w:cs="Times New Roman"/>
                <w:color w:val="auto"/>
                <w:sz w:val="24"/>
                <w:szCs w:val="32"/>
                <w:highlight w:val="none"/>
              </w:rPr>
              <w:t>《四川省用水定额》（川府函【2021】8号）</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员工生活用水量按</w:t>
            </w:r>
            <w:r>
              <w:rPr>
                <w:rFonts w:hint="eastAsia"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L/（人·d），则本项目员工生活用水量为</w:t>
            </w:r>
            <w:r>
              <w:rPr>
                <w:rFonts w:hint="eastAsia" w:cs="Times New Roman"/>
                <w:color w:val="auto"/>
                <w:sz w:val="24"/>
                <w:highlight w:val="none"/>
                <w:lang w:val="en-US" w:eastAsia="zh-CN"/>
              </w:rPr>
              <w:t>1.25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312.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/a；废水</w:t>
            </w:r>
            <w:r>
              <w:rPr>
                <w:rFonts w:hint="eastAsia" w:cs="Times New Roman"/>
                <w:color w:val="auto"/>
                <w:sz w:val="24"/>
                <w:highlight w:val="none"/>
                <w:lang w:val="en-US" w:eastAsia="zh-CN"/>
              </w:rPr>
              <w:t>排污系数取80%</w:t>
            </w:r>
            <w:r>
              <w:rPr>
                <w:rFonts w:hint="default" w:ascii="Times New Roman" w:hAnsi="Times New Roman" w:cs="Times New Roman"/>
                <w:color w:val="auto"/>
                <w:sz w:val="24"/>
                <w:highlight w:val="none"/>
              </w:rPr>
              <w:t>计，则本项目员工生活污水排放量为</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25</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/a，经厂区已建预处</w:t>
            </w:r>
            <w:r>
              <w:rPr>
                <w:rFonts w:hint="default" w:ascii="Times New Roman" w:hAnsi="Times New Roman" w:eastAsia="宋体" w:cs="Times New Roman"/>
                <w:color w:val="auto"/>
                <w:sz w:val="24"/>
                <w:highlight w:val="none"/>
              </w:rPr>
              <w:t>理池处理</w:t>
            </w:r>
            <w:r>
              <w:rPr>
                <w:rFonts w:hint="default" w:ascii="Times New Roman" w:hAnsi="Times New Roman" w:eastAsia="宋体" w:cs="Times New Roman"/>
                <w:color w:val="auto"/>
                <w:sz w:val="24"/>
                <w:highlight w:val="none"/>
                <w:lang w:eastAsia="zh-CN"/>
              </w:rPr>
              <w:t>达</w:t>
            </w:r>
            <w:r>
              <w:rPr>
                <w:rFonts w:hint="default" w:ascii="Times New Roman" w:hAnsi="Times New Roman" w:eastAsia="宋体" w:cs="Times New Roman"/>
                <w:color w:val="auto"/>
                <w:sz w:val="24"/>
                <w:highlight w:val="none"/>
                <w:lang w:val="en-US" w:eastAsia="zh-CN"/>
              </w:rPr>
              <w:t>《污水综合排放标准》（GB8978-1996）中的三级标准后排入市政污水管网，经蓬溪县经济开发区废水处理厂处理达《城镇污水处理厂污染物排放标准》（GB18918-2002）一级A标后，最终排入</w:t>
            </w:r>
            <w:r>
              <w:rPr>
                <w:rFonts w:hint="eastAsia" w:cs="Times New Roman"/>
                <w:color w:val="auto"/>
                <w:sz w:val="24"/>
                <w:highlight w:val="none"/>
                <w:lang w:val="en-US" w:eastAsia="zh-CN"/>
              </w:rPr>
              <w:t>芝溪河</w:t>
            </w:r>
            <w:r>
              <w:rPr>
                <w:rFonts w:hint="default" w:ascii="Times New Roman" w:hAnsi="Times New Roman" w:eastAsia="宋体" w:cs="Times New Roman"/>
                <w:color w:val="auto"/>
                <w:sz w:val="24"/>
                <w:highlight w:val="none"/>
                <w:lang w:val="en-US" w:eastAsia="zh-CN"/>
              </w:rPr>
              <w:t>。</w:t>
            </w:r>
          </w:p>
          <w:p>
            <w:pPr>
              <w:spacing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 w:val="24"/>
                <w:highlight w:val="none"/>
              </w:rPr>
              <w:t>本项目给排水情况见下表</w:t>
            </w:r>
            <w:r>
              <w:rPr>
                <w:rFonts w:hint="eastAsia" w:ascii="Times New Roman" w:hAnsi="Times New Roman" w:cs="Times New Roman"/>
                <w:color w:val="auto"/>
                <w:sz w:val="24"/>
                <w:highlight w:val="none"/>
                <w:lang w:eastAsia="zh-CN"/>
              </w:rPr>
              <w:t>。</w:t>
            </w: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6</w:t>
            </w:r>
            <w:r>
              <w:rPr>
                <w:rFonts w:hint="default" w:ascii="Times New Roman" w:hAnsi="Times New Roman" w:cs="Times New Roman"/>
                <w:b/>
                <w:bCs/>
                <w:color w:val="auto"/>
                <w:szCs w:val="21"/>
                <w:highlight w:val="none"/>
              </w:rPr>
              <w:t xml:space="preserve">  项目给排水情况一览表</w:t>
            </w:r>
          </w:p>
          <w:tbl>
            <w:tblPr>
              <w:tblStyle w:val="19"/>
              <w:tblW w:w="498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20"/>
              <w:gridCol w:w="1000"/>
              <w:gridCol w:w="1022"/>
              <w:gridCol w:w="880"/>
              <w:gridCol w:w="880"/>
              <w:gridCol w:w="758"/>
              <w:gridCol w:w="1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用水对象</w:t>
                  </w:r>
                </w:p>
              </w:tc>
              <w:tc>
                <w:tcPr>
                  <w:tcW w:w="454"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指标</w:t>
                  </w:r>
                </w:p>
              </w:tc>
              <w:tc>
                <w:tcPr>
                  <w:tcW w:w="631"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用水标准</w:t>
                  </w:r>
                </w:p>
              </w:tc>
              <w:tc>
                <w:tcPr>
                  <w:tcW w:w="645"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日用水量（m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p>
              </w:tc>
              <w:tc>
                <w:tcPr>
                  <w:tcW w:w="555"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年用水量（m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p>
              </w:tc>
              <w:tc>
                <w:tcPr>
                  <w:tcW w:w="555" w:type="pct"/>
                  <w:noWrap w:val="0"/>
                  <w:vAlign w:val="center"/>
                </w:tcPr>
                <w:p>
                  <w:pPr>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年排水量</w:t>
                  </w: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p>
              </w:tc>
              <w:tc>
                <w:tcPr>
                  <w:tcW w:w="478"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用水来源</w:t>
                  </w:r>
                </w:p>
              </w:tc>
              <w:tc>
                <w:tcPr>
                  <w:tcW w:w="1162"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生活用水</w:t>
                  </w:r>
                </w:p>
              </w:tc>
              <w:tc>
                <w:tcPr>
                  <w:tcW w:w="454" w:type="pct"/>
                  <w:noWrap w:val="0"/>
                  <w:vAlign w:val="center"/>
                </w:tcPr>
                <w:p>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25</w:t>
                  </w:r>
                  <w:r>
                    <w:rPr>
                      <w:rFonts w:hint="default" w:ascii="Times New Roman" w:hAnsi="Times New Roman" w:cs="Times New Roman"/>
                      <w:color w:val="auto"/>
                      <w:szCs w:val="21"/>
                      <w:highlight w:val="none"/>
                    </w:rPr>
                    <w:t>人</w:t>
                  </w:r>
                </w:p>
              </w:tc>
              <w:tc>
                <w:tcPr>
                  <w:tcW w:w="631"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L/人·d</w:t>
                  </w:r>
                </w:p>
              </w:tc>
              <w:tc>
                <w:tcPr>
                  <w:tcW w:w="645" w:type="pct"/>
                  <w:noWrap w:val="0"/>
                  <w:vAlign w:val="center"/>
                </w:tcPr>
                <w:p>
                  <w:pPr>
                    <w:jc w:val="center"/>
                    <w:rPr>
                      <w:rFonts w:hint="default" w:ascii="Times New Roman" w:hAnsi="Times New Roman" w:eastAsia="宋体" w:cs="Times New Roman"/>
                      <w:color w:val="auto"/>
                      <w:szCs w:val="21"/>
                      <w:highlight w:val="none"/>
                      <w:vertAlign w:val="superscript"/>
                      <w:lang w:val="en-US" w:eastAsia="zh-CN"/>
                    </w:rPr>
                  </w:pPr>
                  <w:r>
                    <w:rPr>
                      <w:rFonts w:hint="eastAsia"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25</w:t>
                  </w:r>
                </w:p>
              </w:tc>
              <w:tc>
                <w:tcPr>
                  <w:tcW w:w="555" w:type="pct"/>
                  <w:noWrap w:val="0"/>
                  <w:vAlign w:val="center"/>
                </w:tcPr>
                <w:p>
                  <w:pPr>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31</w:t>
                  </w:r>
                  <w:r>
                    <w:rPr>
                      <w:rFonts w:hint="eastAsia" w:ascii="Times New Roman" w:hAnsi="Times New Roman" w:cs="Times New Roman"/>
                      <w:color w:val="auto"/>
                      <w:szCs w:val="21"/>
                      <w:highlight w:val="none"/>
                      <w:lang w:val="en-US" w:eastAsia="zh-CN"/>
                    </w:rPr>
                    <w:t>2</w:t>
                  </w:r>
                  <w:r>
                    <w:rPr>
                      <w:rFonts w:hint="eastAsia"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5</w:t>
                  </w:r>
                </w:p>
              </w:tc>
              <w:tc>
                <w:tcPr>
                  <w:tcW w:w="55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50</w:t>
                  </w:r>
                </w:p>
              </w:tc>
              <w:tc>
                <w:tcPr>
                  <w:tcW w:w="478" w:type="pc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新鲜水</w:t>
                  </w:r>
                </w:p>
              </w:tc>
              <w:tc>
                <w:tcPr>
                  <w:tcW w:w="1162"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生活污水→</w:t>
                  </w:r>
                  <w:r>
                    <w:rPr>
                      <w:rFonts w:hint="eastAsia" w:ascii="Times New Roman" w:hAnsi="Times New Roman" w:cs="Times New Roman"/>
                      <w:color w:val="auto"/>
                      <w:szCs w:val="21"/>
                      <w:highlight w:val="none"/>
                      <w:lang w:eastAsia="zh-CN"/>
                    </w:rPr>
                    <w:t>预处理池</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市政管网</w:t>
                  </w:r>
                </w:p>
              </w:tc>
            </w:tr>
          </w:tbl>
          <w:p>
            <w:pPr>
              <w:bidi w:val="0"/>
              <w:jc w:val="center"/>
              <w:rPr>
                <w:rFonts w:hint="default"/>
                <w:b/>
                <w:bCs/>
                <w:color w:val="auto"/>
                <w:highlight w:val="none"/>
              </w:rPr>
            </w:pPr>
          </w:p>
          <w:p>
            <w:pPr>
              <w:bidi w:val="0"/>
              <w:jc w:val="center"/>
              <w:rPr>
                <w:rFonts w:hint="eastAsia" w:eastAsia="宋体"/>
                <w:b/>
                <w:bCs/>
                <w:color w:val="auto"/>
                <w:highlight w:val="none"/>
                <w:lang w:eastAsia="zh-CN"/>
              </w:rPr>
            </w:pPr>
            <w:r>
              <w:rPr>
                <w:rFonts w:hint="eastAsia" w:eastAsia="宋体"/>
                <w:b/>
                <w:bCs/>
                <w:color w:val="auto"/>
                <w:highlight w:val="none"/>
                <w:lang w:eastAsia="zh-CN"/>
              </w:rPr>
              <w:drawing>
                <wp:inline distT="0" distB="0" distL="114300" distR="114300">
                  <wp:extent cx="5041265" cy="1169035"/>
                  <wp:effectExtent l="0" t="0" r="0" b="0"/>
                  <wp:docPr id="7"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4" descr="wps"/>
                          <pic:cNvPicPr>
                            <a:picLocks noChangeAspect="1"/>
                          </pic:cNvPicPr>
                        </pic:nvPicPr>
                        <pic:blipFill>
                          <a:blip r:embed="rId18"/>
                          <a:stretch>
                            <a:fillRect/>
                          </a:stretch>
                        </pic:blipFill>
                        <pic:spPr>
                          <a:xfrm>
                            <a:off x="0" y="0"/>
                            <a:ext cx="5041265" cy="1169035"/>
                          </a:xfrm>
                          <a:prstGeom prst="rect">
                            <a:avLst/>
                          </a:prstGeom>
                        </pic:spPr>
                      </pic:pic>
                    </a:graphicData>
                  </a:graphic>
                </wp:inline>
              </w:drawing>
            </w:r>
          </w:p>
          <w:p>
            <w:pPr>
              <w:bidi w:val="0"/>
              <w:jc w:val="center"/>
              <w:rPr>
                <w:rFonts w:hint="default"/>
                <w:b/>
                <w:bCs/>
                <w:color w:val="auto"/>
                <w:highlight w:val="none"/>
              </w:rPr>
            </w:pPr>
            <w:r>
              <w:rPr>
                <w:rFonts w:hint="default"/>
                <w:b/>
                <w:bCs/>
                <w:color w:val="auto"/>
                <w:highlight w:val="none"/>
              </w:rPr>
              <w:t>图2-</w:t>
            </w:r>
            <w:r>
              <w:rPr>
                <w:rFonts w:hint="eastAsia"/>
                <w:b/>
                <w:bCs/>
                <w:color w:val="auto"/>
                <w:highlight w:val="none"/>
                <w:lang w:val="en-US" w:eastAsia="zh-CN"/>
              </w:rPr>
              <w:t>5</w:t>
            </w:r>
            <w:r>
              <w:rPr>
                <w:rFonts w:hint="default"/>
                <w:b/>
                <w:bCs/>
                <w:color w:val="auto"/>
                <w:highlight w:val="none"/>
              </w:rPr>
              <w:t xml:space="preserve">  项目水平衡图（单位：</w:t>
            </w:r>
            <w:r>
              <w:rPr>
                <w:rFonts w:hint="eastAsia"/>
                <w:b/>
                <w:bCs/>
                <w:color w:val="auto"/>
                <w:highlight w:val="none"/>
                <w:lang w:val="en-US" w:eastAsia="zh-CN"/>
              </w:rPr>
              <w:t>m</w:t>
            </w:r>
            <w:r>
              <w:rPr>
                <w:rFonts w:hint="eastAsia"/>
                <w:b/>
                <w:bCs/>
                <w:color w:val="auto"/>
                <w:highlight w:val="none"/>
                <w:vertAlign w:val="superscript"/>
                <w:lang w:val="en-US" w:eastAsia="zh-CN"/>
              </w:rPr>
              <w:t>3</w:t>
            </w:r>
            <w:r>
              <w:rPr>
                <w:rFonts w:hint="default"/>
                <w:b/>
                <w:bCs/>
                <w:color w:val="auto"/>
                <w:highlight w:val="none"/>
              </w:rPr>
              <w:t>/a）</w:t>
            </w:r>
          </w:p>
          <w:p>
            <w:pPr>
              <w:adjustRightInd w:val="0"/>
              <w:snapToGrid w:val="0"/>
              <w:spacing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十一</w:t>
            </w:r>
            <w:r>
              <w:rPr>
                <w:rFonts w:hint="default" w:ascii="Times New Roman" w:hAnsi="Times New Roman" w:cs="Times New Roman"/>
                <w:b/>
                <w:color w:val="auto"/>
                <w:sz w:val="24"/>
                <w:highlight w:val="none"/>
              </w:rPr>
              <w:t>、劳动定员及工作制度</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劳动定员：</w:t>
            </w:r>
            <w:r>
              <w:rPr>
                <w:rFonts w:hint="default" w:ascii="Times New Roman" w:hAnsi="Times New Roman" w:cs="Times New Roman"/>
                <w:bCs/>
                <w:color w:val="auto"/>
                <w:sz w:val="24"/>
                <w:highlight w:val="none"/>
                <w:lang w:val="en-US" w:eastAsia="zh-CN"/>
              </w:rPr>
              <w:t>本项目建设完成后，厂区</w:t>
            </w:r>
            <w:r>
              <w:rPr>
                <w:rFonts w:hint="default" w:ascii="Times New Roman" w:hAnsi="Times New Roman" w:cs="Times New Roman"/>
                <w:bCs/>
                <w:color w:val="auto"/>
                <w:sz w:val="24"/>
                <w:highlight w:val="none"/>
              </w:rPr>
              <w:t>劳动定员</w:t>
            </w:r>
            <w:r>
              <w:rPr>
                <w:rFonts w:hint="eastAsia" w:cs="Times New Roman"/>
                <w:bCs/>
                <w:color w:val="auto"/>
                <w:sz w:val="24"/>
                <w:highlight w:val="none"/>
                <w:lang w:val="en-US" w:eastAsia="zh-CN"/>
              </w:rPr>
              <w:t>25</w:t>
            </w:r>
            <w:r>
              <w:rPr>
                <w:rFonts w:hint="default" w:ascii="Times New Roman" w:hAnsi="Times New Roman" w:cs="Times New Roman"/>
                <w:bCs/>
                <w:color w:val="auto"/>
                <w:sz w:val="24"/>
                <w:highlight w:val="none"/>
              </w:rPr>
              <w:t>人。</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工作制度：年工作</w:t>
            </w:r>
            <w:r>
              <w:rPr>
                <w:rFonts w:hint="eastAsia" w:ascii="Times New Roman" w:hAnsi="Times New Roman" w:cs="Times New Roman"/>
                <w:bCs/>
                <w:color w:val="auto"/>
                <w:sz w:val="24"/>
                <w:highlight w:val="none"/>
                <w:lang w:val="en-US" w:eastAsia="zh-CN"/>
              </w:rPr>
              <w:t>250</w:t>
            </w:r>
            <w:r>
              <w:rPr>
                <w:rFonts w:hint="default" w:ascii="Times New Roman" w:hAnsi="Times New Roman" w:cs="Times New Roman"/>
                <w:bCs/>
                <w:color w:val="auto"/>
                <w:sz w:val="24"/>
                <w:highlight w:val="none"/>
              </w:rPr>
              <w:t>天，每天8h，年生产</w:t>
            </w:r>
            <w:r>
              <w:rPr>
                <w:rFonts w:hint="eastAsia" w:ascii="Times New Roman" w:hAnsi="Times New Roman" w:cs="Times New Roman"/>
                <w:bCs/>
                <w:color w:val="auto"/>
                <w:sz w:val="24"/>
                <w:highlight w:val="none"/>
                <w:lang w:val="en-US" w:eastAsia="zh-CN"/>
              </w:rPr>
              <w:t>2000</w:t>
            </w:r>
            <w:r>
              <w:rPr>
                <w:rFonts w:hint="default" w:ascii="Times New Roman" w:hAnsi="Times New Roman" w:cs="Times New Roman"/>
                <w:bCs/>
                <w:color w:val="auto"/>
                <w:sz w:val="24"/>
                <w:highlight w:val="none"/>
              </w:rPr>
              <w:t>h。</w:t>
            </w:r>
          </w:p>
          <w:p>
            <w:pPr>
              <w:adjustRightInd w:val="0"/>
              <w:snapToGrid w:val="0"/>
              <w:spacing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十二</w:t>
            </w:r>
            <w:r>
              <w:rPr>
                <w:rFonts w:hint="default" w:ascii="Times New Roman" w:hAnsi="Times New Roman" w:cs="Times New Roman"/>
                <w:b/>
                <w:color w:val="auto"/>
                <w:sz w:val="24"/>
                <w:highlight w:val="none"/>
              </w:rPr>
              <w:t>、厂区总平面布置</w:t>
            </w:r>
          </w:p>
          <w:p>
            <w:pPr>
              <w:pStyle w:val="30"/>
              <w:ind w:firstLine="480"/>
              <w:rPr>
                <w:rFonts w:hint="default" w:cs="Times New Roman"/>
                <w:color w:val="auto"/>
                <w:highlight w:val="none"/>
                <w:lang w:val="en-US" w:eastAsia="zh-CN"/>
              </w:rPr>
            </w:pPr>
            <w:r>
              <w:rPr>
                <w:rFonts w:hint="default" w:ascii="Times New Roman" w:hAnsi="Times New Roman" w:cs="Times New Roman"/>
                <w:color w:val="auto"/>
                <w:highlight w:val="none"/>
                <w:lang w:eastAsia="zh-CN"/>
              </w:rPr>
              <w:t>项目为租用的已建成厂房，钢筋混凝土结构，共1</w:t>
            </w:r>
            <w:r>
              <w:rPr>
                <w:rFonts w:hint="eastAsia" w:cs="Times New Roman"/>
                <w:color w:val="auto"/>
                <w:highlight w:val="none"/>
                <w:lang w:val="en-US" w:eastAsia="zh-CN"/>
              </w:rPr>
              <w:t>栋3</w:t>
            </w:r>
            <w:r>
              <w:rPr>
                <w:rFonts w:hint="default" w:ascii="Times New Roman" w:hAnsi="Times New Roman" w:cs="Times New Roman"/>
                <w:color w:val="auto"/>
                <w:highlight w:val="none"/>
                <w:lang w:eastAsia="zh-CN"/>
              </w:rPr>
              <w:t>层。项目仅设置生产车间</w:t>
            </w:r>
            <w:r>
              <w:rPr>
                <w:rFonts w:hint="eastAsia" w:cs="Times New Roman"/>
                <w:color w:val="auto"/>
                <w:highlight w:val="none"/>
                <w:lang w:val="en-US" w:eastAsia="zh-CN"/>
              </w:rPr>
              <w:t>和办公区</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一楼大厅处设置来料待检区、合格材料存放区，一楼</w:t>
            </w:r>
            <w:r>
              <w:rPr>
                <w:rFonts w:hint="default" w:ascii="Times New Roman" w:hAnsi="Times New Roman" w:cs="Times New Roman"/>
                <w:color w:val="auto"/>
                <w:highlight w:val="none"/>
                <w:lang w:eastAsia="zh-CN"/>
              </w:rPr>
              <w:t>车间内</w:t>
            </w:r>
            <w:r>
              <w:rPr>
                <w:rFonts w:hint="eastAsia" w:cs="Times New Roman"/>
                <w:color w:val="auto"/>
                <w:highlight w:val="none"/>
                <w:lang w:val="en-US" w:eastAsia="zh-CN"/>
              </w:rPr>
              <w:t>东</w:t>
            </w:r>
            <w:r>
              <w:rPr>
                <w:rFonts w:hint="default" w:ascii="Times New Roman" w:hAnsi="Times New Roman" w:cs="Times New Roman"/>
                <w:color w:val="auto"/>
                <w:highlight w:val="none"/>
                <w:lang w:eastAsia="zh-CN"/>
              </w:rPr>
              <w:t>侧为</w:t>
            </w:r>
            <w:r>
              <w:rPr>
                <w:rFonts w:hint="eastAsia" w:cs="Times New Roman"/>
                <w:color w:val="auto"/>
                <w:highlight w:val="none"/>
                <w:lang w:val="en-US" w:eastAsia="zh-CN"/>
              </w:rPr>
              <w:t>原料库房</w:t>
            </w:r>
            <w:r>
              <w:rPr>
                <w:rFonts w:hint="eastAsia" w:cs="Times New Roman"/>
                <w:color w:val="auto"/>
                <w:highlight w:val="none"/>
                <w:lang w:eastAsia="zh-CN"/>
              </w:rPr>
              <w:t>，</w:t>
            </w:r>
            <w:r>
              <w:rPr>
                <w:rFonts w:hint="eastAsia" w:cs="Times New Roman"/>
                <w:color w:val="auto"/>
                <w:highlight w:val="none"/>
                <w:lang w:val="en-US" w:eastAsia="zh-CN"/>
              </w:rPr>
              <w:t>一楼车间西侧设置办公室、原料库房、危废间，一楼车间西侧中部为试压区、包装区，东</w:t>
            </w:r>
            <w:r>
              <w:rPr>
                <w:rFonts w:hint="eastAsia" w:ascii="Times New Roman" w:hAnsi="Times New Roman" w:cs="Times New Roman"/>
                <w:color w:val="auto"/>
                <w:highlight w:val="none"/>
                <w:lang w:eastAsia="zh-CN"/>
              </w:rPr>
              <w:t>侧</w:t>
            </w:r>
            <w:r>
              <w:rPr>
                <w:rFonts w:hint="default" w:ascii="Times New Roman" w:hAnsi="Times New Roman" w:cs="Times New Roman"/>
                <w:color w:val="auto"/>
                <w:highlight w:val="none"/>
                <w:lang w:eastAsia="zh-CN"/>
              </w:rPr>
              <w:t>为</w:t>
            </w:r>
            <w:r>
              <w:rPr>
                <w:rFonts w:hint="eastAsia" w:cs="Times New Roman"/>
                <w:color w:val="auto"/>
                <w:highlight w:val="none"/>
                <w:lang w:val="en-US" w:eastAsia="zh-CN"/>
              </w:rPr>
              <w:t>装配区</w:t>
            </w:r>
            <w:r>
              <w:rPr>
                <w:rFonts w:hint="eastAsia" w:ascii="Times New Roman" w:hAnsi="Times New Roman" w:cs="Times New Roman"/>
                <w:color w:val="auto"/>
                <w:highlight w:val="none"/>
                <w:lang w:eastAsia="zh-CN"/>
              </w:rPr>
              <w:t>、成品堆放区</w:t>
            </w:r>
            <w:r>
              <w:rPr>
                <w:rFonts w:hint="eastAsia" w:cs="Times New Roman"/>
                <w:color w:val="auto"/>
                <w:highlight w:val="none"/>
                <w:lang w:val="en-US" w:eastAsia="zh-CN"/>
              </w:rPr>
              <w:t>一楼车间南侧左边设置</w:t>
            </w:r>
            <w:r>
              <w:rPr>
                <w:rFonts w:hint="eastAsia" w:ascii="Times New Roman" w:hAnsi="Times New Roman" w:cs="Times New Roman"/>
                <w:color w:val="auto"/>
                <w:highlight w:val="none"/>
                <w:lang w:eastAsia="zh-CN"/>
              </w:rPr>
              <w:t>浸漆烘干室</w:t>
            </w:r>
            <w:r>
              <w:rPr>
                <w:rFonts w:hint="eastAsia" w:cs="Times New Roman"/>
                <w:color w:val="auto"/>
                <w:highlight w:val="none"/>
                <w:lang w:val="en-US" w:eastAsia="zh-CN"/>
              </w:rPr>
              <w:t>；二楼</w:t>
            </w:r>
            <w:r>
              <w:rPr>
                <w:rFonts w:hint="default" w:ascii="Times New Roman" w:hAnsi="Times New Roman" w:cs="Times New Roman"/>
                <w:color w:val="auto"/>
                <w:highlight w:val="none"/>
                <w:lang w:eastAsia="zh-CN"/>
              </w:rPr>
              <w:t>车间</w:t>
            </w:r>
            <w:r>
              <w:rPr>
                <w:rFonts w:hint="eastAsia" w:ascii="Times New Roman" w:hAnsi="Times New Roman" w:cs="Times New Roman"/>
                <w:color w:val="auto"/>
                <w:highlight w:val="none"/>
                <w:lang w:eastAsia="zh-CN"/>
              </w:rPr>
              <w:t>东侧</w:t>
            </w:r>
            <w:r>
              <w:rPr>
                <w:rFonts w:hint="eastAsia" w:cs="Times New Roman"/>
                <w:color w:val="auto"/>
                <w:highlight w:val="none"/>
                <w:lang w:val="en-US" w:eastAsia="zh-CN"/>
              </w:rPr>
              <w:t>中部</w:t>
            </w:r>
            <w:r>
              <w:rPr>
                <w:rFonts w:hint="default" w:ascii="Times New Roman" w:hAnsi="Times New Roman" w:cs="Times New Roman"/>
                <w:color w:val="auto"/>
                <w:highlight w:val="none"/>
                <w:lang w:eastAsia="zh-CN"/>
              </w:rPr>
              <w:t>为</w:t>
            </w:r>
            <w:r>
              <w:rPr>
                <w:rFonts w:hint="eastAsia" w:ascii="Times New Roman" w:hAnsi="Times New Roman" w:cs="Times New Roman"/>
                <w:color w:val="auto"/>
                <w:highlight w:val="none"/>
                <w:lang w:eastAsia="zh-CN"/>
              </w:rPr>
              <w:t>绕</w:t>
            </w:r>
            <w:r>
              <w:rPr>
                <w:rFonts w:hint="eastAsia" w:cs="Times New Roman"/>
                <w:color w:val="auto"/>
                <w:highlight w:val="none"/>
                <w:lang w:val="en-US" w:eastAsia="zh-CN"/>
              </w:rPr>
              <w:t>线</w:t>
            </w:r>
            <w:r>
              <w:rPr>
                <w:rFonts w:hint="default" w:ascii="Times New Roman" w:hAnsi="Times New Roman" w:cs="Times New Roman"/>
                <w:color w:val="auto"/>
                <w:highlight w:val="none"/>
                <w:lang w:eastAsia="zh-CN"/>
              </w:rPr>
              <w:t>生产区，</w:t>
            </w:r>
            <w:r>
              <w:rPr>
                <w:rFonts w:hint="eastAsia" w:cs="Times New Roman"/>
                <w:color w:val="auto"/>
                <w:highlight w:val="none"/>
                <w:lang w:val="en-US" w:eastAsia="zh-CN"/>
              </w:rPr>
              <w:t>西侧中部也为绕线区域，</w:t>
            </w:r>
            <w:r>
              <w:rPr>
                <w:rFonts w:hint="default" w:ascii="Times New Roman" w:hAnsi="Times New Roman" w:cs="Times New Roman"/>
                <w:color w:val="auto"/>
                <w:highlight w:val="none"/>
                <w:lang w:eastAsia="zh-CN"/>
              </w:rPr>
              <w:t>设置</w:t>
            </w:r>
            <w:r>
              <w:rPr>
                <w:rFonts w:hint="eastAsia" w:ascii="Times New Roman" w:hAnsi="Times New Roman" w:cs="Times New Roman"/>
                <w:color w:val="auto"/>
                <w:highlight w:val="none"/>
                <w:lang w:eastAsia="zh-CN"/>
              </w:rPr>
              <w:t>自动绕线机、</w:t>
            </w:r>
            <w:r>
              <w:rPr>
                <w:rFonts w:hint="eastAsia" w:cs="Times New Roman"/>
                <w:color w:val="auto"/>
                <w:highlight w:val="none"/>
                <w:lang w:val="en-US" w:eastAsia="zh-CN"/>
              </w:rPr>
              <w:t>脱皮机</w:t>
            </w:r>
            <w:r>
              <w:rPr>
                <w:rFonts w:hint="default" w:ascii="Times New Roman" w:hAnsi="Times New Roman" w:cs="Times New Roman"/>
                <w:color w:val="auto"/>
                <w:highlight w:val="none"/>
                <w:lang w:eastAsia="zh-CN"/>
              </w:rPr>
              <w:t>等设备</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二楼车间南侧分别设置</w:t>
            </w:r>
            <w:r>
              <w:rPr>
                <w:rFonts w:hint="eastAsia" w:ascii="Times New Roman" w:hAnsi="Times New Roman" w:cs="Times New Roman"/>
                <w:color w:val="auto"/>
                <w:highlight w:val="none"/>
                <w:lang w:eastAsia="zh-CN"/>
              </w:rPr>
              <w:t>焊锡室</w:t>
            </w:r>
            <w:r>
              <w:rPr>
                <w:rFonts w:hint="eastAsia" w:cs="Times New Roman"/>
                <w:color w:val="auto"/>
                <w:highlight w:val="none"/>
                <w:lang w:eastAsia="zh-CN"/>
              </w:rPr>
              <w:t>、</w:t>
            </w:r>
            <w:r>
              <w:rPr>
                <w:rFonts w:hint="eastAsia" w:cs="Times New Roman"/>
                <w:color w:val="auto"/>
                <w:highlight w:val="none"/>
                <w:lang w:val="en-US" w:eastAsia="zh-CN"/>
              </w:rPr>
              <w:t>原料库房</w:t>
            </w:r>
            <w:r>
              <w:rPr>
                <w:rFonts w:hint="eastAsia" w:cs="Times New Roman"/>
                <w:color w:val="auto"/>
                <w:highlight w:val="none"/>
                <w:lang w:eastAsia="zh-CN"/>
              </w:rPr>
              <w:t>，</w:t>
            </w:r>
            <w:r>
              <w:rPr>
                <w:rFonts w:hint="eastAsia" w:cs="Times New Roman"/>
                <w:color w:val="auto"/>
                <w:highlight w:val="none"/>
                <w:lang w:val="en-US" w:eastAsia="zh-CN"/>
              </w:rPr>
              <w:t>二楼车间北侧</w:t>
            </w:r>
            <w:r>
              <w:rPr>
                <w:rFonts w:hint="eastAsia" w:ascii="Times New Roman" w:hAnsi="Times New Roman" w:cs="Times New Roman"/>
                <w:color w:val="auto"/>
                <w:highlight w:val="none"/>
                <w:lang w:eastAsia="zh-CN"/>
              </w:rPr>
              <w:t>设置</w:t>
            </w:r>
            <w:r>
              <w:rPr>
                <w:rFonts w:hint="eastAsia" w:cs="Times New Roman"/>
                <w:color w:val="auto"/>
                <w:highlight w:val="none"/>
                <w:lang w:val="en-US" w:eastAsia="zh-CN"/>
              </w:rPr>
              <w:t>办公室、原料库房；三楼设置有一间办公室，其余为空房间。</w:t>
            </w:r>
          </w:p>
          <w:p>
            <w:pPr>
              <w:pStyle w:val="30"/>
              <w:ind w:firstLine="480"/>
              <w:rPr>
                <w:rFonts w:hint="default" w:ascii="Times New Roman" w:hAnsi="Times New Roman" w:cs="Times New Roman"/>
                <w:color w:val="auto"/>
                <w:highlight w:val="none"/>
              </w:rPr>
            </w:pPr>
            <w:r>
              <w:rPr>
                <w:rFonts w:hint="default" w:ascii="Times New Roman" w:hAnsi="Times New Roman" w:cs="Times New Roman"/>
                <w:color w:val="auto"/>
                <w:sz w:val="24"/>
                <w:szCs w:val="32"/>
                <w:highlight w:val="none"/>
              </w:rPr>
              <w:t>项目平面布置尽量做到了运输及物流合理、管理方便，同时以尽量发挥设施作用、最大限度节约土地的原则，整体布局紧凑。</w:t>
            </w:r>
          </w:p>
          <w:p>
            <w:pPr>
              <w:pStyle w:val="30"/>
              <w:ind w:firstLine="480"/>
              <w:rPr>
                <w:rFonts w:hint="default" w:ascii="Times New Roman" w:hAnsi="Times New Roman" w:cs="Times New Roman"/>
                <w:color w:val="auto"/>
                <w:highlight w:val="none"/>
              </w:rPr>
            </w:pPr>
            <w:r>
              <w:rPr>
                <w:rFonts w:hint="eastAsia" w:cs="Times New Roman"/>
                <w:color w:val="auto"/>
                <w:highlight w:val="none"/>
                <w:lang w:val="en-US" w:eastAsia="zh-CN"/>
              </w:rPr>
              <w:t>本项目周边均为工业企业，项目激光脱皮废气、焊锡废气</w:t>
            </w:r>
            <w:r>
              <w:rPr>
                <w:rFonts w:hint="eastAsia" w:ascii="Times New Roman" w:hAnsi="Times New Roman" w:cs="Times New Roman"/>
                <w:color w:val="auto"/>
                <w:highlight w:val="none"/>
                <w:lang w:eastAsia="zh-CN"/>
              </w:rPr>
              <w:t>通过</w:t>
            </w:r>
            <w:r>
              <w:rPr>
                <w:rFonts w:hint="eastAsia" w:cs="Times New Roman"/>
                <w:color w:val="auto"/>
                <w:sz w:val="24"/>
                <w:szCs w:val="32"/>
                <w:highlight w:val="none"/>
                <w:lang w:val="en-US" w:eastAsia="zh-CN" w:bidi="ar"/>
              </w:rPr>
              <w:t>集气罩+</w:t>
            </w:r>
            <w:r>
              <w:rPr>
                <w:rFonts w:hint="eastAsia" w:ascii="Times New Roman" w:hAnsi="Times New Roman" w:cs="Times New Roman"/>
                <w:color w:val="auto"/>
                <w:highlight w:val="none"/>
                <w:lang w:val="en-US" w:eastAsia="zh-CN"/>
              </w:rPr>
              <w:t>过滤棉+二级活性炭装置+15m排气筒（DA001）达标排放</w:t>
            </w:r>
            <w:r>
              <w:rPr>
                <w:rFonts w:hint="eastAsia" w:cs="Times New Roman"/>
                <w:color w:val="auto"/>
                <w:highlight w:val="none"/>
                <w:lang w:val="en-US" w:eastAsia="zh-CN"/>
              </w:rPr>
              <w:t>，浸漆废气、烘干废气</w:t>
            </w:r>
            <w:r>
              <w:rPr>
                <w:rFonts w:hint="eastAsia" w:ascii="Times New Roman" w:hAnsi="Times New Roman" w:cs="Times New Roman"/>
                <w:color w:val="auto"/>
                <w:highlight w:val="none"/>
                <w:lang w:eastAsia="zh-CN"/>
              </w:rPr>
              <w:t>通过</w:t>
            </w:r>
            <w:r>
              <w:rPr>
                <w:rFonts w:hint="eastAsia" w:cs="Times New Roman"/>
                <w:color w:val="auto"/>
                <w:sz w:val="24"/>
                <w:szCs w:val="32"/>
                <w:highlight w:val="none"/>
                <w:lang w:val="en-US" w:eastAsia="zh-CN" w:bidi="ar"/>
              </w:rPr>
              <w:t>封闭设备集气管收集+</w:t>
            </w:r>
            <w:r>
              <w:rPr>
                <w:rFonts w:hint="eastAsia" w:ascii="Times New Roman" w:hAnsi="Times New Roman" w:cs="Times New Roman"/>
                <w:color w:val="auto"/>
                <w:highlight w:val="none"/>
                <w:lang w:val="en-US" w:eastAsia="zh-CN"/>
              </w:rPr>
              <w:t>过滤棉+二级活性炭装置+15m排气筒（DA001）达标排放，排气筒设置位置</w:t>
            </w:r>
            <w:r>
              <w:rPr>
                <w:rFonts w:hint="eastAsia" w:cs="Times New Roman"/>
                <w:color w:val="auto"/>
                <w:highlight w:val="none"/>
                <w:lang w:val="en-US" w:eastAsia="zh-CN"/>
              </w:rPr>
              <w:t>合理</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lang w:eastAsia="zh-CN"/>
              </w:rPr>
              <w:t>本项目</w:t>
            </w:r>
            <w:r>
              <w:rPr>
                <w:rFonts w:hint="default" w:ascii="Times New Roman" w:hAnsi="Times New Roman" w:cs="Times New Roman"/>
                <w:color w:val="auto"/>
                <w:highlight w:val="none"/>
              </w:rPr>
              <w:t>噪声采取隔声、消声、减振等综合降噪措施处理，采取措施后本项目对</w:t>
            </w:r>
            <w:r>
              <w:rPr>
                <w:rFonts w:hint="eastAsia" w:cs="Times New Roman"/>
                <w:color w:val="auto"/>
                <w:highlight w:val="none"/>
                <w:lang w:val="en-US" w:eastAsia="zh-CN"/>
              </w:rPr>
              <w:t>周边企业</w:t>
            </w:r>
            <w:r>
              <w:rPr>
                <w:rFonts w:hint="default" w:ascii="Times New Roman" w:hAnsi="Times New Roman" w:cs="Times New Roman"/>
                <w:color w:val="auto"/>
                <w:highlight w:val="none"/>
              </w:rPr>
              <w:t>影响较小。</w:t>
            </w:r>
          </w:p>
          <w:p>
            <w:pPr>
              <w:pStyle w:val="30"/>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rPr>
              <w:t>综上分析，本项目平面布置合理（项目平面布置见附图）。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16"/>
              <w:adjustRightInd w:val="0"/>
              <w:snapToGrid w:val="0"/>
              <w:spacing w:before="0" w:beforeAutospacing="0" w:after="0" w:afterAutospacing="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工艺流程和产排污环节</w:t>
            </w:r>
          </w:p>
        </w:tc>
        <w:tc>
          <w:tcPr>
            <w:tcW w:w="8161" w:type="dxa"/>
            <w:noWrap w:val="0"/>
            <w:vAlign w:val="top"/>
          </w:tcPr>
          <w:p>
            <w:pPr>
              <w:adjustRightInd w:val="0"/>
              <w:snapToGrid w:val="0"/>
              <w:spacing w:line="360" w:lineRule="auto"/>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rPr>
              <w:t>一、施工期工艺流程及产排污环节</w:t>
            </w:r>
          </w:p>
          <w:p>
            <w:pPr>
              <w:pStyle w:val="37"/>
              <w:ind w:left="0" w:right="0" w:firstLine="480"/>
              <w:jc w:val="both"/>
              <w:rPr>
                <w:rFonts w:hint="eastAsia" w:ascii="Times New Roman" w:hAnsi="Times New Roman" w:eastAsia="宋体" w:cs="Times New Roman"/>
                <w:b/>
                <w:color w:val="auto"/>
                <w:sz w:val="24"/>
                <w:highlight w:val="none"/>
                <w:lang w:eastAsia="zh-CN"/>
              </w:rPr>
            </w:pPr>
            <w:r>
              <w:rPr>
                <w:color w:val="auto"/>
                <w:highlight w:val="none"/>
              </w:rPr>
              <w:t>本项目租赁</w:t>
            </w:r>
            <w:r>
              <w:rPr>
                <w:rFonts w:hint="default" w:ascii="Times New Roman" w:hAnsi="Times New Roman" w:eastAsia="宋体" w:cs="Times New Roman"/>
                <w:color w:val="auto"/>
                <w:kern w:val="0"/>
                <w:sz w:val="24"/>
                <w:highlight w:val="none"/>
                <w:lang w:val="en-US" w:eastAsia="zh-CN" w:bidi="ar"/>
              </w:rPr>
              <w:t>租用蓬溪县门拓建设有限责任公司</w:t>
            </w:r>
            <w:r>
              <w:rPr>
                <w:rFonts w:hint="default" w:ascii="Times New Roman" w:hAnsi="Times New Roman" w:eastAsia="宋体" w:cs="Times New Roman"/>
                <w:bCs/>
                <w:color w:val="auto"/>
                <w:kern w:val="0"/>
                <w:sz w:val="24"/>
                <w:highlight w:val="none"/>
                <w:lang w:val="en-US" w:eastAsia="zh-CN" w:bidi="ar"/>
              </w:rPr>
              <w:t>已建厂房</w:t>
            </w:r>
            <w:r>
              <w:rPr>
                <w:color w:val="auto"/>
                <w:highlight w:val="none"/>
              </w:rPr>
              <w:t>进行建设，经装修、设备安装后即可进行营运，施工期主要为装修、安装设备、调试。施工期流程及污染物产生环节见图</w:t>
            </w:r>
            <w:r>
              <w:rPr>
                <w:rFonts w:hint="eastAsia"/>
                <w:color w:val="auto"/>
                <w:highlight w:val="none"/>
                <w:lang w:val="en-US" w:eastAsia="zh-CN"/>
              </w:rPr>
              <w:t>2-4</w:t>
            </w:r>
            <w:r>
              <w:rPr>
                <w:color w:val="auto"/>
                <w:highlight w:val="none"/>
              </w:rPr>
              <w:t>。</w:t>
            </w:r>
          </w:p>
          <w:p>
            <w:pPr>
              <w:autoSpaceDE w:val="0"/>
              <w:autoSpaceDN w:val="0"/>
              <w:spacing w:line="360" w:lineRule="auto"/>
              <w:jc w:val="center"/>
              <w:rPr>
                <w:color w:val="auto"/>
                <w:highlight w:val="none"/>
              </w:rPr>
            </w:pPr>
            <w:r>
              <w:rPr>
                <w:rFonts w:hint="eastAsia" w:ascii="Times New Roman" w:hAnsi="Times New Roman" w:eastAsia="宋体" w:cs="Times New Roman"/>
                <w:b/>
                <w:color w:val="auto"/>
                <w:sz w:val="24"/>
                <w:highlight w:val="none"/>
                <w:lang w:eastAsia="zh-CN"/>
              </w:rPr>
              <w:drawing>
                <wp:inline distT="0" distB="0" distL="114300" distR="114300">
                  <wp:extent cx="4598035" cy="3408045"/>
                  <wp:effectExtent l="0" t="0" r="0" b="0"/>
                  <wp:docPr id="5"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5" descr="wps"/>
                          <pic:cNvPicPr>
                            <a:picLocks noChangeAspect="1"/>
                          </pic:cNvPicPr>
                        </pic:nvPicPr>
                        <pic:blipFill>
                          <a:blip r:embed="rId19"/>
                          <a:srcRect l="6054" t="8178" r="5738" b="7739"/>
                          <a:stretch>
                            <a:fillRect/>
                          </a:stretch>
                        </pic:blipFill>
                        <pic:spPr>
                          <a:xfrm>
                            <a:off x="0" y="0"/>
                            <a:ext cx="4598035" cy="3408045"/>
                          </a:xfrm>
                          <a:prstGeom prst="rect">
                            <a:avLst/>
                          </a:prstGeom>
                        </pic:spPr>
                      </pic:pic>
                    </a:graphicData>
                  </a:graphic>
                </wp:inline>
              </w:drawing>
            </w:r>
          </w:p>
          <w:p>
            <w:pPr>
              <w:pStyle w:val="16"/>
              <w:widowControl w:val="0"/>
              <w:spacing w:before="0" w:beforeAutospacing="0" w:after="120" w:afterLines="5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图</w:t>
            </w:r>
            <w:r>
              <w:rPr>
                <w:rFonts w:hint="eastAsia" w:ascii="Times New Roman" w:hAnsi="Times New Roman"/>
                <w:b/>
                <w:bCs/>
                <w:color w:val="auto"/>
                <w:sz w:val="21"/>
                <w:szCs w:val="21"/>
                <w:highlight w:val="none"/>
              </w:rPr>
              <w:t>2</w:t>
            </w:r>
            <w:r>
              <w:rPr>
                <w:rFonts w:ascii="Times New Roman" w:hAnsi="Times New Roman"/>
                <w:b/>
                <w:bCs/>
                <w:color w:val="auto"/>
                <w:sz w:val="21"/>
                <w:szCs w:val="21"/>
                <w:highlight w:val="none"/>
              </w:rPr>
              <w:t>-</w:t>
            </w:r>
            <w:r>
              <w:rPr>
                <w:rFonts w:hint="eastAsia" w:ascii="Times New Roman" w:hAnsi="Times New Roman"/>
                <w:b/>
                <w:bCs/>
                <w:color w:val="auto"/>
                <w:sz w:val="21"/>
                <w:szCs w:val="21"/>
                <w:highlight w:val="none"/>
                <w:lang w:val="en-US" w:eastAsia="zh-CN"/>
              </w:rPr>
              <w:t>6</w:t>
            </w:r>
            <w:r>
              <w:rPr>
                <w:rFonts w:ascii="Times New Roman" w:hAnsi="Times New Roman"/>
                <w:b/>
                <w:bCs/>
                <w:color w:val="auto"/>
                <w:sz w:val="21"/>
                <w:szCs w:val="21"/>
                <w:highlight w:val="none"/>
              </w:rPr>
              <w:t xml:space="preserve">  施工期工艺流程及产污环节图</w:t>
            </w:r>
          </w:p>
          <w:p>
            <w:pPr>
              <w:pStyle w:val="37"/>
              <w:ind w:left="0" w:leftChars="0" w:right="0" w:firstLine="0" w:firstLineChars="0"/>
              <w:jc w:val="both"/>
              <w:rPr>
                <w:b/>
                <w:bCs/>
                <w:color w:val="auto"/>
                <w:highlight w:val="none"/>
              </w:rPr>
            </w:pPr>
            <w:r>
              <w:rPr>
                <w:b/>
                <w:bCs/>
                <w:color w:val="auto"/>
                <w:highlight w:val="none"/>
              </w:rPr>
              <w:t>本项目施工期产生的污染物主要有：</w:t>
            </w:r>
          </w:p>
          <w:p>
            <w:pPr>
              <w:pStyle w:val="37"/>
              <w:ind w:left="0" w:right="0" w:firstLine="480"/>
              <w:jc w:val="both"/>
              <w:rPr>
                <w:color w:val="auto"/>
                <w:highlight w:val="none"/>
              </w:rPr>
            </w:pPr>
            <w:r>
              <w:rPr>
                <w:color w:val="auto"/>
                <w:highlight w:val="none"/>
              </w:rPr>
              <w:t>废气：扬尘、废气等。</w:t>
            </w:r>
          </w:p>
          <w:p>
            <w:pPr>
              <w:pStyle w:val="37"/>
              <w:ind w:left="0" w:right="0" w:firstLine="480"/>
              <w:jc w:val="both"/>
              <w:rPr>
                <w:color w:val="auto"/>
                <w:highlight w:val="none"/>
              </w:rPr>
            </w:pPr>
            <w:r>
              <w:rPr>
                <w:color w:val="auto"/>
                <w:highlight w:val="none"/>
              </w:rPr>
              <w:t>废水：生活污水。</w:t>
            </w:r>
          </w:p>
          <w:p>
            <w:pPr>
              <w:pStyle w:val="37"/>
              <w:ind w:left="0" w:right="0" w:firstLine="480"/>
              <w:jc w:val="both"/>
              <w:rPr>
                <w:color w:val="auto"/>
                <w:highlight w:val="none"/>
              </w:rPr>
            </w:pPr>
            <w:r>
              <w:rPr>
                <w:color w:val="auto"/>
                <w:highlight w:val="none"/>
              </w:rPr>
              <w:t>噪声：设备噪声、车辆噪声。</w:t>
            </w:r>
          </w:p>
          <w:p>
            <w:pPr>
              <w:pStyle w:val="37"/>
              <w:ind w:left="0" w:right="0" w:firstLine="480"/>
              <w:jc w:val="both"/>
              <w:rPr>
                <w:color w:val="auto"/>
                <w:highlight w:val="none"/>
              </w:rPr>
            </w:pPr>
            <w:r>
              <w:rPr>
                <w:color w:val="auto"/>
                <w:highlight w:val="none"/>
              </w:rPr>
              <w:t>固废：生活垃圾，装修废渣等。</w:t>
            </w:r>
          </w:p>
          <w:p>
            <w:pPr>
              <w:pStyle w:val="6"/>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二、营运期工艺流程及产排污环节</w:t>
            </w:r>
          </w:p>
          <w:p>
            <w:pPr>
              <w:pStyle w:val="30"/>
              <w:ind w:firstLine="48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变压器</w:t>
            </w:r>
            <w:r>
              <w:rPr>
                <w:rFonts w:hint="default" w:ascii="Times New Roman" w:hAnsi="Times New Roman" w:cs="Times New Roman"/>
                <w:b/>
                <w:bCs/>
                <w:color w:val="auto"/>
                <w:highlight w:val="none"/>
                <w:lang w:val="en-US" w:eastAsia="zh-CN"/>
              </w:rPr>
              <w:t>生产工艺</w:t>
            </w:r>
          </w:p>
          <w:p>
            <w:pPr>
              <w:adjustRightInd w:val="0"/>
              <w:snapToGrid w:val="0"/>
              <w:spacing w:line="360" w:lineRule="auto"/>
              <w:jc w:val="center"/>
              <w:rPr>
                <w:rFonts w:hint="eastAsia" w:ascii="Times New Roman" w:hAnsi="Times New Roman" w:eastAsia="宋体" w:cs="Times New Roman"/>
                <w:b/>
                <w:bCs/>
                <w:color w:val="auto"/>
                <w:szCs w:val="21"/>
                <w:highlight w:val="none"/>
                <w:lang w:eastAsia="zh-CN"/>
              </w:rPr>
            </w:pPr>
          </w:p>
          <w:p>
            <w:pPr>
              <w:adjustRightInd w:val="0"/>
              <w:snapToGrid w:val="0"/>
              <w:spacing w:line="360" w:lineRule="auto"/>
              <w:jc w:val="center"/>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szCs w:val="21"/>
                <w:highlight w:val="none"/>
                <w:lang w:eastAsia="zh-CN"/>
              </w:rPr>
              <w:drawing>
                <wp:inline distT="0" distB="0" distL="114300" distR="114300">
                  <wp:extent cx="4942840" cy="4836160"/>
                  <wp:effectExtent l="0" t="0" r="0" b="0"/>
                  <wp:docPr id="8"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6" descr="wps"/>
                          <pic:cNvPicPr>
                            <a:picLocks noChangeAspect="1"/>
                          </pic:cNvPicPr>
                        </pic:nvPicPr>
                        <pic:blipFill>
                          <a:blip r:embed="rId20"/>
                          <a:srcRect l="4474" t="5196" r="7839" b="6609"/>
                          <a:stretch>
                            <a:fillRect/>
                          </a:stretch>
                        </pic:blipFill>
                        <pic:spPr>
                          <a:xfrm>
                            <a:off x="0" y="0"/>
                            <a:ext cx="4942840" cy="4836160"/>
                          </a:xfrm>
                          <a:prstGeom prst="rect">
                            <a:avLst/>
                          </a:prstGeom>
                        </pic:spPr>
                      </pic:pic>
                    </a:graphicData>
                  </a:graphic>
                </wp:inline>
              </w:drawing>
            </w:r>
          </w:p>
          <w:p>
            <w:pPr>
              <w:adjustRightInd w:val="0"/>
              <w:snapToGrid w:val="0"/>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szCs w:val="21"/>
                <w:highlight w:val="none"/>
              </w:rPr>
              <w:t>图2-</w:t>
            </w:r>
            <w:r>
              <w:rPr>
                <w:rFonts w:hint="eastAsia" w:cs="Times New Roman"/>
                <w:b/>
                <w:bCs/>
                <w:color w:val="auto"/>
                <w:szCs w:val="21"/>
                <w:highlight w:val="none"/>
                <w:lang w:val="en-US" w:eastAsia="zh-CN"/>
              </w:rPr>
              <w:t>7</w:t>
            </w:r>
            <w:r>
              <w:rPr>
                <w:rFonts w:hint="default" w:ascii="Times New Roman" w:hAnsi="Times New Roman" w:cs="Times New Roman"/>
                <w:b/>
                <w:bCs/>
                <w:color w:val="auto"/>
                <w:szCs w:val="21"/>
                <w:highlight w:val="none"/>
              </w:rPr>
              <w:t xml:space="preserve">  </w:t>
            </w:r>
            <w:r>
              <w:rPr>
                <w:rFonts w:hint="default" w:ascii="Times New Roman" w:hAnsi="Times New Roman" w:eastAsia="宋体" w:cs="Times New Roman"/>
                <w:b/>
                <w:bCs/>
                <w:color w:val="auto"/>
                <w:highlight w:val="none"/>
                <w:lang w:eastAsia="zh-CN"/>
              </w:rPr>
              <w:t>项目</w:t>
            </w:r>
            <w:r>
              <w:rPr>
                <w:rFonts w:hint="eastAsia" w:ascii="Times New Roman" w:hAnsi="Times New Roman" w:eastAsia="宋体" w:cs="Times New Roman"/>
                <w:b/>
                <w:bCs/>
                <w:color w:val="auto"/>
                <w:highlight w:val="none"/>
                <w:lang w:val="en-US" w:eastAsia="zh-CN"/>
              </w:rPr>
              <w:t>变压器</w:t>
            </w:r>
            <w:r>
              <w:rPr>
                <w:rFonts w:hint="default" w:ascii="Times New Roman" w:hAnsi="Times New Roman" w:cs="Times New Roman"/>
                <w:b/>
                <w:bCs/>
                <w:color w:val="auto"/>
                <w:szCs w:val="21"/>
                <w:highlight w:val="none"/>
              </w:rPr>
              <w:t>工艺流程及产污节点图</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rPr>
              <w:t>工艺流程简述</w:t>
            </w:r>
            <w:r>
              <w:rPr>
                <w:rFonts w:hint="default" w:ascii="Times New Roman" w:hAnsi="Times New Roman" w:cs="Times New Roman"/>
                <w:b/>
                <w:bCs/>
                <w:color w:val="auto"/>
                <w:sz w:val="24"/>
                <w:highlight w:val="none"/>
              </w:rPr>
              <w:t>:</w:t>
            </w:r>
          </w:p>
          <w:p>
            <w:pPr>
              <w:pStyle w:val="12"/>
              <w:rPr>
                <w:rFonts w:hint="default" w:eastAsia="宋体"/>
                <w:color w:val="auto"/>
                <w:highlight w:val="none"/>
                <w:lang w:val="en-US" w:eastAsia="zh-CN"/>
              </w:rPr>
            </w:pPr>
            <w:r>
              <w:rPr>
                <w:rFonts w:hint="eastAsia" w:cs="Times New Roman"/>
                <w:color w:val="auto"/>
                <w:kern w:val="0"/>
                <w:sz w:val="24"/>
                <w:szCs w:val="24"/>
                <w:highlight w:val="none"/>
                <w:lang w:val="en-US" w:eastAsia="zh-CN" w:bidi="ar"/>
              </w:rPr>
              <w:t>（1）原料拆封：将从外购买回来的原料进行拆封，检验合格后的原料放入库房。此过程主要产生少量废包装材料。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（2）铜</w:t>
            </w:r>
            <w:r>
              <w:rPr>
                <w:rFonts w:hint="default" w:ascii="Times New Roman" w:hAnsi="Times New Roman" w:eastAsia="宋体" w:cs="Times New Roman"/>
                <w:color w:val="auto"/>
                <w:kern w:val="0"/>
                <w:sz w:val="24"/>
                <w:szCs w:val="24"/>
                <w:highlight w:val="none"/>
                <w:lang w:val="en-US" w:eastAsia="zh-CN" w:bidi="ar"/>
              </w:rPr>
              <w:t>线</w:t>
            </w:r>
            <w:r>
              <w:rPr>
                <w:rFonts w:hint="eastAsia" w:cs="Times New Roman"/>
                <w:color w:val="auto"/>
                <w:kern w:val="0"/>
                <w:sz w:val="24"/>
                <w:szCs w:val="24"/>
                <w:highlight w:val="none"/>
                <w:lang w:val="en-US" w:eastAsia="zh-CN" w:bidi="ar"/>
              </w:rPr>
              <w:t>绕制</w:t>
            </w:r>
            <w:r>
              <w:rPr>
                <w:rFonts w:hint="default" w:ascii="Times New Roman" w:hAnsi="Times New Roman" w:eastAsia="宋体" w:cs="Times New Roman"/>
                <w:color w:val="auto"/>
                <w:kern w:val="0"/>
                <w:sz w:val="24"/>
                <w:szCs w:val="24"/>
                <w:highlight w:val="none"/>
                <w:lang w:val="en-US" w:eastAsia="zh-CN" w:bidi="ar"/>
              </w:rPr>
              <w:t>：将</w:t>
            </w:r>
            <w:r>
              <w:rPr>
                <w:rFonts w:hint="eastAsia" w:cs="Times New Roman"/>
                <w:color w:val="auto"/>
                <w:sz w:val="24"/>
                <w:szCs w:val="24"/>
                <w:highlight w:val="none"/>
                <w:lang w:val="en-US" w:eastAsia="zh-CN"/>
              </w:rPr>
              <w:t>电木粉骨架置于</w:t>
            </w:r>
            <w:r>
              <w:rPr>
                <w:rFonts w:hint="eastAsia" w:cs="Times New Roman"/>
                <w:color w:val="auto"/>
                <w:kern w:val="0"/>
                <w:sz w:val="24"/>
                <w:szCs w:val="24"/>
                <w:highlight w:val="none"/>
                <w:lang w:val="en-US" w:eastAsia="zh-CN" w:bidi="ar"/>
              </w:rPr>
              <w:t>自动</w:t>
            </w:r>
            <w:r>
              <w:rPr>
                <w:rFonts w:hint="default" w:ascii="Times New Roman" w:hAnsi="Times New Roman" w:eastAsia="宋体" w:cs="Times New Roman"/>
                <w:color w:val="auto"/>
                <w:kern w:val="0"/>
                <w:sz w:val="24"/>
                <w:szCs w:val="24"/>
                <w:highlight w:val="none"/>
                <w:lang w:val="en-US" w:eastAsia="zh-CN" w:bidi="ar"/>
              </w:rPr>
              <w:t>绕线机上</w:t>
            </w:r>
            <w:r>
              <w:rPr>
                <w:rFonts w:hint="eastAsia" w:cs="Times New Roman"/>
                <w:color w:val="auto"/>
                <w:kern w:val="0"/>
                <w:sz w:val="24"/>
                <w:szCs w:val="24"/>
                <w:highlight w:val="none"/>
                <w:lang w:val="en-US" w:eastAsia="zh-CN" w:bidi="ar"/>
              </w:rPr>
              <w:t>，根据要求将相应规格铜线绕至骨架上，</w:t>
            </w:r>
            <w:r>
              <w:rPr>
                <w:rFonts w:hint="eastAsia" w:ascii="Times New Roman" w:hAnsi="Times New Roman" w:eastAsia="宋体" w:cs="Times New Roman"/>
                <w:color w:val="auto"/>
                <w:kern w:val="0"/>
                <w:sz w:val="24"/>
                <w:szCs w:val="24"/>
                <w:highlight w:val="none"/>
                <w:lang w:val="en-US" w:eastAsia="zh-CN" w:bidi="ar"/>
              </w:rPr>
              <w:t>铜</w:t>
            </w:r>
            <w:r>
              <w:rPr>
                <w:rFonts w:hint="eastAsia" w:cs="Times New Roman"/>
                <w:color w:val="auto"/>
                <w:kern w:val="0"/>
                <w:sz w:val="24"/>
                <w:szCs w:val="24"/>
                <w:highlight w:val="none"/>
                <w:lang w:val="en-US" w:eastAsia="zh-CN" w:bidi="ar"/>
              </w:rPr>
              <w:t>线根据要求</w:t>
            </w:r>
            <w:r>
              <w:rPr>
                <w:rFonts w:hint="eastAsia" w:ascii="Times New Roman" w:hAnsi="Times New Roman" w:eastAsia="宋体" w:cs="Times New Roman"/>
                <w:color w:val="auto"/>
                <w:kern w:val="0"/>
                <w:sz w:val="24"/>
                <w:szCs w:val="24"/>
                <w:highlight w:val="none"/>
                <w:lang w:val="en-US" w:eastAsia="zh-CN" w:bidi="ar"/>
              </w:rPr>
              <w:t>缠绕在相应的针脚上</w:t>
            </w:r>
            <w:r>
              <w:rPr>
                <w:rFonts w:hint="eastAsia" w:cs="Times New Roman"/>
                <w:color w:val="auto"/>
                <w:kern w:val="0"/>
                <w:sz w:val="24"/>
                <w:szCs w:val="24"/>
                <w:highlight w:val="none"/>
                <w:lang w:val="en-US" w:eastAsia="zh-CN" w:bidi="ar"/>
              </w:rPr>
              <w:t>，并进行压脚，设备自动剪去多余线头，并在其外围绕制一圈与变压器同宽的胶带。此过程主要产生少量边角料、噪声。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（3）绝缘</w:t>
            </w:r>
            <w:r>
              <w:rPr>
                <w:rFonts w:hint="default" w:ascii="Times New Roman" w:hAnsi="Times New Roman" w:eastAsia="宋体" w:cs="Times New Roman"/>
                <w:color w:val="auto"/>
                <w:kern w:val="0"/>
                <w:sz w:val="24"/>
                <w:szCs w:val="24"/>
                <w:highlight w:val="none"/>
                <w:lang w:val="en-US" w:eastAsia="zh-CN" w:bidi="ar"/>
              </w:rPr>
              <w:t>线</w:t>
            </w:r>
            <w:r>
              <w:rPr>
                <w:rFonts w:hint="eastAsia" w:cs="Times New Roman"/>
                <w:color w:val="auto"/>
                <w:kern w:val="0"/>
                <w:sz w:val="24"/>
                <w:szCs w:val="24"/>
                <w:highlight w:val="none"/>
                <w:lang w:val="en-US" w:eastAsia="zh-CN" w:bidi="ar"/>
              </w:rPr>
              <w:t>绕制</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将上一个工序的半成品接着</w:t>
            </w:r>
            <w:r>
              <w:rPr>
                <w:rFonts w:hint="default" w:ascii="Times New Roman" w:hAnsi="Times New Roman" w:eastAsia="宋体" w:cs="Times New Roman"/>
                <w:color w:val="auto"/>
                <w:kern w:val="0"/>
                <w:sz w:val="24"/>
                <w:szCs w:val="24"/>
                <w:highlight w:val="none"/>
                <w:lang w:val="en-US" w:eastAsia="zh-CN" w:bidi="ar"/>
              </w:rPr>
              <w:t>用自动绕线机</w:t>
            </w:r>
            <w:r>
              <w:rPr>
                <w:rFonts w:hint="eastAsia" w:cs="Times New Roman"/>
                <w:color w:val="auto"/>
                <w:kern w:val="0"/>
                <w:sz w:val="24"/>
                <w:szCs w:val="24"/>
                <w:highlight w:val="none"/>
                <w:lang w:val="en-US" w:eastAsia="zh-CN" w:bidi="ar"/>
              </w:rPr>
              <w:t>根据要求</w:t>
            </w:r>
            <w:r>
              <w:rPr>
                <w:rFonts w:hint="default" w:ascii="Times New Roman" w:hAnsi="Times New Roman" w:eastAsia="宋体" w:cs="Times New Roman"/>
                <w:color w:val="auto"/>
                <w:kern w:val="0"/>
                <w:sz w:val="24"/>
                <w:szCs w:val="24"/>
                <w:highlight w:val="none"/>
                <w:lang w:val="en-US" w:eastAsia="zh-CN" w:bidi="ar"/>
              </w:rPr>
              <w:t>将</w:t>
            </w:r>
            <w:r>
              <w:rPr>
                <w:rFonts w:hint="eastAsia" w:cs="Times New Roman"/>
                <w:color w:val="auto"/>
                <w:kern w:val="0"/>
                <w:sz w:val="24"/>
                <w:szCs w:val="24"/>
                <w:highlight w:val="none"/>
                <w:lang w:val="en-US" w:eastAsia="zh-CN" w:bidi="ar"/>
              </w:rPr>
              <w:t>相应规格</w:t>
            </w:r>
            <w:r>
              <w:rPr>
                <w:rFonts w:hint="eastAsia" w:ascii="Times New Roman" w:hAnsi="Times New Roman" w:eastAsia="宋体" w:cs="Times New Roman"/>
                <w:color w:val="auto"/>
                <w:kern w:val="0"/>
                <w:sz w:val="24"/>
                <w:szCs w:val="24"/>
                <w:highlight w:val="none"/>
                <w:lang w:val="en-US" w:eastAsia="zh-CN" w:bidi="ar"/>
              </w:rPr>
              <w:t>绝缘</w:t>
            </w:r>
            <w:r>
              <w:rPr>
                <w:rFonts w:hint="default" w:ascii="Times New Roman" w:hAnsi="Times New Roman" w:eastAsia="宋体" w:cs="Times New Roman"/>
                <w:color w:val="auto"/>
                <w:kern w:val="0"/>
                <w:sz w:val="24"/>
                <w:szCs w:val="24"/>
                <w:highlight w:val="none"/>
                <w:lang w:val="en-US" w:eastAsia="zh-CN" w:bidi="ar"/>
              </w:rPr>
              <w:t>线绕制在</w:t>
            </w:r>
            <w:r>
              <w:rPr>
                <w:rFonts w:hint="eastAsia" w:cs="Times New Roman"/>
                <w:color w:val="auto"/>
                <w:kern w:val="0"/>
                <w:sz w:val="24"/>
                <w:szCs w:val="24"/>
                <w:highlight w:val="none"/>
                <w:lang w:val="en-US" w:eastAsia="zh-CN" w:bidi="ar"/>
              </w:rPr>
              <w:t>半成品</w:t>
            </w:r>
            <w:r>
              <w:rPr>
                <w:rFonts w:hint="default" w:ascii="Times New Roman" w:hAnsi="Times New Roman" w:eastAsia="宋体" w:cs="Times New Roman"/>
                <w:color w:val="auto"/>
                <w:kern w:val="0"/>
                <w:sz w:val="24"/>
                <w:szCs w:val="24"/>
                <w:highlight w:val="none"/>
                <w:lang w:val="en-US" w:eastAsia="zh-CN" w:bidi="ar"/>
              </w:rPr>
              <w:t>上，</w:t>
            </w:r>
            <w:r>
              <w:rPr>
                <w:rFonts w:hint="eastAsia" w:cs="Times New Roman"/>
                <w:color w:val="auto"/>
                <w:kern w:val="0"/>
                <w:sz w:val="24"/>
                <w:szCs w:val="24"/>
                <w:highlight w:val="none"/>
                <w:lang w:val="en-US" w:eastAsia="zh-CN" w:bidi="ar"/>
              </w:rPr>
              <w:t>绝缘线根据要求</w:t>
            </w:r>
            <w:r>
              <w:rPr>
                <w:rFonts w:hint="eastAsia" w:ascii="Times New Roman" w:hAnsi="Times New Roman" w:eastAsia="宋体" w:cs="Times New Roman"/>
                <w:color w:val="auto"/>
                <w:kern w:val="0"/>
                <w:sz w:val="24"/>
                <w:szCs w:val="24"/>
                <w:highlight w:val="none"/>
                <w:lang w:val="en-US" w:eastAsia="zh-CN" w:bidi="ar"/>
              </w:rPr>
              <w:t>缠绕在相应的针脚上</w:t>
            </w:r>
            <w:r>
              <w:rPr>
                <w:rFonts w:hint="eastAsia" w:cs="Times New Roman"/>
                <w:color w:val="auto"/>
                <w:kern w:val="0"/>
                <w:sz w:val="24"/>
                <w:szCs w:val="24"/>
                <w:highlight w:val="none"/>
                <w:lang w:val="en-US" w:eastAsia="zh-CN" w:bidi="ar"/>
              </w:rPr>
              <w:t>，并进行压脚，设备自动剪去多余线头，并在其外围绕制一圈与变压器同宽的胶带</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此过程主要产生少量边角料、噪声。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（4）激光脱皮</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经绕绝缘线后的半成品需将其整齐排列放置在模具上，通过脱皮机</w:t>
            </w:r>
            <w:r>
              <w:rPr>
                <w:rFonts w:hint="eastAsia"/>
                <w:color w:val="auto"/>
                <w:sz w:val="24"/>
                <w:szCs w:val="24"/>
                <w:highlight w:val="none"/>
                <w:lang w:val="en-US" w:eastAsia="zh-CN"/>
              </w:rPr>
              <w:t>利用激光高温将外皮去除，外皮皆可燃，只脱去带绝缘线的针脚</w:t>
            </w:r>
            <w:r>
              <w:rPr>
                <w:rFonts w:hint="eastAsia" w:ascii="Times New Roman" w:hAnsi="Times New Roman" w:eastAsia="宋体" w:cs="Times New Roman"/>
                <w:color w:val="auto"/>
                <w:kern w:val="0"/>
                <w:sz w:val="24"/>
                <w:szCs w:val="24"/>
                <w:highlight w:val="none"/>
                <w:lang w:val="en-US" w:eastAsia="zh-CN" w:bidi="ar"/>
              </w:rPr>
              <w:t>。此过程主要产生</w:t>
            </w:r>
            <w:r>
              <w:rPr>
                <w:rFonts w:hint="eastAsia" w:cs="Times New Roman"/>
                <w:color w:val="auto"/>
                <w:kern w:val="0"/>
                <w:sz w:val="24"/>
                <w:szCs w:val="24"/>
                <w:highlight w:val="none"/>
                <w:lang w:val="en-US" w:eastAsia="zh-CN" w:bidi="ar"/>
              </w:rPr>
              <w:t>激光脱皮废气</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焊锡：</w:t>
            </w:r>
            <w:r>
              <w:rPr>
                <w:rFonts w:hint="eastAsia" w:ascii="Times New Roman" w:hAnsi="Times New Roman" w:eastAsia="宋体" w:cs="Times New Roman"/>
                <w:color w:val="auto"/>
                <w:kern w:val="0"/>
                <w:sz w:val="24"/>
                <w:szCs w:val="24"/>
                <w:highlight w:val="none"/>
                <w:lang w:val="en-US" w:eastAsia="zh-CN" w:bidi="ar"/>
              </w:rPr>
              <w:t>将锡条放入焊锡机槽内，焊锡机电加热锡条形成溶液，</w:t>
            </w:r>
            <w:r>
              <w:rPr>
                <w:rFonts w:hint="eastAsia" w:cs="Times New Roman"/>
                <w:color w:val="auto"/>
                <w:kern w:val="0"/>
                <w:sz w:val="24"/>
                <w:szCs w:val="24"/>
                <w:highlight w:val="none"/>
                <w:lang w:val="en-US" w:eastAsia="zh-CN" w:bidi="ar"/>
              </w:rPr>
              <w:t>焊</w:t>
            </w:r>
            <w:r>
              <w:rPr>
                <w:rFonts w:hint="eastAsia" w:ascii="Times New Roman" w:hAnsi="Times New Roman" w:eastAsia="宋体" w:cs="Times New Roman"/>
                <w:color w:val="auto"/>
                <w:kern w:val="0"/>
                <w:sz w:val="24"/>
                <w:szCs w:val="24"/>
                <w:highlight w:val="none"/>
                <w:lang w:val="en-US" w:eastAsia="zh-CN" w:bidi="ar"/>
              </w:rPr>
              <w:t>锡温度一般在锡的熔</w:t>
            </w:r>
            <w:r>
              <w:rPr>
                <w:rFonts w:hint="default" w:ascii="Times New Roman" w:hAnsi="Times New Roman" w:eastAsia="宋体" w:cs="Times New Roman"/>
                <w:color w:val="auto"/>
                <w:kern w:val="0"/>
                <w:sz w:val="24"/>
                <w:szCs w:val="24"/>
                <w:highlight w:val="none"/>
                <w:lang w:val="en-US" w:eastAsia="zh-CN" w:bidi="ar"/>
              </w:rPr>
              <w:t>点附近</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sz w:val="24"/>
                <w:szCs w:val="24"/>
                <w:highlight w:val="none"/>
              </w:rPr>
              <w:t>通常为200-300℃</w:t>
            </w:r>
            <w:r>
              <w:rPr>
                <w:rFonts w:hint="eastAsia"/>
                <w:color w:val="auto"/>
                <w:sz w:val="24"/>
                <w:szCs w:val="24"/>
                <w:highlight w:val="none"/>
                <w:lang w:eastAsia="zh-CN"/>
              </w:rPr>
              <w:t>，时间一般控制在十几秒内，</w:t>
            </w:r>
            <w:r>
              <w:rPr>
                <w:rFonts w:hint="eastAsia"/>
                <w:color w:val="auto"/>
                <w:sz w:val="24"/>
                <w:szCs w:val="24"/>
                <w:highlight w:val="none"/>
                <w:lang w:val="en-US" w:eastAsia="zh-CN"/>
              </w:rPr>
              <w:t>将</w:t>
            </w:r>
            <w:r>
              <w:rPr>
                <w:rFonts w:hint="eastAsia" w:ascii="Times New Roman" w:hAnsi="Times New Roman" w:eastAsia="宋体" w:cs="Times New Roman"/>
                <w:color w:val="auto"/>
                <w:kern w:val="0"/>
                <w:sz w:val="24"/>
                <w:szCs w:val="24"/>
                <w:highlight w:val="none"/>
                <w:lang w:val="en-US" w:eastAsia="zh-CN" w:bidi="ar"/>
              </w:rPr>
              <w:t>助焊剂倒入</w:t>
            </w:r>
            <w:r>
              <w:rPr>
                <w:rFonts w:hint="eastAsia" w:cs="Times New Roman"/>
                <w:color w:val="auto"/>
                <w:kern w:val="0"/>
                <w:sz w:val="24"/>
                <w:szCs w:val="24"/>
                <w:highlight w:val="none"/>
                <w:lang w:val="en-US" w:eastAsia="zh-CN" w:bidi="ar"/>
              </w:rPr>
              <w:t>另一</w:t>
            </w:r>
            <w:r>
              <w:rPr>
                <w:rFonts w:hint="eastAsia" w:ascii="Times New Roman" w:hAnsi="Times New Roman" w:eastAsia="宋体" w:cs="Times New Roman"/>
                <w:color w:val="auto"/>
                <w:kern w:val="0"/>
                <w:sz w:val="24"/>
                <w:szCs w:val="24"/>
                <w:highlight w:val="none"/>
                <w:lang w:val="en-US" w:eastAsia="zh-CN" w:bidi="ar"/>
              </w:rPr>
              <w:t>容器中，将</w:t>
            </w:r>
            <w:r>
              <w:rPr>
                <w:rFonts w:hint="eastAsia" w:cs="Times New Roman"/>
                <w:color w:val="auto"/>
                <w:sz w:val="24"/>
                <w:szCs w:val="24"/>
                <w:highlight w:val="none"/>
                <w:lang w:val="en-US" w:eastAsia="zh-CN"/>
              </w:rPr>
              <w:t>电木粉骨架上自带的</w:t>
            </w:r>
            <w:r>
              <w:rPr>
                <w:rFonts w:hint="eastAsia" w:ascii="Times New Roman" w:hAnsi="Times New Roman" w:eastAsia="宋体" w:cs="Times New Roman"/>
                <w:color w:val="auto"/>
                <w:kern w:val="0"/>
                <w:sz w:val="24"/>
                <w:szCs w:val="24"/>
                <w:highlight w:val="none"/>
                <w:lang w:val="en-US" w:eastAsia="zh-CN" w:bidi="ar"/>
              </w:rPr>
              <w:t>针脚蘸取少量助焊剂，再放入焊锡机中与锡液接触</w:t>
            </w:r>
            <w:r>
              <w:rPr>
                <w:rFonts w:hint="default" w:ascii="Times New Roman" w:hAnsi="Times New Roman" w:eastAsia="宋体" w:cs="Times New Roman"/>
                <w:color w:val="auto"/>
                <w:kern w:val="0"/>
                <w:sz w:val="24"/>
                <w:szCs w:val="24"/>
                <w:highlight w:val="none"/>
                <w:lang w:val="en-US" w:eastAsia="zh-CN" w:bidi="ar"/>
              </w:rPr>
              <w:t>，镀一层锡。主要产生焊锡废气等。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（6）装配：焊锡完成的半成品可通过自动装配机装上外购的磁芯并绕一圈胶带，这个装配过程均为机器操作，部分也可通过人工装磁芯后用半自动装配机装一圈胶带，这个装配过程则需要人工进行装磁芯。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浸</w:t>
            </w:r>
            <w:r>
              <w:rPr>
                <w:rFonts w:hint="eastAsia" w:cs="Times New Roman"/>
                <w:color w:val="auto"/>
                <w:kern w:val="0"/>
                <w:sz w:val="24"/>
                <w:szCs w:val="24"/>
                <w:highlight w:val="none"/>
                <w:lang w:val="en-US" w:eastAsia="zh-CN" w:bidi="ar"/>
              </w:rPr>
              <w:t>漆</w:t>
            </w:r>
            <w:r>
              <w:rPr>
                <w:rFonts w:hint="default" w:ascii="Times New Roman" w:hAnsi="Times New Roman" w:eastAsia="宋体" w:cs="Times New Roman"/>
                <w:color w:val="auto"/>
                <w:kern w:val="0"/>
                <w:sz w:val="24"/>
                <w:szCs w:val="24"/>
                <w:highlight w:val="none"/>
                <w:lang w:val="en-US" w:eastAsia="zh-CN" w:bidi="ar"/>
              </w:rPr>
              <w:t>：将产品整齐摆放于</w:t>
            </w:r>
            <w:r>
              <w:rPr>
                <w:rFonts w:hint="eastAsia" w:cs="Times New Roman"/>
                <w:color w:val="auto"/>
                <w:kern w:val="0"/>
                <w:sz w:val="24"/>
                <w:szCs w:val="24"/>
                <w:highlight w:val="none"/>
                <w:lang w:val="en-US" w:eastAsia="zh-CN" w:bidi="ar"/>
              </w:rPr>
              <w:t>设备自带的有孔隙的</w:t>
            </w:r>
            <w:r>
              <w:rPr>
                <w:rFonts w:hint="default" w:ascii="Times New Roman" w:hAnsi="Times New Roman" w:eastAsia="宋体" w:cs="Times New Roman"/>
                <w:color w:val="auto"/>
                <w:kern w:val="0"/>
                <w:sz w:val="24"/>
                <w:szCs w:val="24"/>
                <w:highlight w:val="none"/>
                <w:lang w:val="en-US" w:eastAsia="zh-CN" w:bidi="ar"/>
              </w:rPr>
              <w:t>铁盘内，</w:t>
            </w:r>
            <w:r>
              <w:rPr>
                <w:rFonts w:hint="eastAsia" w:cs="Times New Roman"/>
                <w:color w:val="auto"/>
                <w:kern w:val="0"/>
                <w:sz w:val="24"/>
                <w:szCs w:val="24"/>
                <w:highlight w:val="none"/>
                <w:lang w:val="en-US" w:eastAsia="zh-CN" w:bidi="ar"/>
              </w:rPr>
              <w:t>将摆好产品的铁盘放于含浸槽内，关闭箱体盖，抽真空负压，保压一段时间，将储液槽的液体（按照</w:t>
            </w:r>
            <w:r>
              <w:rPr>
                <w:rFonts w:hint="eastAsia" w:ascii="Times New Roman" w:hAnsi="Times New Roman" w:eastAsia="宋体" w:cs="Times New Roman"/>
                <w:color w:val="auto"/>
                <w:kern w:val="0"/>
                <w:sz w:val="24"/>
                <w:szCs w:val="24"/>
                <w:highlight w:val="none"/>
                <w:lang w:val="en-US" w:eastAsia="zh-CN" w:bidi="ar"/>
              </w:rPr>
              <w:t>绝缘漆</w:t>
            </w:r>
            <w:r>
              <w:rPr>
                <w:rFonts w:hint="default" w:ascii="Times New Roman" w:hAnsi="Times New Roman" w:eastAsia="宋体" w:cs="Times New Roman"/>
                <w:color w:val="auto"/>
                <w:kern w:val="0"/>
                <w:sz w:val="24"/>
                <w:szCs w:val="24"/>
                <w:highlight w:val="none"/>
                <w:lang w:val="en-US" w:eastAsia="zh-CN" w:bidi="ar"/>
              </w:rPr>
              <w:t xml:space="preserve">和稀释剂 </w:t>
            </w: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的比</w:t>
            </w:r>
            <w:r>
              <w:rPr>
                <w:rFonts w:hint="eastAsia" w:cs="Times New Roman"/>
                <w:color w:val="auto"/>
                <w:kern w:val="0"/>
                <w:sz w:val="24"/>
                <w:szCs w:val="24"/>
                <w:highlight w:val="none"/>
                <w:lang w:val="en-US" w:eastAsia="zh-CN" w:bidi="ar"/>
              </w:rPr>
              <w:t>例</w:t>
            </w:r>
            <w:r>
              <w:rPr>
                <w:rFonts w:hint="default" w:ascii="Times New Roman" w:hAnsi="Times New Roman" w:eastAsia="宋体" w:cs="Times New Roman"/>
                <w:color w:val="auto"/>
                <w:kern w:val="0"/>
                <w:sz w:val="24"/>
                <w:szCs w:val="24"/>
                <w:highlight w:val="none"/>
                <w:lang w:val="en-US" w:eastAsia="zh-CN" w:bidi="ar"/>
              </w:rPr>
              <w:t>调好</w:t>
            </w:r>
            <w:r>
              <w:rPr>
                <w:rFonts w:hint="eastAsia" w:ascii="Times New Roman" w:hAnsi="Times New Roman" w:eastAsia="宋体" w:cs="Times New Roman"/>
                <w:color w:val="auto"/>
                <w:kern w:val="0"/>
                <w:sz w:val="24"/>
                <w:szCs w:val="24"/>
                <w:highlight w:val="none"/>
                <w:lang w:val="en-US" w:eastAsia="zh-CN" w:bidi="ar"/>
              </w:rPr>
              <w:t>绝缘漆</w:t>
            </w:r>
            <w:r>
              <w:rPr>
                <w:rFonts w:hint="default" w:ascii="Times New Roman" w:hAnsi="Times New Roman" w:eastAsia="宋体" w:cs="Times New Roman"/>
                <w:color w:val="auto"/>
                <w:kern w:val="0"/>
                <w:sz w:val="24"/>
                <w:szCs w:val="24"/>
                <w:highlight w:val="none"/>
                <w:lang w:val="en-US" w:eastAsia="zh-CN" w:bidi="ar"/>
              </w:rPr>
              <w:t>浓度</w:t>
            </w:r>
            <w:r>
              <w:rPr>
                <w:rFonts w:hint="eastAsia" w:cs="Times New Roman"/>
                <w:color w:val="auto"/>
                <w:kern w:val="0"/>
                <w:sz w:val="24"/>
                <w:szCs w:val="24"/>
                <w:highlight w:val="none"/>
                <w:lang w:val="en-US" w:eastAsia="zh-CN" w:bidi="ar"/>
              </w:rPr>
              <w:t>，可重复使用）负压吸入含浸槽内，液体达到一定的高度后关闭进液阀门（</w:t>
            </w:r>
            <w:r>
              <w:rPr>
                <w:rFonts w:hint="eastAsia" w:ascii="Times New Roman" w:hAnsi="Times New Roman" w:eastAsia="宋体" w:cs="Times New Roman"/>
                <w:color w:val="auto"/>
                <w:kern w:val="0"/>
                <w:sz w:val="24"/>
                <w:szCs w:val="24"/>
                <w:highlight w:val="none"/>
                <w:lang w:val="en-US" w:eastAsia="zh-CN" w:bidi="ar"/>
              </w:rPr>
              <w:t>绝缘漆高度以淹没胶带包裹部分，针脚不接触绝缘漆</w:t>
            </w:r>
            <w:r>
              <w:rPr>
                <w:rFonts w:hint="eastAsia" w:cs="Times New Roman"/>
                <w:color w:val="auto"/>
                <w:kern w:val="0"/>
                <w:sz w:val="24"/>
                <w:szCs w:val="24"/>
                <w:highlight w:val="none"/>
                <w:lang w:val="en-US" w:eastAsia="zh-CN" w:bidi="ar"/>
              </w:rPr>
              <w:t>）。继续抽真空，达到一定的负压后保压维持。</w:t>
            </w:r>
            <w:r>
              <w:rPr>
                <w:rFonts w:hint="default" w:ascii="Times New Roman" w:hAnsi="Times New Roman" w:eastAsia="宋体" w:cs="Times New Roman"/>
                <w:color w:val="auto"/>
                <w:kern w:val="0"/>
                <w:sz w:val="24"/>
                <w:szCs w:val="24"/>
                <w:highlight w:val="none"/>
                <w:lang w:val="en-US" w:eastAsia="zh-CN" w:bidi="ar"/>
              </w:rPr>
              <w:t>此时，液体会自动渗透到材料内部，填充材料的孔隙和空隙，使其充分浸透。</w:t>
            </w:r>
            <w:r>
              <w:rPr>
                <w:rFonts w:hint="eastAsia" w:cs="Times New Roman"/>
                <w:color w:val="auto"/>
                <w:kern w:val="0"/>
                <w:sz w:val="24"/>
                <w:szCs w:val="24"/>
                <w:highlight w:val="none"/>
                <w:lang w:val="en-US" w:eastAsia="zh-CN" w:bidi="ar"/>
              </w:rPr>
              <w:t>  打开放压阀，空气在大气压的作用下自然进入含浸槽内，使槽内压力与槽外压力相等。排液，</w:t>
            </w:r>
            <w:r>
              <w:rPr>
                <w:rFonts w:hint="default" w:ascii="Times New Roman" w:hAnsi="Times New Roman" w:eastAsia="宋体" w:cs="Times New Roman"/>
                <w:color w:val="auto"/>
                <w:kern w:val="0"/>
                <w:sz w:val="24"/>
                <w:szCs w:val="24"/>
                <w:highlight w:val="none"/>
                <w:lang w:val="en-US" w:eastAsia="zh-CN" w:bidi="ar"/>
              </w:rPr>
              <w:t>产品</w:t>
            </w:r>
            <w:r>
              <w:rPr>
                <w:rFonts w:hint="eastAsia" w:cs="Times New Roman"/>
                <w:color w:val="auto"/>
                <w:kern w:val="0"/>
                <w:sz w:val="24"/>
                <w:szCs w:val="24"/>
                <w:highlight w:val="none"/>
                <w:lang w:val="en-US" w:eastAsia="zh-CN" w:bidi="ar"/>
              </w:rPr>
              <w:t>在铁盘上</w:t>
            </w:r>
            <w:r>
              <w:rPr>
                <w:rFonts w:hint="default" w:ascii="Times New Roman" w:hAnsi="Times New Roman" w:eastAsia="宋体" w:cs="Times New Roman"/>
                <w:color w:val="auto"/>
                <w:kern w:val="0"/>
                <w:sz w:val="24"/>
                <w:szCs w:val="24"/>
                <w:highlight w:val="none"/>
                <w:lang w:val="en-US" w:eastAsia="zh-CN" w:bidi="ar"/>
              </w:rPr>
              <w:t>稍干后取出放置，滤干10min 以上。</w:t>
            </w:r>
            <w:r>
              <w:rPr>
                <w:rFonts w:hint="eastAsia" w:cs="Times New Roman"/>
                <w:color w:val="auto"/>
                <w:kern w:val="0"/>
                <w:sz w:val="24"/>
                <w:szCs w:val="24"/>
                <w:highlight w:val="none"/>
                <w:lang w:val="en-US" w:eastAsia="zh-CN" w:bidi="ar"/>
              </w:rPr>
              <w:t>浸漆时间约为15-20min。</w:t>
            </w:r>
            <w:r>
              <w:rPr>
                <w:rFonts w:hint="default" w:ascii="Times New Roman" w:hAnsi="Times New Roman" w:eastAsia="宋体" w:cs="Times New Roman"/>
                <w:color w:val="auto"/>
                <w:kern w:val="0"/>
                <w:sz w:val="24"/>
                <w:szCs w:val="24"/>
                <w:highlight w:val="none"/>
                <w:lang w:val="en-US" w:eastAsia="zh-CN" w:bidi="ar"/>
              </w:rPr>
              <w:t>该工序主要产生有机废气。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烘干：</w:t>
            </w:r>
            <w:r>
              <w:rPr>
                <w:rFonts w:hint="eastAsia" w:cs="Times New Roman"/>
                <w:color w:val="auto"/>
                <w:kern w:val="0"/>
                <w:sz w:val="24"/>
                <w:szCs w:val="24"/>
                <w:highlight w:val="none"/>
                <w:lang w:val="en-US" w:eastAsia="zh-CN" w:bidi="ar"/>
              </w:rPr>
              <w:t>将</w:t>
            </w:r>
            <w:r>
              <w:rPr>
                <w:rFonts w:hint="default" w:ascii="Times New Roman" w:hAnsi="Times New Roman" w:eastAsia="宋体" w:cs="Times New Roman"/>
                <w:color w:val="auto"/>
                <w:kern w:val="0"/>
                <w:sz w:val="24"/>
                <w:szCs w:val="24"/>
                <w:highlight w:val="none"/>
                <w:lang w:val="en-US" w:eastAsia="zh-CN" w:bidi="ar"/>
              </w:rPr>
              <w:t>浸</w:t>
            </w:r>
            <w:r>
              <w:rPr>
                <w:rFonts w:hint="eastAsia" w:cs="Times New Roman"/>
                <w:color w:val="auto"/>
                <w:kern w:val="0"/>
                <w:sz w:val="24"/>
                <w:szCs w:val="24"/>
                <w:highlight w:val="none"/>
                <w:lang w:val="en-US" w:eastAsia="zh-CN" w:bidi="ar"/>
              </w:rPr>
              <w:t>漆</w:t>
            </w:r>
            <w:r>
              <w:rPr>
                <w:rFonts w:hint="default" w:ascii="Times New Roman" w:hAnsi="Times New Roman" w:eastAsia="宋体" w:cs="Times New Roman"/>
                <w:color w:val="auto"/>
                <w:kern w:val="0"/>
                <w:sz w:val="24"/>
                <w:szCs w:val="24"/>
                <w:highlight w:val="none"/>
                <w:lang w:val="en-US" w:eastAsia="zh-CN" w:bidi="ar"/>
              </w:rPr>
              <w:t>完成后的半成品放入</w:t>
            </w:r>
            <w:r>
              <w:rPr>
                <w:rFonts w:hint="eastAsia" w:cs="Times New Roman"/>
                <w:color w:val="auto"/>
                <w:kern w:val="0"/>
                <w:sz w:val="24"/>
                <w:szCs w:val="24"/>
                <w:highlight w:val="none"/>
                <w:lang w:val="en-US" w:eastAsia="zh-CN" w:bidi="ar"/>
              </w:rPr>
              <w:t>烤箱</w:t>
            </w:r>
            <w:r>
              <w:rPr>
                <w:rFonts w:hint="default" w:ascii="Times New Roman" w:hAnsi="Times New Roman" w:eastAsia="宋体" w:cs="Times New Roman"/>
                <w:color w:val="auto"/>
                <w:kern w:val="0"/>
                <w:sz w:val="24"/>
                <w:szCs w:val="24"/>
                <w:highlight w:val="none"/>
                <w:lang w:val="en-US" w:eastAsia="zh-CN" w:bidi="ar"/>
              </w:rPr>
              <w:t>进行烘干，电加热温度为120℃，</w:t>
            </w:r>
            <w:r>
              <w:rPr>
                <w:rFonts w:hint="eastAsia" w:cs="Times New Roman"/>
                <w:color w:val="auto"/>
                <w:kern w:val="0"/>
                <w:sz w:val="24"/>
                <w:szCs w:val="24"/>
                <w:highlight w:val="none"/>
                <w:lang w:val="en-US" w:eastAsia="zh-CN" w:bidi="ar"/>
              </w:rPr>
              <w:t>烘干时间约两到三个小时左右，才能</w:t>
            </w:r>
            <w:r>
              <w:rPr>
                <w:rFonts w:hint="default" w:ascii="Times New Roman" w:hAnsi="Times New Roman" w:eastAsia="宋体" w:cs="Times New Roman"/>
                <w:color w:val="auto"/>
                <w:kern w:val="0"/>
                <w:sz w:val="24"/>
                <w:szCs w:val="24"/>
                <w:highlight w:val="none"/>
                <w:lang w:val="en-US" w:eastAsia="zh-CN" w:bidi="ar"/>
              </w:rPr>
              <w:t>使</w:t>
            </w:r>
            <w:r>
              <w:rPr>
                <w:rFonts w:hint="eastAsia" w:ascii="Times New Roman" w:hAnsi="Times New Roman" w:eastAsia="宋体" w:cs="Times New Roman"/>
                <w:color w:val="auto"/>
                <w:kern w:val="0"/>
                <w:sz w:val="24"/>
                <w:szCs w:val="24"/>
                <w:highlight w:val="none"/>
                <w:lang w:val="en-US" w:eastAsia="zh-CN" w:bidi="ar"/>
              </w:rPr>
              <w:t>绝缘漆</w:t>
            </w:r>
            <w:r>
              <w:rPr>
                <w:rFonts w:hint="default" w:ascii="Times New Roman" w:hAnsi="Times New Roman" w:eastAsia="宋体" w:cs="Times New Roman"/>
                <w:color w:val="auto"/>
                <w:kern w:val="0"/>
                <w:sz w:val="24"/>
                <w:szCs w:val="24"/>
                <w:highlight w:val="none"/>
                <w:lang w:val="en-US" w:eastAsia="zh-CN" w:bidi="ar"/>
              </w:rPr>
              <w:t xml:space="preserve">固定在半成品上。该工序主要产生有机废气。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成品检测：用耐压机、电感机根据客户要求设定各产品参数，进行产品电性测试</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耐压测试是一种无破坏性的测试，它用来检测经常发生的瞬态高压下产品的绝缘能力是否合格</w:t>
            </w:r>
            <w:r>
              <w:rPr>
                <w:rFonts w:hint="eastAsia" w:cs="Times New Roman"/>
                <w:color w:val="auto"/>
                <w:kern w:val="0"/>
                <w:sz w:val="24"/>
                <w:szCs w:val="24"/>
                <w:highlight w:val="none"/>
                <w:lang w:val="en-US" w:eastAsia="zh-CN" w:bidi="ar"/>
              </w:rPr>
              <w:t>；电感测试主要测试</w:t>
            </w:r>
            <w:r>
              <w:rPr>
                <w:rFonts w:hint="default" w:ascii="Times New Roman" w:hAnsi="Times New Roman" w:eastAsia="宋体" w:cs="Times New Roman"/>
                <w:color w:val="auto"/>
                <w:kern w:val="0"/>
                <w:sz w:val="24"/>
                <w:szCs w:val="24"/>
                <w:highlight w:val="none"/>
                <w:lang w:val="en-US" w:eastAsia="zh-CN" w:bidi="ar"/>
              </w:rPr>
              <w:t>主线圈的电感值。检测出</w:t>
            </w:r>
            <w:r>
              <w:rPr>
                <w:rFonts w:hint="eastAsia" w:cs="Times New Roman"/>
                <w:color w:val="auto"/>
                <w:kern w:val="0"/>
                <w:sz w:val="24"/>
                <w:szCs w:val="24"/>
                <w:highlight w:val="none"/>
                <w:lang w:val="en-US" w:eastAsia="zh-CN" w:bidi="ar"/>
              </w:rPr>
              <w:t>不合格</w:t>
            </w:r>
            <w:r>
              <w:rPr>
                <w:rFonts w:hint="default" w:ascii="Times New Roman" w:hAnsi="Times New Roman" w:eastAsia="宋体" w:cs="Times New Roman"/>
                <w:color w:val="auto"/>
                <w:kern w:val="0"/>
                <w:sz w:val="24"/>
                <w:szCs w:val="24"/>
                <w:highlight w:val="none"/>
                <w:lang w:val="en-US" w:eastAsia="zh-CN" w:bidi="ar"/>
              </w:rPr>
              <w:t>的次品，存入一般固废暂存间。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包装、入库</w:t>
            </w:r>
            <w:r>
              <w:rPr>
                <w:rFonts w:hint="eastAsia" w:cs="Times New Roman"/>
                <w:color w:val="auto"/>
                <w:kern w:val="0"/>
                <w:sz w:val="24"/>
                <w:szCs w:val="24"/>
                <w:highlight w:val="none"/>
                <w:lang w:val="en-US" w:eastAsia="zh-CN" w:bidi="ar"/>
              </w:rPr>
              <w:t>、外售</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将</w:t>
            </w:r>
            <w:r>
              <w:rPr>
                <w:rFonts w:hint="default" w:ascii="Times New Roman" w:hAnsi="Times New Roman" w:eastAsia="宋体" w:cs="Times New Roman"/>
                <w:color w:val="auto"/>
                <w:kern w:val="0"/>
                <w:sz w:val="24"/>
                <w:szCs w:val="24"/>
                <w:highlight w:val="none"/>
                <w:lang w:val="en-US" w:eastAsia="zh-CN" w:bidi="ar"/>
              </w:rPr>
              <w:t>合格</w:t>
            </w:r>
            <w:r>
              <w:rPr>
                <w:rFonts w:hint="eastAsia" w:cs="Times New Roman"/>
                <w:color w:val="auto"/>
                <w:kern w:val="0"/>
                <w:sz w:val="24"/>
                <w:szCs w:val="24"/>
                <w:highlight w:val="none"/>
                <w:lang w:val="en-US" w:eastAsia="zh-CN" w:bidi="ar"/>
              </w:rPr>
              <w:t>的成品进行</w:t>
            </w:r>
            <w:r>
              <w:rPr>
                <w:rFonts w:hint="eastAsia" w:ascii="Times New Roman" w:hAnsi="Times New Roman" w:eastAsia="宋体" w:cs="Times New Roman"/>
                <w:color w:val="auto"/>
                <w:kern w:val="0"/>
                <w:sz w:val="24"/>
                <w:szCs w:val="24"/>
                <w:highlight w:val="none"/>
                <w:lang w:val="en-US" w:eastAsia="zh-CN" w:bidi="ar"/>
              </w:rPr>
              <w:t>包装</w:t>
            </w:r>
            <w:r>
              <w:rPr>
                <w:rFonts w:hint="eastAsia" w:cs="Times New Roman"/>
                <w:color w:val="auto"/>
                <w:kern w:val="0"/>
                <w:sz w:val="24"/>
                <w:szCs w:val="24"/>
                <w:highlight w:val="none"/>
                <w:lang w:val="en-US" w:eastAsia="zh-CN" w:bidi="ar"/>
              </w:rPr>
              <w:t>后</w:t>
            </w:r>
            <w:r>
              <w:rPr>
                <w:rFonts w:hint="eastAsia" w:ascii="Times New Roman" w:hAnsi="Times New Roman" w:eastAsia="宋体" w:cs="Times New Roman"/>
                <w:color w:val="auto"/>
                <w:kern w:val="0"/>
                <w:sz w:val="24"/>
                <w:szCs w:val="24"/>
                <w:highlight w:val="none"/>
                <w:lang w:val="en-US" w:eastAsia="zh-CN" w:bidi="ar"/>
              </w:rPr>
              <w:t>入库</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外售</w:t>
            </w:r>
            <w:r>
              <w:rPr>
                <w:rFonts w:hint="default" w:ascii="Times New Roman" w:hAnsi="Times New Roman" w:eastAsia="宋体" w:cs="Times New Roman"/>
                <w:color w:val="auto"/>
                <w:kern w:val="0"/>
                <w:sz w:val="24"/>
                <w:szCs w:val="24"/>
                <w:highlight w:val="none"/>
                <w:lang w:val="en-US" w:eastAsia="zh-CN" w:bidi="ar"/>
              </w:rPr>
              <w:t>出货。</w:t>
            </w:r>
            <w:r>
              <w:rPr>
                <w:rFonts w:hint="eastAsia" w:cs="Times New Roman"/>
                <w:color w:val="auto"/>
                <w:kern w:val="0"/>
                <w:sz w:val="24"/>
                <w:szCs w:val="24"/>
                <w:highlight w:val="none"/>
                <w:lang w:val="en-US" w:eastAsia="zh-CN" w:bidi="ar"/>
              </w:rPr>
              <w:t>此过程会产生极少量的打标废气。</w:t>
            </w:r>
          </w:p>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、主要污染工序</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本项目营运期主要污染工序见下表。</w:t>
            </w:r>
          </w:p>
          <w:p>
            <w:pPr>
              <w:pStyle w:val="39"/>
              <w:spacing w:beforeLines="0" w:line="240" w:lineRule="auto"/>
              <w:rPr>
                <w:rFonts w:hint="default" w:ascii="Times New Roman" w:hAnsi="Times New Roman" w:eastAsia="宋体" w:cs="Times New Roman"/>
                <w:b/>
                <w:bCs/>
                <w:color w:val="auto"/>
                <w:sz w:val="21"/>
                <w:szCs w:val="24"/>
                <w:highlight w:val="none"/>
              </w:rPr>
            </w:pPr>
            <w:r>
              <w:rPr>
                <w:rFonts w:hint="default" w:ascii="Times New Roman" w:hAnsi="Times New Roman" w:eastAsia="宋体" w:cs="Times New Roman"/>
                <w:b/>
                <w:bCs/>
                <w:color w:val="auto"/>
                <w:sz w:val="21"/>
                <w:szCs w:val="24"/>
                <w:highlight w:val="none"/>
              </w:rPr>
              <w:t>表2-</w:t>
            </w:r>
            <w:r>
              <w:rPr>
                <w:rFonts w:hint="eastAsia" w:eastAsia="宋体" w:cs="Times New Roman"/>
                <w:b/>
                <w:bCs/>
                <w:color w:val="auto"/>
                <w:sz w:val="21"/>
                <w:szCs w:val="24"/>
                <w:highlight w:val="none"/>
                <w:lang w:val="en-US" w:eastAsia="zh-CN"/>
              </w:rPr>
              <w:t>7</w:t>
            </w:r>
            <w:r>
              <w:rPr>
                <w:rFonts w:hint="default" w:ascii="Times New Roman" w:hAnsi="Times New Roman" w:eastAsia="宋体" w:cs="Times New Roman"/>
                <w:b/>
                <w:bCs/>
                <w:color w:val="auto"/>
                <w:sz w:val="21"/>
                <w:szCs w:val="24"/>
                <w:highlight w:val="none"/>
              </w:rPr>
              <w:t xml:space="preserve">  本项目营运期主要污染工序一览表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162"/>
              <w:gridCol w:w="1829"/>
              <w:gridCol w:w="3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noWrap w:val="0"/>
                  <w:vAlign w:val="center"/>
                </w:tcPr>
                <w:p>
                  <w:pPr>
                    <w:pStyle w:val="4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361" w:type="pct"/>
                  <w:noWrap w:val="0"/>
                  <w:vAlign w:val="center"/>
                </w:tcPr>
                <w:p>
                  <w:pPr>
                    <w:pStyle w:val="4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w:t>
                  </w:r>
                </w:p>
              </w:tc>
              <w:tc>
                <w:tcPr>
                  <w:tcW w:w="1151" w:type="pct"/>
                  <w:noWrap w:val="0"/>
                  <w:vAlign w:val="center"/>
                </w:tcPr>
                <w:p>
                  <w:pPr>
                    <w:pStyle w:val="4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污染物类型</w:t>
                  </w:r>
                </w:p>
              </w:tc>
              <w:tc>
                <w:tcPr>
                  <w:tcW w:w="1964" w:type="pct"/>
                  <w:noWrap w:val="0"/>
                  <w:vAlign w:val="center"/>
                </w:tcPr>
                <w:p>
                  <w:pPr>
                    <w:pStyle w:val="4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361" w:type="pc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办公生活</w:t>
                  </w:r>
                </w:p>
              </w:tc>
              <w:tc>
                <w:tcPr>
                  <w:tcW w:w="1151" w:type="pc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1964" w:type="pct"/>
                  <w:noWrap w:val="0"/>
                  <w:vAlign w:val="center"/>
                </w:tcPr>
                <w:p>
                  <w:pPr>
                    <w:pStyle w:val="4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SS、COD、BOD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r>
                    <w:rPr>
                      <w:rFonts w:hint="default" w:ascii="Times New Roman" w:hAnsi="Times New Roman" w:cs="Times New Roman"/>
                      <w:color w:val="auto"/>
                      <w:szCs w:val="21"/>
                      <w:highlight w:val="no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restar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361" w:type="pct"/>
                  <w:noWrap w:val="0"/>
                  <w:vAlign w:val="center"/>
                </w:tcPr>
                <w:p>
                  <w:pPr>
                    <w:pStyle w:val="4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激光脱皮废气</w:t>
                  </w:r>
                </w:p>
              </w:tc>
              <w:tc>
                <w:tcPr>
                  <w:tcW w:w="1151" w:type="pct"/>
                  <w:noWrap w:val="0"/>
                  <w:vAlign w:val="center"/>
                </w:tcPr>
                <w:p>
                  <w:pPr>
                    <w:pStyle w:val="4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颗粒物、有机废气</w:t>
                  </w:r>
                </w:p>
              </w:tc>
              <w:tc>
                <w:tcPr>
                  <w:tcW w:w="1964" w:type="pct"/>
                  <w:noWrap w:val="0"/>
                  <w:vAlign w:val="center"/>
                </w:tcPr>
                <w:p>
                  <w:pPr>
                    <w:pStyle w:val="40"/>
                    <w:rPr>
                      <w:rFonts w:hint="default" w:ascii="Times New Roman" w:hAnsi="Times New Roman" w:cs="Times New Roman"/>
                      <w:color w:val="auto"/>
                      <w:szCs w:val="21"/>
                      <w:highlight w:val="none"/>
                      <w:lang w:val="en-US"/>
                    </w:rPr>
                  </w:pPr>
                  <w:r>
                    <w:rPr>
                      <w:rFonts w:hint="eastAsia" w:cs="Times New Roman"/>
                      <w:color w:val="auto"/>
                      <w:sz w:val="21"/>
                      <w:szCs w:val="21"/>
                      <w:highlight w:val="none"/>
                      <w:lang w:val="en-US" w:eastAsia="zh-CN"/>
                    </w:rPr>
                    <w:t>氮氧化物、</w:t>
                  </w:r>
                  <w:r>
                    <w:rPr>
                      <w:rFonts w:hint="eastAsia"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焊锡废气</w:t>
                  </w:r>
                </w:p>
              </w:tc>
              <w:tc>
                <w:tcPr>
                  <w:tcW w:w="1151" w:type="pct"/>
                  <w:noWrap w:val="0"/>
                  <w:vAlign w:val="center"/>
                </w:tcPr>
                <w:p>
                  <w:pPr>
                    <w:pStyle w:val="4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烟尘、有机废气</w:t>
                  </w:r>
                </w:p>
              </w:tc>
              <w:tc>
                <w:tcPr>
                  <w:tcW w:w="1964" w:type="pct"/>
                  <w:noWrap w:val="0"/>
                  <w:vAlign w:val="center"/>
                </w:tcPr>
                <w:p>
                  <w:pPr>
                    <w:pStyle w:val="41"/>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颗粒物、锡及其化合物、VOCs</w:t>
                  </w:r>
                  <w:r>
                    <w:rPr>
                      <w:rFonts w:hint="eastAsia" w:ascii="Times New Roman" w:hAnsi="Times New Roman" w:cs="Times New Roman"/>
                      <w:color w:val="auto"/>
                      <w:sz w:val="21"/>
                      <w:szCs w:val="21"/>
                      <w:highlight w:val="none"/>
                      <w:lang w:val="en-US" w:eastAsia="zh-CN"/>
                    </w:rPr>
                    <w:t>、异丙醇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浸</w:t>
                  </w:r>
                  <w:r>
                    <w:rPr>
                      <w:rFonts w:hint="eastAsia" w:ascii="Times New Roman" w:hAnsi="Times New Roman" w:cs="Times New Roman"/>
                      <w:color w:val="auto"/>
                      <w:sz w:val="21"/>
                      <w:szCs w:val="21"/>
                      <w:highlight w:val="none"/>
                      <w:lang w:val="en-US" w:eastAsia="zh-CN"/>
                    </w:rPr>
                    <w:t>漆</w:t>
                  </w:r>
                  <w:r>
                    <w:rPr>
                      <w:rFonts w:hint="eastAsia" w:ascii="Times New Roman" w:hAnsi="Times New Roman" w:eastAsia="宋体" w:cs="Times New Roman"/>
                      <w:color w:val="auto"/>
                      <w:sz w:val="21"/>
                      <w:szCs w:val="21"/>
                      <w:highlight w:val="none"/>
                      <w:lang w:val="en-US" w:eastAsia="zh-CN"/>
                    </w:rPr>
                    <w:t>废气</w:t>
                  </w:r>
                </w:p>
              </w:tc>
              <w:tc>
                <w:tcPr>
                  <w:tcW w:w="1151" w:type="pct"/>
                  <w:noWrap w:val="0"/>
                  <w:vAlign w:val="center"/>
                </w:tcPr>
                <w:p>
                  <w:pPr>
                    <w:pStyle w:val="41"/>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有机废气</w:t>
                  </w:r>
                </w:p>
              </w:tc>
              <w:tc>
                <w:tcPr>
                  <w:tcW w:w="1964" w:type="pct"/>
                  <w:noWrap w:val="0"/>
                  <w:vAlign w:val="center"/>
                </w:tcPr>
                <w:p>
                  <w:pPr>
                    <w:pStyle w:val="41"/>
                    <w:rPr>
                      <w:rFonts w:hint="default" w:ascii="Times New Roman" w:hAnsi="Times New Roman" w:cs="Times New Roman"/>
                      <w:snapToGrid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VOCs、二甲苯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烘干废气</w:t>
                  </w:r>
                </w:p>
              </w:tc>
              <w:tc>
                <w:tcPr>
                  <w:tcW w:w="1151" w:type="pct"/>
                  <w:noWrap w:val="0"/>
                  <w:vAlign w:val="center"/>
                </w:tcPr>
                <w:p>
                  <w:pPr>
                    <w:pStyle w:val="41"/>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有机废气</w:t>
                  </w:r>
                </w:p>
              </w:tc>
              <w:tc>
                <w:tcPr>
                  <w:tcW w:w="1964" w:type="pct"/>
                  <w:noWrap w:val="0"/>
                  <w:vAlign w:val="center"/>
                </w:tcPr>
                <w:p>
                  <w:pPr>
                    <w:pStyle w:val="41"/>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VOCs、二甲苯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1"/>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激光打标废气</w:t>
                  </w:r>
                </w:p>
              </w:tc>
              <w:tc>
                <w:tcPr>
                  <w:tcW w:w="1151" w:type="pct"/>
                  <w:noWrap w:val="0"/>
                  <w:vAlign w:val="center"/>
                </w:tcPr>
                <w:p>
                  <w:pPr>
                    <w:pStyle w:val="41"/>
                    <w:rPr>
                      <w:rFonts w:hint="eastAsia" w:ascii="Times New Roman" w:hAnsi="Times New Roman" w:eastAsia="宋体" w:cs="Times New Roman"/>
                      <w:snapToGrid/>
                      <w:color w:val="auto"/>
                      <w:sz w:val="21"/>
                      <w:szCs w:val="21"/>
                      <w:highlight w:val="none"/>
                      <w:lang w:val="en-US" w:eastAsia="zh-CN" w:bidi="ar-SA"/>
                    </w:rPr>
                  </w:pPr>
                  <w:r>
                    <w:rPr>
                      <w:rFonts w:hint="eastAsia" w:ascii="Times New Roman" w:hAnsi="Times New Roman" w:eastAsia="宋体" w:cs="Times New Roman"/>
                      <w:snapToGrid/>
                      <w:color w:val="auto"/>
                      <w:sz w:val="21"/>
                      <w:szCs w:val="21"/>
                      <w:highlight w:val="none"/>
                      <w:lang w:val="en-US" w:eastAsia="zh-CN" w:bidi="ar-SA"/>
                    </w:rPr>
                    <w:t>颗粒物、有机废气</w:t>
                  </w:r>
                </w:p>
              </w:tc>
              <w:tc>
                <w:tcPr>
                  <w:tcW w:w="1964" w:type="pct"/>
                  <w:noWrap w:val="0"/>
                  <w:vAlign w:val="center"/>
                </w:tcPr>
                <w:p>
                  <w:pPr>
                    <w:pStyle w:val="41"/>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restar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1361" w:type="pc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办公生活</w:t>
                  </w:r>
                </w:p>
              </w:tc>
              <w:tc>
                <w:tcPr>
                  <w:tcW w:w="1151" w:type="pct"/>
                  <w:vMerge w:val="restar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一般固废</w:t>
                  </w:r>
                </w:p>
              </w:tc>
              <w:tc>
                <w:tcPr>
                  <w:tcW w:w="1964" w:type="pc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生产过程</w:t>
                  </w:r>
                </w:p>
              </w:tc>
              <w:tc>
                <w:tcPr>
                  <w:tcW w:w="1151" w:type="pct"/>
                  <w:vMerge w:val="continue"/>
                  <w:noWrap w:val="0"/>
                  <w:vAlign w:val="center"/>
                </w:tcPr>
                <w:p>
                  <w:pPr>
                    <w:pStyle w:val="40"/>
                    <w:rPr>
                      <w:rFonts w:hint="default" w:ascii="Times New Roman" w:hAnsi="Times New Roman" w:eastAsia="宋体" w:cs="Times New Roman"/>
                      <w:color w:val="auto"/>
                      <w:sz w:val="21"/>
                      <w:szCs w:val="21"/>
                      <w:highlight w:val="none"/>
                      <w:lang w:val="en-US" w:eastAsia="zh-CN" w:bidi="ar-SA"/>
                    </w:rPr>
                  </w:pPr>
                </w:p>
              </w:tc>
              <w:tc>
                <w:tcPr>
                  <w:tcW w:w="1964" w:type="pct"/>
                  <w:noWrap w:val="0"/>
                  <w:vAlign w:val="center"/>
                </w:tcPr>
                <w:p>
                  <w:pPr>
                    <w:pStyle w:val="4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lang w:eastAsia="zh-CN"/>
                    </w:rPr>
                    <w:t>废包装材料</w:t>
                  </w:r>
                  <w:r>
                    <w:rPr>
                      <w:rFonts w:hint="eastAsia" w:ascii="Times New Roman" w:hAnsi="Times New Roman" w:cs="Times New Roman"/>
                      <w:color w:val="auto"/>
                      <w:szCs w:val="21"/>
                      <w:highlight w:val="none"/>
                      <w:lang w:eastAsia="zh-CN"/>
                    </w:rPr>
                    <w:t>、</w:t>
                  </w:r>
                  <w:r>
                    <w:rPr>
                      <w:rFonts w:hint="eastAsia" w:cs="Times New Roman"/>
                      <w:color w:val="auto"/>
                      <w:szCs w:val="21"/>
                      <w:highlight w:val="none"/>
                      <w:lang w:val="en-US" w:eastAsia="zh-CN"/>
                    </w:rPr>
                    <w:t>边角料</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eastAsia="zh-CN"/>
                    </w:rPr>
                    <w:t>不合格品</w:t>
                  </w:r>
                  <w:r>
                    <w:rPr>
                      <w:rFonts w:hint="eastAsia" w:cs="Times New Roman"/>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焊接</w:t>
                  </w:r>
                </w:p>
              </w:tc>
              <w:tc>
                <w:tcPr>
                  <w:tcW w:w="1151" w:type="pct"/>
                  <w:vMerge w:val="continue"/>
                  <w:noWrap w:val="0"/>
                  <w:vAlign w:val="center"/>
                </w:tcPr>
                <w:p>
                  <w:pPr>
                    <w:pStyle w:val="40"/>
                    <w:rPr>
                      <w:rFonts w:hint="default" w:ascii="Times New Roman" w:hAnsi="Times New Roman" w:cs="Times New Roman"/>
                      <w:color w:val="auto"/>
                      <w:szCs w:val="21"/>
                      <w:highlight w:val="none"/>
                      <w:lang w:eastAsia="zh-CN"/>
                    </w:rPr>
                  </w:pPr>
                </w:p>
              </w:tc>
              <w:tc>
                <w:tcPr>
                  <w:tcW w:w="1964" w:type="pct"/>
                  <w:noWrap w:val="0"/>
                  <w:vAlign w:val="center"/>
                </w:tcPr>
                <w:p>
                  <w:pPr>
                    <w:pStyle w:val="4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锡渣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废气治理措施</w:t>
                  </w:r>
                </w:p>
              </w:tc>
              <w:tc>
                <w:tcPr>
                  <w:tcW w:w="1151" w:type="pct"/>
                  <w:vMerge w:val="restart"/>
                  <w:noWrap w:val="0"/>
                  <w:vAlign w:val="center"/>
                </w:tcPr>
                <w:p>
                  <w:pPr>
                    <w:pStyle w:val="4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危险废物</w:t>
                  </w:r>
                </w:p>
              </w:tc>
              <w:tc>
                <w:tcPr>
                  <w:tcW w:w="1964" w:type="pct"/>
                  <w:noWrap w:val="0"/>
                  <w:vAlign w:val="center"/>
                </w:tcPr>
                <w:p>
                  <w:pPr>
                    <w:pStyle w:val="40"/>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废气治理措施</w:t>
                  </w:r>
                </w:p>
              </w:tc>
              <w:tc>
                <w:tcPr>
                  <w:tcW w:w="1151" w:type="pct"/>
                  <w:vMerge w:val="continue"/>
                  <w:noWrap w:val="0"/>
                  <w:vAlign w:val="center"/>
                </w:tcPr>
                <w:p>
                  <w:pPr>
                    <w:pStyle w:val="40"/>
                    <w:rPr>
                      <w:rFonts w:hint="eastAsia" w:ascii="Times New Roman" w:hAnsi="Times New Roman" w:cs="Times New Roman"/>
                      <w:color w:val="auto"/>
                      <w:szCs w:val="21"/>
                      <w:highlight w:val="none"/>
                      <w:lang w:val="en-US" w:eastAsia="zh-CN"/>
                    </w:rPr>
                  </w:pPr>
                </w:p>
              </w:tc>
              <w:tc>
                <w:tcPr>
                  <w:tcW w:w="1964" w:type="pct"/>
                  <w:noWrap w:val="0"/>
                  <w:vAlign w:val="center"/>
                </w:tcPr>
                <w:p>
                  <w:pPr>
                    <w:pStyle w:val="4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废过滤棉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危险化学品包装</w:t>
                  </w:r>
                </w:p>
              </w:tc>
              <w:tc>
                <w:tcPr>
                  <w:tcW w:w="1151" w:type="pct"/>
                  <w:vMerge w:val="continue"/>
                  <w:noWrap w:val="0"/>
                  <w:vAlign w:val="center"/>
                </w:tcPr>
                <w:p>
                  <w:pPr>
                    <w:pStyle w:val="40"/>
                    <w:rPr>
                      <w:rFonts w:hint="eastAsia" w:ascii="Times New Roman" w:hAnsi="Times New Roman" w:cs="Times New Roman"/>
                      <w:color w:val="auto"/>
                      <w:szCs w:val="21"/>
                      <w:highlight w:val="none"/>
                      <w:lang w:val="en-US" w:eastAsia="zh-CN"/>
                    </w:rPr>
                  </w:pPr>
                </w:p>
              </w:tc>
              <w:tc>
                <w:tcPr>
                  <w:tcW w:w="1964" w:type="pct"/>
                  <w:noWrap w:val="0"/>
                  <w:vAlign w:val="center"/>
                </w:tcPr>
                <w:p>
                  <w:pPr>
                    <w:pStyle w:val="4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废包装桶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设备维护</w:t>
                  </w:r>
                </w:p>
              </w:tc>
              <w:tc>
                <w:tcPr>
                  <w:tcW w:w="1151" w:type="pct"/>
                  <w:vMerge w:val="continue"/>
                  <w:noWrap w:val="0"/>
                  <w:vAlign w:val="center"/>
                </w:tcPr>
                <w:p>
                  <w:pPr>
                    <w:pStyle w:val="40"/>
                    <w:rPr>
                      <w:rFonts w:hint="default" w:ascii="Times New Roman" w:hAnsi="Times New Roman" w:cs="Times New Roman"/>
                      <w:color w:val="auto"/>
                      <w:sz w:val="21"/>
                      <w:szCs w:val="21"/>
                      <w:highlight w:val="none"/>
                      <w:lang w:val="en-US" w:eastAsia="zh-CN" w:bidi="ar-SA"/>
                    </w:rPr>
                  </w:pPr>
                </w:p>
              </w:tc>
              <w:tc>
                <w:tcPr>
                  <w:tcW w:w="1964" w:type="pct"/>
                  <w:noWrap w:val="0"/>
                  <w:vAlign w:val="center"/>
                </w:tcPr>
                <w:p>
                  <w:pPr>
                    <w:pStyle w:val="40"/>
                    <w:jc w:val="center"/>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废机油、废机油桶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noWrap w:val="0"/>
                  <w:vAlign w:val="center"/>
                </w:tcPr>
                <w:p>
                  <w:pPr>
                    <w:pStyle w:val="40"/>
                    <w:rPr>
                      <w:rFonts w:hint="default" w:ascii="Times New Roman" w:hAnsi="Times New Roman" w:cs="Times New Roman"/>
                      <w:color w:val="auto"/>
                      <w:szCs w:val="21"/>
                      <w:highlight w:val="none"/>
                    </w:rPr>
                  </w:pPr>
                </w:p>
              </w:tc>
              <w:tc>
                <w:tcPr>
                  <w:tcW w:w="1361" w:type="pct"/>
                  <w:noWrap w:val="0"/>
                  <w:vAlign w:val="center"/>
                </w:tcPr>
                <w:p>
                  <w:pPr>
                    <w:pStyle w:val="4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设备维护</w:t>
                  </w:r>
                </w:p>
              </w:tc>
              <w:tc>
                <w:tcPr>
                  <w:tcW w:w="1151" w:type="pct"/>
                  <w:vMerge w:val="continue"/>
                  <w:noWrap w:val="0"/>
                  <w:vAlign w:val="center"/>
                </w:tcPr>
                <w:p>
                  <w:pPr>
                    <w:pStyle w:val="40"/>
                    <w:rPr>
                      <w:rFonts w:hint="default" w:ascii="Times New Roman" w:hAnsi="Times New Roman" w:cs="Times New Roman"/>
                      <w:color w:val="auto"/>
                      <w:sz w:val="21"/>
                      <w:szCs w:val="21"/>
                      <w:highlight w:val="none"/>
                      <w:lang w:val="en-US" w:eastAsia="zh-CN" w:bidi="ar-SA"/>
                    </w:rPr>
                  </w:pPr>
                </w:p>
              </w:tc>
              <w:tc>
                <w:tcPr>
                  <w:tcW w:w="1964" w:type="pct"/>
                  <w:noWrap w:val="0"/>
                  <w:vAlign w:val="center"/>
                </w:tcPr>
                <w:p>
                  <w:pPr>
                    <w:pStyle w:val="40"/>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沾油抹布及手套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noWrap w:val="0"/>
                  <w:vAlign w:val="center"/>
                </w:tcPr>
                <w:p>
                  <w:pPr>
                    <w:pStyle w:val="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361" w:type="pct"/>
                  <w:noWrap w:val="0"/>
                  <w:vAlign w:val="center"/>
                </w:tcPr>
                <w:p>
                  <w:pPr>
                    <w:pStyle w:val="40"/>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设备运行</w:t>
                  </w:r>
                </w:p>
              </w:tc>
              <w:tc>
                <w:tcPr>
                  <w:tcW w:w="1151" w:type="pct"/>
                  <w:noWrap w:val="0"/>
                  <w:vAlign w:val="center"/>
                </w:tcPr>
                <w:p>
                  <w:pPr>
                    <w:pStyle w:val="40"/>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设备运行噪声</w:t>
                  </w:r>
                </w:p>
              </w:tc>
              <w:tc>
                <w:tcPr>
                  <w:tcW w:w="1964" w:type="pct"/>
                  <w:noWrap w:val="0"/>
                  <w:vAlign w:val="center"/>
                </w:tcPr>
                <w:p>
                  <w:pPr>
                    <w:pStyle w:val="40"/>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A</w:t>
                  </w:r>
                  <w:r>
                    <w:rPr>
                      <w:rFonts w:hint="default" w:ascii="Times New Roman" w:hAnsi="Times New Roman" w:cs="Times New Roman"/>
                      <w:color w:val="auto"/>
                      <w:szCs w:val="21"/>
                      <w:highlight w:val="none"/>
                    </w:rPr>
                    <w:t>eq</w:t>
                  </w:r>
                </w:p>
              </w:tc>
            </w:tr>
          </w:tbl>
          <w:p>
            <w:pPr>
              <w:pStyle w:val="32"/>
              <w:spacing w:line="360" w:lineRule="auto"/>
              <w:ind w:left="0" w:right="0" w:firstLine="0"/>
              <w:jc w:val="both"/>
              <w:rPr>
                <w:rFonts w:hint="eastAsia" w:cs="Times New Roman"/>
                <w:color w:val="auto"/>
                <w:szCs w:val="24"/>
                <w:highlight w:val="none"/>
                <w:lang w:val="en-US" w:eastAsia="zh-CN"/>
              </w:rPr>
            </w:pPr>
          </w:p>
          <w:p>
            <w:pPr>
              <w:pStyle w:val="32"/>
              <w:spacing w:line="360" w:lineRule="auto"/>
              <w:ind w:left="0" w:right="0" w:firstLine="0"/>
              <w:jc w:val="both"/>
              <w:rPr>
                <w:rFonts w:hint="eastAsia" w:cs="Times New Roman"/>
                <w:color w:val="auto"/>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16"/>
              <w:adjustRightInd w:val="0"/>
              <w:snapToGrid w:val="0"/>
              <w:spacing w:before="0" w:beforeAutospacing="0" w:after="0" w:afterAutospacing="0"/>
              <w:jc w:val="center"/>
              <w:rPr>
                <w:rFonts w:hint="default" w:ascii="Times New Roman" w:hAnsi="Times New Roman" w:cs="Times New Roman"/>
                <w:bCs/>
                <w:color w:val="auto"/>
                <w:kern w:val="2"/>
                <w:szCs w:val="24"/>
                <w:highlight w:val="none"/>
              </w:rPr>
            </w:pPr>
          </w:p>
          <w:p>
            <w:pPr>
              <w:pStyle w:val="16"/>
              <w:adjustRightInd w:val="0"/>
              <w:snapToGrid w:val="0"/>
              <w:spacing w:before="0" w:beforeAutospacing="0" w:after="0" w:afterAutospacing="0"/>
              <w:jc w:val="center"/>
              <w:rPr>
                <w:rFonts w:hint="default" w:ascii="Times New Roman" w:hAnsi="Times New Roman" w:cs="Times New Roman"/>
                <w:bCs/>
                <w:color w:val="auto"/>
                <w:kern w:val="2"/>
                <w:szCs w:val="24"/>
                <w:highlight w:val="none"/>
              </w:rPr>
            </w:pPr>
          </w:p>
          <w:p>
            <w:pPr>
              <w:pStyle w:val="16"/>
              <w:adjustRightInd w:val="0"/>
              <w:snapToGrid w:val="0"/>
              <w:spacing w:before="0" w:beforeAutospacing="0" w:after="0" w:afterAutospacing="0"/>
              <w:jc w:val="center"/>
              <w:rPr>
                <w:rFonts w:hint="default" w:ascii="Times New Roman" w:hAnsi="Times New Roman" w:cs="Times New Roman"/>
                <w:bCs/>
                <w:color w:val="auto"/>
                <w:kern w:val="2"/>
                <w:szCs w:val="24"/>
                <w:highlight w:val="none"/>
              </w:rPr>
            </w:pPr>
          </w:p>
          <w:p>
            <w:pPr>
              <w:pStyle w:val="16"/>
              <w:adjustRightInd w:val="0"/>
              <w:snapToGrid w:val="0"/>
              <w:spacing w:before="0" w:beforeAutospacing="0" w:after="0" w:afterAutospacing="0"/>
              <w:jc w:val="center"/>
              <w:rPr>
                <w:rFonts w:hint="default" w:ascii="Times New Roman" w:hAnsi="Times New Roman" w:cs="Times New Roman"/>
                <w:color w:val="auto"/>
                <w:szCs w:val="24"/>
                <w:highlight w:val="none"/>
              </w:rPr>
            </w:pPr>
            <w:r>
              <w:rPr>
                <w:rFonts w:hint="default" w:ascii="Times New Roman" w:hAnsi="Times New Roman" w:cs="Times New Roman"/>
                <w:bCs/>
                <w:color w:val="auto"/>
                <w:kern w:val="2"/>
                <w:szCs w:val="24"/>
                <w:highlight w:val="none"/>
              </w:rPr>
              <w:t>与项目有关的原有环境污染问题</w:t>
            </w:r>
          </w:p>
        </w:tc>
        <w:tc>
          <w:tcPr>
            <w:tcW w:w="8161" w:type="dxa"/>
            <w:noWrap w:val="0"/>
            <w:vAlign w:val="top"/>
          </w:tcPr>
          <w:p>
            <w:pPr>
              <w:adjustRightInd w:val="0"/>
              <w:snapToGrid w:val="0"/>
              <w:spacing w:before="120" w:beforeLines="50" w:line="360" w:lineRule="auto"/>
              <w:jc w:val="both"/>
              <w:rPr>
                <w:color w:val="auto"/>
                <w:highlight w:val="none"/>
              </w:rPr>
            </w:pPr>
            <w:r>
              <w:rPr>
                <w:rFonts w:hint="default" w:ascii="Times New Roman" w:hAnsi="Times New Roman" w:eastAsia="宋体" w:cs="Times New Roman"/>
                <w:color w:val="auto"/>
                <w:sz w:val="24"/>
                <w:highlight w:val="none"/>
                <w:lang w:eastAsia="zh-CN"/>
              </w:rPr>
              <w:t>项目为新建项目，</w:t>
            </w:r>
            <w:r>
              <w:rPr>
                <w:rFonts w:hint="eastAsia" w:ascii="Times New Roman" w:hAnsi="Times New Roman" w:eastAsia="宋体" w:cs="Times New Roman"/>
                <w:color w:val="auto"/>
                <w:sz w:val="24"/>
                <w:highlight w:val="none"/>
                <w:lang w:eastAsia="zh-CN"/>
              </w:rPr>
              <w:t>租赁厂房为蓬溪县门拓建设有限责任公司</w:t>
            </w:r>
            <w:r>
              <w:rPr>
                <w:rFonts w:hint="eastAsia" w:cs="Times New Roman"/>
                <w:color w:val="auto"/>
                <w:sz w:val="24"/>
                <w:highlight w:val="none"/>
                <w:lang w:val="en-US" w:eastAsia="zh-CN"/>
              </w:rPr>
              <w:t>已建</w:t>
            </w:r>
            <w:r>
              <w:rPr>
                <w:rFonts w:hint="eastAsia" w:ascii="Times New Roman" w:hAnsi="Times New Roman" w:eastAsia="宋体" w:cs="Times New Roman"/>
                <w:color w:val="auto"/>
                <w:sz w:val="24"/>
                <w:highlight w:val="none"/>
                <w:lang w:eastAsia="zh-CN"/>
              </w:rPr>
              <w:t>厂房</w:t>
            </w:r>
            <w:r>
              <w:rPr>
                <w:rFonts w:hint="eastAsia" w:ascii="Times New Roman" w:hAnsi="Times New Roman" w:eastAsia="宋体" w:cs="Times New Roman"/>
                <w:color w:val="auto"/>
                <w:kern w:val="0"/>
                <w:sz w:val="24"/>
                <w:highlight w:val="none"/>
                <w:lang w:val="en-US" w:eastAsia="zh-CN" w:bidi="ar"/>
              </w:rPr>
              <w:t>，</w:t>
            </w:r>
            <w:r>
              <w:rPr>
                <w:rFonts w:hint="eastAsia" w:cs="Times New Roman"/>
                <w:color w:val="auto"/>
                <w:kern w:val="0"/>
                <w:sz w:val="24"/>
                <w:highlight w:val="none"/>
                <w:lang w:val="en-US" w:eastAsia="zh-CN" w:bidi="ar"/>
              </w:rPr>
              <w:t>厂房原有项目已搬空，</w:t>
            </w:r>
            <w:r>
              <w:rPr>
                <w:rFonts w:hint="default" w:ascii="Times New Roman" w:hAnsi="Times New Roman" w:eastAsia="宋体" w:cs="Times New Roman"/>
                <w:color w:val="auto"/>
                <w:sz w:val="24"/>
                <w:highlight w:val="none"/>
                <w:lang w:eastAsia="zh-CN"/>
              </w:rPr>
              <w:t>无相关原有污染问题。</w:t>
            </w:r>
          </w:p>
          <w:p>
            <w:pPr>
              <w:pStyle w:val="12"/>
              <w:rPr>
                <w:color w:val="auto"/>
                <w:highlight w:val="none"/>
              </w:rPr>
            </w:pPr>
          </w:p>
          <w:tbl>
            <w:tblPr>
              <w:tblStyle w:val="20"/>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4"/>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6" w:hRule="atLeast"/>
              </w:trPr>
              <w:tc>
                <w:tcPr>
                  <w:tcW w:w="3874" w:type="dxa"/>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eastAsia="zh-CN"/>
                    </w:rPr>
                  </w:pPr>
                  <w:r>
                    <w:rPr>
                      <w:rFonts w:hint="default"/>
                      <w:color w:val="auto"/>
                      <w:sz w:val="21"/>
                      <w:szCs w:val="21"/>
                      <w:highlight w:val="none"/>
                      <w:vertAlign w:val="baseline"/>
                      <w:lang w:eastAsia="zh-CN"/>
                    </w:rPr>
                    <w:drawing>
                      <wp:inline distT="0" distB="0" distL="114300" distR="114300">
                        <wp:extent cx="2546350" cy="2338705"/>
                        <wp:effectExtent l="0" t="0" r="6350" b="4445"/>
                        <wp:docPr id="13" name="图片 13" descr="afdf5af44ddcd2da83c153b53623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df5af44ddcd2da83c153b53623b09"/>
                                <pic:cNvPicPr>
                                  <a:picLocks noChangeAspect="1"/>
                                </pic:cNvPicPr>
                              </pic:nvPicPr>
                              <pic:blipFill>
                                <a:blip r:embed="rId21"/>
                                <a:stretch>
                                  <a:fillRect/>
                                </a:stretch>
                              </pic:blipFill>
                              <pic:spPr>
                                <a:xfrm>
                                  <a:off x="0" y="0"/>
                                  <a:ext cx="2546350" cy="2338705"/>
                                </a:xfrm>
                                <a:prstGeom prst="rect">
                                  <a:avLst/>
                                </a:prstGeom>
                              </pic:spPr>
                            </pic:pic>
                          </a:graphicData>
                        </a:graphic>
                      </wp:inline>
                    </w:drawing>
                  </w:r>
                </w:p>
              </w:tc>
              <w:tc>
                <w:tcPr>
                  <w:tcW w:w="3982" w:type="dxa"/>
                  <w:vAlign w:val="center"/>
                </w:tcPr>
                <w:p>
                  <w:pPr>
                    <w:pStyle w:val="12"/>
                    <w:ind w:left="0" w:leftChars="0" w:firstLine="0" w:firstLineChars="0"/>
                    <w:jc w:val="center"/>
                    <w:rPr>
                      <w:rFonts w:hint="default"/>
                      <w:color w:val="auto"/>
                      <w:sz w:val="21"/>
                      <w:szCs w:val="21"/>
                      <w:highlight w:val="none"/>
                      <w:vertAlign w:val="baseline"/>
                      <w:lang w:val="en-US" w:eastAsia="zh-CN"/>
                    </w:rPr>
                  </w:pPr>
                  <w:r>
                    <w:rPr>
                      <w:rFonts w:hint="default"/>
                      <w:color w:val="auto"/>
                      <w:sz w:val="21"/>
                      <w:szCs w:val="21"/>
                      <w:highlight w:val="none"/>
                      <w:vertAlign w:val="baseline"/>
                      <w:lang w:eastAsia="zh-CN"/>
                    </w:rPr>
                    <w:drawing>
                      <wp:inline distT="0" distB="0" distL="114300" distR="114300">
                        <wp:extent cx="2343150" cy="2332355"/>
                        <wp:effectExtent l="0" t="0" r="0" b="10795"/>
                        <wp:docPr id="11" name="图片 11" descr="6eb96d4e35dd724cfcb746b99524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eb96d4e35dd724cfcb746b995244fc"/>
                                <pic:cNvPicPr>
                                  <a:picLocks noChangeAspect="1"/>
                                </pic:cNvPicPr>
                              </pic:nvPicPr>
                              <pic:blipFill>
                                <a:blip r:embed="rId22"/>
                                <a:stretch>
                                  <a:fillRect/>
                                </a:stretch>
                              </pic:blipFill>
                              <pic:spPr>
                                <a:xfrm>
                                  <a:off x="0" y="0"/>
                                  <a:ext cx="2343150" cy="2332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4" w:type="dxa"/>
                  <w:vAlign w:val="center"/>
                </w:tcPr>
                <w:p>
                  <w:pPr>
                    <w:pStyle w:val="12"/>
                    <w:ind w:left="0" w:leftChars="0" w:firstLine="0" w:firstLineChars="0"/>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本项目西侧厂房</w:t>
                  </w:r>
                </w:p>
              </w:tc>
              <w:tc>
                <w:tcPr>
                  <w:tcW w:w="3982" w:type="dxa"/>
                  <w:vAlign w:val="center"/>
                </w:tcPr>
                <w:p>
                  <w:pPr>
                    <w:pStyle w:val="12"/>
                    <w:ind w:left="0" w:leftChars="0" w:firstLine="0" w:firstLineChars="0"/>
                    <w:jc w:val="center"/>
                    <w:rPr>
                      <w:rFonts w:hint="default"/>
                      <w:color w:val="auto"/>
                      <w:sz w:val="21"/>
                      <w:szCs w:val="21"/>
                      <w:highlight w:val="none"/>
                      <w:vertAlign w:val="baseline"/>
                      <w:lang w:eastAsia="zh-CN"/>
                    </w:rPr>
                  </w:pPr>
                  <w:r>
                    <w:rPr>
                      <w:rFonts w:hint="eastAsia"/>
                      <w:color w:val="auto"/>
                      <w:sz w:val="21"/>
                      <w:szCs w:val="21"/>
                      <w:highlight w:val="none"/>
                      <w:vertAlign w:val="baseline"/>
                      <w:lang w:val="en-US" w:eastAsia="zh-CN"/>
                    </w:rPr>
                    <w:t>本项目东侧厂房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4" w:type="dxa"/>
                  <w:vAlign w:val="center"/>
                </w:tcPr>
                <w:p>
                  <w:pPr>
                    <w:pStyle w:val="12"/>
                    <w:ind w:left="0" w:leftChars="0" w:firstLine="0" w:firstLineChars="0"/>
                    <w:jc w:val="center"/>
                    <w:rPr>
                      <w:rFonts w:hint="default"/>
                      <w:color w:val="auto"/>
                      <w:sz w:val="21"/>
                      <w:szCs w:val="21"/>
                      <w:highlight w:val="none"/>
                      <w:vertAlign w:val="baseline"/>
                      <w:lang w:eastAsia="zh-CN"/>
                    </w:rPr>
                  </w:pPr>
                  <w:r>
                    <w:rPr>
                      <w:color w:val="auto"/>
                      <w:sz w:val="21"/>
                      <w:szCs w:val="21"/>
                      <w:highlight w:val="none"/>
                    </w:rPr>
                    <w:drawing>
                      <wp:inline distT="0" distB="0" distL="114300" distR="114300">
                        <wp:extent cx="2487295" cy="2279015"/>
                        <wp:effectExtent l="0" t="0" r="8255"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2487295" cy="2279015"/>
                                </a:xfrm>
                                <a:prstGeom prst="rect">
                                  <a:avLst/>
                                </a:prstGeom>
                                <a:noFill/>
                                <a:ln>
                                  <a:noFill/>
                                </a:ln>
                              </pic:spPr>
                            </pic:pic>
                          </a:graphicData>
                        </a:graphic>
                      </wp:inline>
                    </w:drawing>
                  </w:r>
                </w:p>
              </w:tc>
              <w:tc>
                <w:tcPr>
                  <w:tcW w:w="3982" w:type="dxa"/>
                  <w:vAlign w:val="center"/>
                </w:tcPr>
                <w:p>
                  <w:pPr>
                    <w:pStyle w:val="12"/>
                    <w:ind w:left="0" w:leftChars="0" w:firstLine="0" w:firstLineChars="0"/>
                    <w:jc w:val="center"/>
                    <w:rPr>
                      <w:rFonts w:hint="default"/>
                      <w:color w:val="auto"/>
                      <w:sz w:val="21"/>
                      <w:szCs w:val="21"/>
                      <w:highlight w:val="none"/>
                      <w:vertAlign w:val="baseline"/>
                      <w:lang w:eastAsia="zh-CN"/>
                    </w:rPr>
                  </w:pPr>
                  <w:r>
                    <w:rPr>
                      <w:rFonts w:ascii="宋体" w:hAnsi="宋体" w:eastAsia="宋体" w:cs="宋体"/>
                      <w:color w:val="auto"/>
                      <w:sz w:val="21"/>
                      <w:szCs w:val="21"/>
                      <w:highlight w:val="none"/>
                    </w:rPr>
                    <w:drawing>
                      <wp:inline distT="0" distB="0" distL="114300" distR="114300">
                        <wp:extent cx="2343150" cy="2314575"/>
                        <wp:effectExtent l="0" t="0" r="0" b="9525"/>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24"/>
                                <a:stretch>
                                  <a:fillRect/>
                                </a:stretch>
                              </pic:blipFill>
                              <pic:spPr>
                                <a:xfrm>
                                  <a:off x="0" y="0"/>
                                  <a:ext cx="2343150" cy="2314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4" w:type="dxa"/>
                  <w:vAlign w:val="center"/>
                </w:tcPr>
                <w:p>
                  <w:pPr>
                    <w:pStyle w:val="12"/>
                    <w:jc w:val="center"/>
                    <w:rPr>
                      <w:rFonts w:hint="default"/>
                      <w:color w:val="auto"/>
                      <w:sz w:val="21"/>
                      <w:szCs w:val="21"/>
                      <w:highlight w:val="none"/>
                      <w:vertAlign w:val="baseline"/>
                      <w:lang w:eastAsia="zh-CN"/>
                    </w:rPr>
                  </w:pPr>
                  <w:r>
                    <w:rPr>
                      <w:rFonts w:hint="eastAsia"/>
                      <w:color w:val="auto"/>
                      <w:sz w:val="21"/>
                      <w:szCs w:val="21"/>
                      <w:highlight w:val="none"/>
                      <w:vertAlign w:val="baseline"/>
                      <w:lang w:val="en-US" w:eastAsia="zh-CN"/>
                    </w:rPr>
                    <w:t>本项目南侧厂房</w:t>
                  </w:r>
                </w:p>
              </w:tc>
              <w:tc>
                <w:tcPr>
                  <w:tcW w:w="3982" w:type="dxa"/>
                  <w:vAlign w:val="center"/>
                </w:tcPr>
                <w:p>
                  <w:pPr>
                    <w:pStyle w:val="12"/>
                    <w:jc w:val="center"/>
                    <w:rPr>
                      <w:rFonts w:hint="default"/>
                      <w:b/>
                      <w:bCs/>
                      <w:color w:val="auto"/>
                      <w:sz w:val="21"/>
                      <w:szCs w:val="21"/>
                      <w:highlight w:val="none"/>
                      <w:vertAlign w:val="baseline"/>
                      <w:lang w:eastAsia="zh-CN"/>
                    </w:rPr>
                  </w:pPr>
                  <w:r>
                    <w:rPr>
                      <w:rFonts w:hint="eastAsia"/>
                      <w:color w:val="auto"/>
                      <w:sz w:val="21"/>
                      <w:szCs w:val="21"/>
                      <w:highlight w:val="none"/>
                      <w:vertAlign w:val="baseline"/>
                      <w:lang w:val="en-US" w:eastAsia="zh-CN"/>
                    </w:rPr>
                    <w:t>本项目北侧厂房</w:t>
                  </w:r>
                </w:p>
              </w:tc>
            </w:tr>
          </w:tbl>
          <w:p>
            <w:pPr>
              <w:pStyle w:val="12"/>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图2-8 本项目外环境关系图片</w:t>
            </w: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eastAsia"/>
                <w:b/>
                <w:bCs/>
                <w:color w:val="auto"/>
                <w:sz w:val="21"/>
                <w:szCs w:val="21"/>
                <w:highlight w:val="none"/>
                <w:lang w:val="en-US" w:eastAsia="zh-CN"/>
              </w:rPr>
            </w:pPr>
          </w:p>
          <w:p>
            <w:pPr>
              <w:pStyle w:val="12"/>
              <w:jc w:val="center"/>
              <w:rPr>
                <w:rFonts w:hint="default"/>
                <w:b/>
                <w:bCs/>
                <w:color w:val="auto"/>
                <w:sz w:val="21"/>
                <w:szCs w:val="21"/>
                <w:highlight w:val="none"/>
                <w:lang w:val="en-US" w:eastAsia="zh-CN"/>
              </w:rPr>
            </w:pPr>
          </w:p>
        </w:tc>
      </w:tr>
    </w:tbl>
    <w:p>
      <w:pPr>
        <w:pStyle w:val="16"/>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adjustRightInd w:val="0"/>
        <w:snapToGrid w:val="0"/>
        <w:spacing w:before="0" w:beforeAutospacing="0" w:after="0" w:afterAutospacing="0" w:line="15" w:lineRule="auto"/>
        <w:jc w:val="center"/>
        <w:rPr>
          <w:rFonts w:hint="default" w:ascii="Times New Roman" w:hAnsi="Times New Roman" w:eastAsia="黑体" w:cs="Times New Roman"/>
          <w:snapToGrid w:val="0"/>
          <w:color w:val="auto"/>
          <w:sz w:val="30"/>
          <w:szCs w:val="30"/>
          <w:highlight w:val="none"/>
        </w:rPr>
      </w:pPr>
    </w:p>
    <w:p>
      <w:pPr>
        <w:pStyle w:val="1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6" w:type="dxa"/>
            <w:noWrap w:val="0"/>
            <w:vAlign w:val="center"/>
          </w:tcPr>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区域</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质量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现状</w:t>
            </w:r>
          </w:p>
        </w:tc>
        <w:tc>
          <w:tcPr>
            <w:tcW w:w="8345" w:type="dxa"/>
            <w:noWrap w:val="0"/>
            <w:vAlign w:val="center"/>
          </w:tcPr>
          <w:p>
            <w:pPr>
              <w:adjustRightInd w:val="0"/>
              <w:snapToGrid w:val="0"/>
              <w:spacing w:line="360" w:lineRule="auto"/>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（一）环境空气质量现状评价</w:t>
            </w:r>
          </w:p>
          <w:p>
            <w:pPr>
              <w:adjustRightInd w:val="0"/>
              <w:snapToGrid w:val="0"/>
              <w:spacing w:line="360" w:lineRule="auto"/>
              <w:ind w:firstLine="482" w:firstLineChars="200"/>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1、基本污染物环境质量现状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本项目位于蓬溪县赤城镇上游工业园</w:t>
            </w:r>
            <w:r>
              <w:rPr>
                <w:rFonts w:hint="default" w:ascii="Times New Roman" w:hAnsi="Times New Roman" w:cs="Times New Roman"/>
                <w:color w:val="auto"/>
                <w:sz w:val="24"/>
                <w:highlight w:val="none"/>
                <w:lang w:val="en-US" w:eastAsia="zh-CN"/>
              </w:rPr>
              <w:t>区</w:t>
            </w:r>
            <w:r>
              <w:rPr>
                <w:rFonts w:hint="default" w:ascii="Times New Roman" w:hAnsi="Times New Roman" w:cs="Times New Roman"/>
                <w:color w:val="auto"/>
                <w:sz w:val="24"/>
                <w:highlight w:val="none"/>
              </w:rPr>
              <w:t>，租赁租用蓬溪县门拓建设有限责任公司已建厂房进行建设，根据《建设项目环境影响报告表编制技术指南》（污染影响类）（试行），本项目常规污染物引用遂宁市</w:t>
            </w:r>
            <w:r>
              <w:rPr>
                <w:rFonts w:hint="default" w:ascii="Times New Roman" w:hAnsi="Times New Roman" w:cs="Times New Roman"/>
                <w:bCs/>
                <w:color w:val="auto"/>
                <w:sz w:val="24"/>
                <w:highlight w:val="none"/>
              </w:rPr>
              <w:t>生态环境局公布</w:t>
            </w:r>
            <w:r>
              <w:rPr>
                <w:rFonts w:hint="default" w:ascii="Times New Roman" w:hAnsi="Times New Roman" w:cs="Times New Roman"/>
                <w:color w:val="auto"/>
                <w:sz w:val="24"/>
                <w:highlight w:val="none"/>
              </w:rPr>
              <w:t>的《</w:t>
            </w:r>
            <w:r>
              <w:rPr>
                <w:rFonts w:hint="default" w:ascii="Times New Roman" w:hAnsi="Times New Roman" w:cs="Times New Roman"/>
                <w:bCs/>
                <w:color w:val="auto"/>
                <w:sz w:val="24"/>
                <w:highlight w:val="none"/>
              </w:rPr>
              <w:t>202</w:t>
            </w:r>
            <w:r>
              <w:rPr>
                <w:rFonts w:hint="eastAsia"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年遂宁市环境质量公告</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的</w:t>
            </w:r>
            <w:r>
              <w:rPr>
                <w:rFonts w:hint="default" w:ascii="Times New Roman" w:hAnsi="Times New Roman" w:cs="Times New Roman"/>
                <w:color w:val="auto"/>
                <w:sz w:val="24"/>
                <w:highlight w:val="none"/>
              </w:rPr>
              <w:t>数据</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遂宁市城区</w:t>
            </w:r>
            <w:r>
              <w:rPr>
                <w:rFonts w:hint="default" w:ascii="Times New Roman" w:hAnsi="Times New Roman" w:cs="Times New Roman"/>
                <w:color w:val="auto"/>
                <w:sz w:val="24"/>
                <w:highlight w:val="none"/>
              </w:rPr>
              <w:t>环境空气质量详见下表。</w:t>
            </w:r>
          </w:p>
          <w:p>
            <w:pPr>
              <w:jc w:val="center"/>
              <w:rPr>
                <w:rFonts w:hint="default" w:ascii="Times New Roman" w:hAnsi="Times New Roman" w:cs="Times New Roman"/>
                <w:b/>
                <w:bCs/>
                <w:color w:val="auto"/>
                <w:szCs w:val="22"/>
                <w:highlight w:val="none"/>
                <w:lang w:eastAsia="zh-CN"/>
              </w:rPr>
            </w:pPr>
            <w:r>
              <w:rPr>
                <w:rFonts w:hint="default" w:ascii="Times New Roman" w:hAnsi="Times New Roman" w:cs="Times New Roman"/>
                <w:b/>
                <w:color w:val="auto"/>
                <w:szCs w:val="21"/>
                <w:highlight w:val="none"/>
                <w:lang w:bidi="ar"/>
              </w:rPr>
              <w:t>表3-1      2023 年遂宁市城区环境空气质量主要污染物浓度</w:t>
            </w:r>
          </w:p>
          <w:tbl>
            <w:tblPr>
              <w:tblStyle w:val="19"/>
              <w:tblW w:w="495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259"/>
              <w:gridCol w:w="570"/>
              <w:gridCol w:w="990"/>
              <w:gridCol w:w="1005"/>
              <w:gridCol w:w="1035"/>
              <w:gridCol w:w="994"/>
              <w:gridCol w:w="1069"/>
              <w:gridCol w:w="112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173" w:hRule="atLeast"/>
                <w:jc w:val="center"/>
              </w:trPr>
              <w:tc>
                <w:tcPr>
                  <w:tcW w:w="1259" w:type="dxa"/>
                  <w:tcBorders>
                    <w:tl2br w:val="nil"/>
                    <w:tr2bl w:val="nil"/>
                  </w:tcBorders>
                  <w:noWrap/>
                  <w:vAlign w:val="center"/>
                </w:tcPr>
                <w:p>
                  <w:pPr>
                    <w:widowControl/>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监测站点</w:t>
                  </w:r>
                </w:p>
              </w:tc>
              <w:tc>
                <w:tcPr>
                  <w:tcW w:w="570"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环境空气质量</w:t>
                  </w:r>
                  <w:r>
                    <w:rPr>
                      <w:rFonts w:hint="default" w:ascii="Times New Roman" w:hAnsi="Times New Roman" w:cs="Times New Roman"/>
                      <w:b/>
                      <w:color w:val="auto"/>
                      <w:kern w:val="0"/>
                      <w:szCs w:val="21"/>
                      <w:highlight w:val="none"/>
                      <w:lang w:bidi="ar"/>
                    </w:rPr>
                    <w:t>综合指数</w:t>
                  </w:r>
                </w:p>
              </w:tc>
              <w:tc>
                <w:tcPr>
                  <w:tcW w:w="990"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vertAlign w:val="subscript"/>
                      <w:lang w:bidi="ar"/>
                    </w:rPr>
                  </w:pPr>
                  <w:r>
                    <w:rPr>
                      <w:rFonts w:hint="default" w:ascii="Times New Roman" w:hAnsi="Times New Roman" w:cs="Times New Roman"/>
                      <w:b/>
                      <w:color w:val="auto"/>
                      <w:kern w:val="0"/>
                      <w:szCs w:val="21"/>
                      <w:highlight w:val="none"/>
                      <w:lang w:bidi="ar"/>
                    </w:rPr>
                    <w:t>PM</w:t>
                  </w:r>
                  <w:r>
                    <w:rPr>
                      <w:rFonts w:hint="default" w:ascii="Times New Roman" w:hAnsi="Times New Roman" w:cs="Times New Roman"/>
                      <w:b/>
                      <w:color w:val="auto"/>
                      <w:kern w:val="0"/>
                      <w:szCs w:val="21"/>
                      <w:highlight w:val="none"/>
                      <w:vertAlign w:val="subscript"/>
                      <w:lang w:bidi="ar"/>
                    </w:rPr>
                    <w:t>2.5</w:t>
                  </w:r>
                </w:p>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年</w:t>
                  </w:r>
                  <w:r>
                    <w:rPr>
                      <w:rFonts w:hint="default" w:ascii="Times New Roman" w:hAnsi="Times New Roman" w:cs="Times New Roman"/>
                      <w:b/>
                      <w:color w:val="auto"/>
                      <w:kern w:val="0"/>
                      <w:szCs w:val="21"/>
                      <w:highlight w:val="none"/>
                      <w:lang w:bidi="ar"/>
                    </w:rPr>
                    <w:t>均浓度（</w:t>
                  </w: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
                      <w:color w:val="auto"/>
                      <w:kern w:val="0"/>
                      <w:szCs w:val="21"/>
                      <w:highlight w:val="none"/>
                      <w:lang w:bidi="ar"/>
                    </w:rPr>
                    <w:t>）</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vertAlign w:val="subscript"/>
                      <w:lang w:bidi="ar"/>
                    </w:rPr>
                  </w:pPr>
                  <w:r>
                    <w:rPr>
                      <w:rFonts w:hint="default" w:ascii="Times New Roman" w:hAnsi="Times New Roman" w:cs="Times New Roman"/>
                      <w:b/>
                      <w:color w:val="auto"/>
                      <w:kern w:val="0"/>
                      <w:szCs w:val="21"/>
                      <w:highlight w:val="none"/>
                      <w:lang w:bidi="ar"/>
                    </w:rPr>
                    <w:t>PM</w:t>
                  </w:r>
                  <w:r>
                    <w:rPr>
                      <w:rFonts w:hint="default" w:ascii="Times New Roman" w:hAnsi="Times New Roman" w:cs="Times New Roman"/>
                      <w:b/>
                      <w:color w:val="auto"/>
                      <w:kern w:val="0"/>
                      <w:szCs w:val="21"/>
                      <w:highlight w:val="none"/>
                      <w:vertAlign w:val="subscript"/>
                      <w:lang w:bidi="ar"/>
                    </w:rPr>
                    <w:t>10</w:t>
                  </w:r>
                </w:p>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年</w:t>
                  </w:r>
                  <w:r>
                    <w:rPr>
                      <w:rFonts w:hint="default" w:ascii="Times New Roman" w:hAnsi="Times New Roman" w:cs="Times New Roman"/>
                      <w:b/>
                      <w:color w:val="auto"/>
                      <w:kern w:val="0"/>
                      <w:szCs w:val="21"/>
                      <w:highlight w:val="none"/>
                      <w:lang w:bidi="ar"/>
                    </w:rPr>
                    <w:t>均浓度（</w:t>
                  </w: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
                      <w:color w:val="auto"/>
                      <w:kern w:val="0"/>
                      <w:szCs w:val="21"/>
                      <w:highlight w:val="none"/>
                      <w:lang w:bidi="ar"/>
                    </w:rPr>
                    <w:t>）</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vertAlign w:val="subscript"/>
                      <w:lang w:bidi="ar"/>
                    </w:rPr>
                  </w:pPr>
                  <w:r>
                    <w:rPr>
                      <w:rFonts w:hint="default" w:ascii="Times New Roman" w:hAnsi="Times New Roman" w:cs="Times New Roman"/>
                      <w:b/>
                      <w:color w:val="auto"/>
                      <w:kern w:val="0"/>
                      <w:szCs w:val="21"/>
                      <w:highlight w:val="none"/>
                      <w:lang w:bidi="ar"/>
                    </w:rPr>
                    <w:t>SO</w:t>
                  </w:r>
                  <w:r>
                    <w:rPr>
                      <w:rFonts w:hint="default" w:ascii="Times New Roman" w:hAnsi="Times New Roman" w:cs="Times New Roman"/>
                      <w:b/>
                      <w:color w:val="auto"/>
                      <w:kern w:val="0"/>
                      <w:szCs w:val="21"/>
                      <w:highlight w:val="none"/>
                      <w:vertAlign w:val="subscript"/>
                      <w:lang w:bidi="ar"/>
                    </w:rPr>
                    <w:t>2</w:t>
                  </w:r>
                </w:p>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年</w:t>
                  </w:r>
                  <w:r>
                    <w:rPr>
                      <w:rFonts w:hint="default" w:ascii="Times New Roman" w:hAnsi="Times New Roman" w:cs="Times New Roman"/>
                      <w:b/>
                      <w:color w:val="auto"/>
                      <w:kern w:val="0"/>
                      <w:szCs w:val="21"/>
                      <w:highlight w:val="none"/>
                      <w:lang w:bidi="ar"/>
                    </w:rPr>
                    <w:t>均浓度（</w:t>
                  </w: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
                      <w:color w:val="auto"/>
                      <w:kern w:val="0"/>
                      <w:szCs w:val="21"/>
                      <w:highlight w:val="none"/>
                      <w:lang w:bidi="ar"/>
                    </w:rPr>
                    <w:t>）</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vertAlign w:val="subscript"/>
                      <w:lang w:bidi="ar"/>
                    </w:rPr>
                  </w:pPr>
                  <w:r>
                    <w:rPr>
                      <w:rFonts w:hint="default" w:ascii="Times New Roman" w:hAnsi="Times New Roman" w:cs="Times New Roman"/>
                      <w:b/>
                      <w:color w:val="auto"/>
                      <w:kern w:val="0"/>
                      <w:szCs w:val="21"/>
                      <w:highlight w:val="none"/>
                      <w:lang w:bidi="ar"/>
                    </w:rPr>
                    <w:t>NO</w:t>
                  </w:r>
                  <w:r>
                    <w:rPr>
                      <w:rFonts w:hint="default" w:ascii="Times New Roman" w:hAnsi="Times New Roman" w:cs="Times New Roman"/>
                      <w:b/>
                      <w:color w:val="auto"/>
                      <w:kern w:val="0"/>
                      <w:szCs w:val="21"/>
                      <w:highlight w:val="none"/>
                      <w:vertAlign w:val="subscript"/>
                      <w:lang w:bidi="ar"/>
                    </w:rPr>
                    <w:t>2</w:t>
                  </w:r>
                </w:p>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年</w:t>
                  </w:r>
                  <w:r>
                    <w:rPr>
                      <w:rFonts w:hint="default" w:ascii="Times New Roman" w:hAnsi="Times New Roman" w:cs="Times New Roman"/>
                      <w:b/>
                      <w:color w:val="auto"/>
                      <w:kern w:val="0"/>
                      <w:szCs w:val="21"/>
                      <w:highlight w:val="none"/>
                      <w:lang w:bidi="ar"/>
                    </w:rPr>
                    <w:t>均浓度（</w:t>
                  </w: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
                      <w:color w:val="auto"/>
                      <w:kern w:val="0"/>
                      <w:szCs w:val="21"/>
                      <w:highlight w:val="none"/>
                      <w:lang w:bidi="ar"/>
                    </w:rPr>
                    <w:t>）</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lang w:bidi="ar"/>
                    </w:rPr>
                  </w:pPr>
                  <w:r>
                    <w:rPr>
                      <w:rFonts w:hint="default" w:ascii="Times New Roman" w:hAnsi="Times New Roman" w:cs="Times New Roman"/>
                      <w:b/>
                      <w:color w:val="auto"/>
                      <w:kern w:val="0"/>
                      <w:szCs w:val="21"/>
                      <w:highlight w:val="none"/>
                      <w:lang w:bidi="ar"/>
                    </w:rPr>
                    <w:t>O</w:t>
                  </w:r>
                  <w:r>
                    <w:rPr>
                      <w:rFonts w:hint="default" w:ascii="Times New Roman" w:hAnsi="Times New Roman" w:cs="Times New Roman"/>
                      <w:b/>
                      <w:color w:val="auto"/>
                      <w:kern w:val="0"/>
                      <w:szCs w:val="21"/>
                      <w:highlight w:val="none"/>
                      <w:vertAlign w:val="subscript"/>
                      <w:lang w:bidi="ar"/>
                    </w:rPr>
                    <w:t>3</w:t>
                  </w:r>
                </w:p>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年均浓度</w:t>
                  </w:r>
                  <w:r>
                    <w:rPr>
                      <w:rFonts w:hint="default" w:ascii="Times New Roman" w:hAnsi="Times New Roman" w:cs="Times New Roman"/>
                      <w:b/>
                      <w:color w:val="auto"/>
                      <w:kern w:val="0"/>
                      <w:szCs w:val="21"/>
                      <w:highlight w:val="none"/>
                      <w:lang w:bidi="ar"/>
                    </w:rPr>
                    <w:t>（</w:t>
                  </w: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
                      <w:color w:val="auto"/>
                      <w:kern w:val="0"/>
                      <w:szCs w:val="21"/>
                      <w:highlight w:val="none"/>
                      <w:lang w:bidi="ar"/>
                    </w:rPr>
                    <w:t>）</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
                      <w:color w:val="auto"/>
                      <w:kern w:val="0"/>
                      <w:szCs w:val="21"/>
                      <w:highlight w:val="none"/>
                      <w:lang w:bidi="ar"/>
                    </w:rPr>
                  </w:pPr>
                  <w:r>
                    <w:rPr>
                      <w:rFonts w:hint="default" w:ascii="Times New Roman" w:hAnsi="Times New Roman" w:cs="Times New Roman"/>
                      <w:b/>
                      <w:color w:val="auto"/>
                      <w:kern w:val="0"/>
                      <w:szCs w:val="21"/>
                      <w:highlight w:val="none"/>
                      <w:lang w:bidi="ar"/>
                    </w:rPr>
                    <w:t>CO</w:t>
                  </w:r>
                </w:p>
                <w:p>
                  <w:pPr>
                    <w:widowControl/>
                    <w:jc w:val="center"/>
                    <w:textAlignment w:val="center"/>
                    <w:rPr>
                      <w:rFonts w:hint="default" w:ascii="Times New Roman" w:hAnsi="Times New Roman" w:cs="Times New Roman"/>
                      <w:b/>
                      <w:color w:val="auto"/>
                      <w:kern w:val="0"/>
                      <w:szCs w:val="21"/>
                      <w:highlight w:val="none"/>
                      <w:lang w:bidi="ar"/>
                    </w:rPr>
                  </w:pPr>
                  <w:r>
                    <w:rPr>
                      <w:rFonts w:hint="eastAsia" w:cs="Times New Roman"/>
                      <w:b/>
                      <w:color w:val="auto"/>
                      <w:kern w:val="0"/>
                      <w:szCs w:val="21"/>
                      <w:highlight w:val="none"/>
                      <w:lang w:val="en-US" w:eastAsia="zh-CN" w:bidi="ar"/>
                    </w:rPr>
                    <w:t>年均浓度</w:t>
                  </w:r>
                  <w:r>
                    <w:rPr>
                      <w:rFonts w:hint="default" w:ascii="Times New Roman" w:hAnsi="Times New Roman" w:cs="Times New Roman"/>
                      <w:b/>
                      <w:color w:val="auto"/>
                      <w:kern w:val="0"/>
                      <w:szCs w:val="21"/>
                      <w:highlight w:val="none"/>
                      <w:lang w:bidi="ar"/>
                    </w:rPr>
                    <w:t>（</w:t>
                  </w:r>
                  <w:r>
                    <w:rPr>
                      <w:rFonts w:hint="default" w:ascii="Times New Roman" w:hAnsi="Times New Roman" w:cs="Times New Roman"/>
                      <w:b w:val="0"/>
                      <w:bCs/>
                      <w:color w:val="auto"/>
                      <w:kern w:val="0"/>
                      <w:szCs w:val="21"/>
                      <w:highlight w:val="none"/>
                      <w:lang w:val="en-US" w:eastAsia="zh-CN" w:bidi="ar"/>
                    </w:rPr>
                    <w:t>m</w:t>
                  </w:r>
                  <w:r>
                    <w:rPr>
                      <w:rFonts w:hint="default" w:ascii="Times New Roman" w:hAnsi="Times New Roman" w:cs="Times New Roman"/>
                      <w:color w:val="auto"/>
                      <w:szCs w:val="21"/>
                      <w:highlight w:val="none"/>
                    </w:rPr>
                    <w:t>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
                      <w:color w:val="auto"/>
                      <w:kern w:val="0"/>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519" w:hRule="atLeast"/>
                <w:jc w:val="center"/>
              </w:trPr>
              <w:tc>
                <w:tcPr>
                  <w:tcW w:w="1259" w:type="dxa"/>
                  <w:tcBorders>
                    <w:tl2br w:val="nil"/>
                    <w:tr2bl w:val="nil"/>
                  </w:tcBorders>
                  <w:noWrap/>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市监测站</w:t>
                  </w:r>
                </w:p>
              </w:tc>
              <w:tc>
                <w:tcPr>
                  <w:tcW w:w="57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3.49</w:t>
                  </w:r>
                </w:p>
              </w:tc>
              <w:tc>
                <w:tcPr>
                  <w:tcW w:w="99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30.1</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50.2</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8.1</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25.2</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148.2</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519" w:hRule="atLeast"/>
                <w:jc w:val="center"/>
              </w:trPr>
              <w:tc>
                <w:tcPr>
                  <w:tcW w:w="1259" w:type="dxa"/>
                  <w:tcBorders>
                    <w:tl2br w:val="nil"/>
                    <w:tr2bl w:val="nil"/>
                  </w:tcBorders>
                  <w:noWrap/>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美宁食品</w:t>
                  </w:r>
                </w:p>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公司</w:t>
                  </w:r>
                </w:p>
              </w:tc>
              <w:tc>
                <w:tcPr>
                  <w:tcW w:w="57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3.60</w:t>
                  </w:r>
                </w:p>
              </w:tc>
              <w:tc>
                <w:tcPr>
                  <w:tcW w:w="99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30.2</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55.9</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7.9</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27.6</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142.6</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0.9</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609" w:hRule="atLeast"/>
                <w:jc w:val="center"/>
              </w:trPr>
              <w:tc>
                <w:tcPr>
                  <w:tcW w:w="1259" w:type="dxa"/>
                  <w:tcBorders>
                    <w:tl2br w:val="nil"/>
                    <w:tr2bl w:val="nil"/>
                  </w:tcBorders>
                  <w:noWrap/>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行政中心</w:t>
                  </w:r>
                </w:p>
              </w:tc>
              <w:tc>
                <w:tcPr>
                  <w:tcW w:w="57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3.36</w:t>
                  </w:r>
                </w:p>
              </w:tc>
              <w:tc>
                <w:tcPr>
                  <w:tcW w:w="99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29.8</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49.2</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7.2</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20.9</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145.0</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519" w:hRule="atLeast"/>
                <w:jc w:val="center"/>
              </w:trPr>
              <w:tc>
                <w:tcPr>
                  <w:tcW w:w="1259" w:type="dxa"/>
                  <w:tcBorders>
                    <w:tl2br w:val="nil"/>
                    <w:tr2bl w:val="nil"/>
                  </w:tcBorders>
                  <w:noWrap/>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石溪浩</w:t>
                  </w:r>
                </w:p>
              </w:tc>
              <w:tc>
                <w:tcPr>
                  <w:tcW w:w="57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3.44</w:t>
                  </w:r>
                </w:p>
              </w:tc>
              <w:tc>
                <w:tcPr>
                  <w:tcW w:w="99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31.2</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59.8</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7.9</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18.3</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142.2</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0.9</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259" w:type="dxa"/>
                  <w:tcBorders>
                    <w:tl2br w:val="nil"/>
                    <w:tr2bl w:val="nil"/>
                  </w:tcBorders>
                  <w:noWrap/>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全市平均</w:t>
                  </w:r>
                </w:p>
              </w:tc>
              <w:tc>
                <w:tcPr>
                  <w:tcW w:w="57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3.50</w:t>
                  </w:r>
                </w:p>
              </w:tc>
              <w:tc>
                <w:tcPr>
                  <w:tcW w:w="990"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30.0</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51.7</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7.7</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24.6</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144.4</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kern w:val="0"/>
                      <w:szCs w:val="21"/>
                      <w:highlight w:val="none"/>
                      <w:lang w:bidi="ar"/>
                    </w:rP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829" w:type="dxa"/>
                  <w:gridSpan w:val="2"/>
                  <w:tcBorders>
                    <w:tl2br w:val="nil"/>
                    <w:tr2bl w:val="nil"/>
                  </w:tcBorders>
                  <w:noWrap/>
                  <w:vAlign w:val="center"/>
                </w:tcPr>
                <w:p>
                  <w:pPr>
                    <w:widowControl/>
                    <w:jc w:val="center"/>
                    <w:textAlignment w:val="center"/>
                    <w:rPr>
                      <w:rFonts w:hint="eastAsia" w:ascii="Times New Roman" w:hAnsi="Times New Roman" w:eastAsia="宋体" w:cs="Times New Roman"/>
                      <w:bCs/>
                      <w:color w:val="auto"/>
                      <w:kern w:val="0"/>
                      <w:szCs w:val="21"/>
                      <w:highlight w:val="none"/>
                      <w:lang w:val="en-US" w:eastAsia="zh-CN" w:bidi="ar"/>
                    </w:rPr>
                  </w:pPr>
                  <w:r>
                    <w:rPr>
                      <w:rFonts w:hint="eastAsia" w:cs="Times New Roman"/>
                      <w:bCs/>
                      <w:color w:val="auto"/>
                      <w:kern w:val="0"/>
                      <w:szCs w:val="21"/>
                      <w:highlight w:val="none"/>
                      <w:lang w:val="en-US" w:eastAsia="zh-CN" w:bidi="ar"/>
                    </w:rPr>
                    <w:t>达标情况</w:t>
                  </w:r>
                </w:p>
              </w:tc>
              <w:tc>
                <w:tcPr>
                  <w:tcW w:w="990" w:type="dxa"/>
                  <w:tcBorders>
                    <w:tl2br w:val="nil"/>
                    <w:tr2bl w:val="nil"/>
                  </w:tcBorders>
                  <w:noWrap/>
                  <w:vAlign w:val="center"/>
                </w:tcPr>
                <w:p>
                  <w:pPr>
                    <w:widowControl/>
                    <w:jc w:val="center"/>
                    <w:textAlignment w:val="center"/>
                    <w:rPr>
                      <w:rFonts w:hint="eastAsia" w:ascii="Times New Roman" w:hAnsi="Times New Roman" w:eastAsia="宋体" w:cs="Times New Roman"/>
                      <w:bCs/>
                      <w:color w:val="auto"/>
                      <w:kern w:val="0"/>
                      <w:szCs w:val="21"/>
                      <w:highlight w:val="none"/>
                      <w:lang w:val="en-US" w:eastAsia="zh-CN" w:bidi="ar"/>
                    </w:rPr>
                  </w:pPr>
                  <w:r>
                    <w:rPr>
                      <w:rFonts w:hint="eastAsia" w:cs="Times New Roman"/>
                      <w:bCs/>
                      <w:color w:val="auto"/>
                      <w:kern w:val="0"/>
                      <w:szCs w:val="21"/>
                      <w:highlight w:val="none"/>
                      <w:lang w:val="en-US" w:eastAsia="zh-CN" w:bidi="ar"/>
                    </w:rPr>
                    <w:t>达标</w:t>
                  </w:r>
                </w:p>
              </w:tc>
              <w:tc>
                <w:tcPr>
                  <w:tcW w:w="100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eastAsia" w:cs="Times New Roman"/>
                      <w:bCs/>
                      <w:color w:val="auto"/>
                      <w:kern w:val="0"/>
                      <w:szCs w:val="21"/>
                      <w:highlight w:val="none"/>
                      <w:lang w:val="en-US" w:eastAsia="zh-CN" w:bidi="ar"/>
                    </w:rPr>
                    <w:t>达标</w:t>
                  </w:r>
                </w:p>
              </w:tc>
              <w:tc>
                <w:tcPr>
                  <w:tcW w:w="1035"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eastAsia" w:cs="Times New Roman"/>
                      <w:bCs/>
                      <w:color w:val="auto"/>
                      <w:kern w:val="0"/>
                      <w:szCs w:val="21"/>
                      <w:highlight w:val="none"/>
                      <w:lang w:val="en-US" w:eastAsia="zh-CN" w:bidi="ar"/>
                    </w:rPr>
                    <w:t>达标</w:t>
                  </w:r>
                </w:p>
              </w:tc>
              <w:tc>
                <w:tcPr>
                  <w:tcW w:w="994"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eastAsia" w:cs="Times New Roman"/>
                      <w:bCs/>
                      <w:color w:val="auto"/>
                      <w:kern w:val="0"/>
                      <w:szCs w:val="21"/>
                      <w:highlight w:val="none"/>
                      <w:lang w:val="en-US" w:eastAsia="zh-CN" w:bidi="ar"/>
                    </w:rPr>
                    <w:t>达标</w:t>
                  </w:r>
                </w:p>
              </w:tc>
              <w:tc>
                <w:tcPr>
                  <w:tcW w:w="1069"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eastAsia" w:cs="Times New Roman"/>
                      <w:bCs/>
                      <w:color w:val="auto"/>
                      <w:kern w:val="0"/>
                      <w:szCs w:val="21"/>
                      <w:highlight w:val="none"/>
                      <w:lang w:val="en-US" w:eastAsia="zh-CN" w:bidi="ar"/>
                    </w:rPr>
                    <w:t>达标</w:t>
                  </w:r>
                </w:p>
              </w:tc>
              <w:tc>
                <w:tcPr>
                  <w:tcW w:w="1126" w:type="dxa"/>
                  <w:tcBorders>
                    <w:tl2br w:val="nil"/>
                    <w:tr2bl w:val="nil"/>
                  </w:tcBorders>
                  <w:noWrap/>
                  <w:vAlign w:val="center"/>
                </w:tcPr>
                <w:p>
                  <w:pPr>
                    <w:widowControl/>
                    <w:jc w:val="center"/>
                    <w:textAlignment w:val="center"/>
                    <w:rPr>
                      <w:rFonts w:hint="default" w:ascii="Times New Roman" w:hAnsi="Times New Roman" w:cs="Times New Roman"/>
                      <w:bCs/>
                      <w:color w:val="auto"/>
                      <w:kern w:val="0"/>
                      <w:szCs w:val="21"/>
                      <w:highlight w:val="none"/>
                      <w:lang w:bidi="ar"/>
                    </w:rPr>
                  </w:pPr>
                  <w:r>
                    <w:rPr>
                      <w:rFonts w:hint="eastAsia" w:cs="Times New Roman"/>
                      <w:bCs/>
                      <w:color w:val="auto"/>
                      <w:kern w:val="0"/>
                      <w:szCs w:val="21"/>
                      <w:highlight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8048" w:type="dxa"/>
                  <w:gridSpan w:val="8"/>
                  <w:tcBorders>
                    <w:tl2br w:val="nil"/>
                    <w:tr2bl w:val="nil"/>
                  </w:tcBorders>
                  <w:noWrap/>
                  <w:vAlign w:val="center"/>
                </w:tcPr>
                <w:p>
                  <w:pPr>
                    <w:keepNext w:val="0"/>
                    <w:keepLines w:val="0"/>
                    <w:pageBreakBefore w:val="0"/>
                    <w:kinsoku w:val="0"/>
                    <w:wordWrap/>
                    <w:overflowPunct w:val="0"/>
                    <w:topLinePunct w:val="0"/>
                    <w:autoSpaceDE/>
                    <w:autoSpaceDN/>
                    <w:bidi w:val="0"/>
                    <w:adjustRightInd/>
                    <w:snapToGrid/>
                    <w:spacing w:line="360" w:lineRule="auto"/>
                    <w:ind w:firstLine="0" w:firstLineChars="0"/>
                    <w:rPr>
                      <w:rFonts w:hint="default" w:ascii="Times New Roman" w:hAnsi="Times New Roman" w:cs="Times New Roman"/>
                      <w:bCs/>
                      <w:color w:val="auto"/>
                      <w:sz w:val="21"/>
                      <w:szCs w:val="21"/>
                      <w:highlight w:val="none"/>
                      <w:lang w:bidi="ar"/>
                    </w:rPr>
                  </w:pPr>
                  <w:r>
                    <w:rPr>
                      <w:rFonts w:hint="eastAsia" w:ascii="Times New Roman" w:hAnsi="Times New Roman" w:cs="Times New Roman"/>
                      <w:bCs/>
                      <w:color w:val="auto"/>
                      <w:sz w:val="21"/>
                      <w:szCs w:val="21"/>
                      <w:highlight w:val="none"/>
                      <w:lang w:val="en-US" w:eastAsia="zh-CN" w:bidi="ar"/>
                    </w:rPr>
                    <w:t>注：</w:t>
                  </w:r>
                  <w:r>
                    <w:rPr>
                      <w:rFonts w:hint="default" w:ascii="Times New Roman" w:hAnsi="Times New Roman" w:cs="Times New Roman"/>
                      <w:bCs/>
                      <w:color w:val="auto"/>
                      <w:sz w:val="21"/>
                      <w:szCs w:val="21"/>
                      <w:highlight w:val="none"/>
                      <w:lang w:bidi="ar"/>
                    </w:rPr>
                    <w:t>1.城市环境空气评价执行《环境空气质量标准》(GB3095-2012)。</w:t>
                  </w:r>
                </w:p>
                <w:p>
                  <w:pPr>
                    <w:keepNext w:val="0"/>
                    <w:keepLines w:val="0"/>
                    <w:pageBreakBefore w:val="0"/>
                    <w:kinsoku w:val="0"/>
                    <w:wordWrap/>
                    <w:overflowPunct w:val="0"/>
                    <w:topLinePunct w:val="0"/>
                    <w:autoSpaceDE/>
                    <w:autoSpaceDN/>
                    <w:bidi w:val="0"/>
                    <w:adjustRightInd/>
                    <w:snapToGrid/>
                    <w:spacing w:line="360" w:lineRule="auto"/>
                    <w:ind w:firstLine="0" w:firstLineChars="0"/>
                    <w:rPr>
                      <w:rFonts w:hint="default" w:ascii="Times New Roman" w:hAnsi="Times New Roman" w:cs="Times New Roman"/>
                      <w:bCs/>
                      <w:color w:val="auto"/>
                      <w:sz w:val="21"/>
                      <w:szCs w:val="21"/>
                      <w:highlight w:val="none"/>
                      <w:lang w:bidi="ar"/>
                    </w:rPr>
                  </w:pPr>
                  <w:r>
                    <w:rPr>
                      <w:rFonts w:hint="default" w:ascii="Times New Roman" w:hAnsi="Times New Roman" w:cs="Times New Roman"/>
                      <w:bCs/>
                      <w:color w:val="auto"/>
                      <w:sz w:val="21"/>
                      <w:szCs w:val="21"/>
                      <w:highlight w:val="none"/>
                      <w:lang w:bidi="ar"/>
                    </w:rPr>
                    <w:t>2.环境空气质量综合指数是描述城市环境空气质量综合状况的无量纲指数，综合考虑了各项污染物的污染程度。环境空气质量综合指数越大，表明综合污染程度越重。</w:t>
                  </w:r>
                </w:p>
                <w:p>
                  <w:pPr>
                    <w:keepNext w:val="0"/>
                    <w:keepLines w:val="0"/>
                    <w:pageBreakBefore w:val="0"/>
                    <w:kinsoku w:val="0"/>
                    <w:wordWrap/>
                    <w:overflowPunct w:val="0"/>
                    <w:topLinePunct w:val="0"/>
                    <w:autoSpaceDE/>
                    <w:autoSpaceDN/>
                    <w:bidi w:val="0"/>
                    <w:adjustRightInd/>
                    <w:snapToGrid/>
                    <w:spacing w:line="360" w:lineRule="auto"/>
                    <w:ind w:firstLine="0" w:firstLineChars="0"/>
                    <w:rPr>
                      <w:rFonts w:hint="default" w:ascii="Times New Roman" w:hAnsi="Times New Roman" w:cs="Times New Roman"/>
                      <w:bCs/>
                      <w:color w:val="auto"/>
                      <w:sz w:val="21"/>
                      <w:szCs w:val="21"/>
                      <w:highlight w:val="none"/>
                      <w:lang w:bidi="ar"/>
                    </w:rPr>
                  </w:pPr>
                  <w:r>
                    <w:rPr>
                      <w:rFonts w:hint="default" w:ascii="Times New Roman" w:hAnsi="Times New Roman" w:cs="Times New Roman"/>
                      <w:bCs/>
                      <w:color w:val="auto"/>
                      <w:sz w:val="21"/>
                      <w:szCs w:val="21"/>
                      <w:highlight w:val="none"/>
                      <w:lang w:bidi="ar"/>
                    </w:rPr>
                    <w:t>3.臭氧月平均值为日最大8小时平均浓度值第90百分位数，一氧化碳月平均值为每日平均浓度值第95百分位数。</w:t>
                  </w:r>
                </w:p>
                <w:p>
                  <w:pPr>
                    <w:keepNext w:val="0"/>
                    <w:keepLines w:val="0"/>
                    <w:pageBreakBefore w:val="0"/>
                    <w:widowControl/>
                    <w:wordWrap/>
                    <w:topLinePunct w:val="0"/>
                    <w:autoSpaceDE/>
                    <w:autoSpaceDN/>
                    <w:bidi w:val="0"/>
                    <w:adjustRightInd/>
                    <w:snapToGrid/>
                    <w:ind w:firstLine="0" w:firstLineChars="0"/>
                    <w:jc w:val="both"/>
                    <w:textAlignment w:val="center"/>
                    <w:rPr>
                      <w:rFonts w:hint="default" w:ascii="Times New Roman" w:hAnsi="Times New Roman" w:cs="Times New Roman"/>
                      <w:bCs/>
                      <w:color w:val="auto"/>
                      <w:kern w:val="0"/>
                      <w:szCs w:val="21"/>
                      <w:highlight w:val="none"/>
                      <w:lang w:bidi="ar"/>
                    </w:rPr>
                  </w:pPr>
                  <w:r>
                    <w:rPr>
                      <w:rFonts w:hint="default" w:ascii="Times New Roman" w:hAnsi="Times New Roman" w:cs="Times New Roman"/>
                      <w:bCs/>
                      <w:color w:val="auto"/>
                      <w:sz w:val="21"/>
                      <w:szCs w:val="21"/>
                      <w:highlight w:val="none"/>
                      <w:lang w:bidi="ar"/>
                    </w:rPr>
                    <w:t>4.石溪浩(对照点)未参与全市统计。</w:t>
                  </w:r>
                </w:p>
              </w:tc>
            </w:tr>
          </w:tbl>
          <w:p>
            <w:pPr>
              <w:kinsoku w:val="0"/>
              <w:overflowPunct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Cs/>
                <w:color w:val="auto"/>
                <w:sz w:val="24"/>
                <w:szCs w:val="32"/>
                <w:highlight w:val="none"/>
                <w:lang w:bidi="ar"/>
              </w:rPr>
              <w:t>本项目位于蓬溪县上游工业园，为大气环境功能二类区，由表3-1可知，项目所在区域空气质量良好，SO</w:t>
            </w:r>
            <w:r>
              <w:rPr>
                <w:rFonts w:hint="default" w:ascii="Times New Roman" w:hAnsi="Times New Roman" w:cs="Times New Roman"/>
                <w:bCs/>
                <w:color w:val="auto"/>
                <w:sz w:val="24"/>
                <w:szCs w:val="32"/>
                <w:highlight w:val="none"/>
                <w:vertAlign w:val="subscript"/>
                <w:lang w:bidi="ar"/>
              </w:rPr>
              <w:t>2</w:t>
            </w:r>
            <w:r>
              <w:rPr>
                <w:rFonts w:hint="default" w:ascii="Times New Roman" w:hAnsi="Times New Roman" w:cs="Times New Roman"/>
                <w:bCs/>
                <w:color w:val="auto"/>
                <w:sz w:val="24"/>
                <w:szCs w:val="32"/>
                <w:highlight w:val="none"/>
                <w:lang w:bidi="ar"/>
              </w:rPr>
              <w:t>、CO、NO</w:t>
            </w:r>
            <w:r>
              <w:rPr>
                <w:rFonts w:hint="default" w:ascii="Times New Roman" w:hAnsi="Times New Roman" w:cs="Times New Roman"/>
                <w:bCs/>
                <w:color w:val="auto"/>
                <w:sz w:val="24"/>
                <w:szCs w:val="32"/>
                <w:highlight w:val="none"/>
                <w:vertAlign w:val="subscript"/>
                <w:lang w:bidi="ar"/>
              </w:rPr>
              <w:t>2</w:t>
            </w:r>
            <w:r>
              <w:rPr>
                <w:rFonts w:hint="default" w:ascii="Times New Roman" w:hAnsi="Times New Roman" w:cs="Times New Roman"/>
                <w:bCs/>
                <w:color w:val="auto"/>
                <w:sz w:val="24"/>
                <w:szCs w:val="32"/>
                <w:highlight w:val="none"/>
                <w:lang w:bidi="ar"/>
              </w:rPr>
              <w:t>、PM</w:t>
            </w:r>
            <w:r>
              <w:rPr>
                <w:rFonts w:hint="default" w:ascii="Times New Roman" w:hAnsi="Times New Roman" w:cs="Times New Roman"/>
                <w:bCs/>
                <w:color w:val="auto"/>
                <w:sz w:val="24"/>
                <w:szCs w:val="32"/>
                <w:highlight w:val="none"/>
                <w:vertAlign w:val="subscript"/>
                <w:lang w:bidi="ar"/>
              </w:rPr>
              <w:t>2.5</w:t>
            </w:r>
            <w:r>
              <w:rPr>
                <w:rFonts w:hint="default" w:ascii="Times New Roman" w:hAnsi="Times New Roman" w:cs="Times New Roman"/>
                <w:bCs/>
                <w:color w:val="auto"/>
                <w:sz w:val="24"/>
                <w:szCs w:val="32"/>
                <w:highlight w:val="none"/>
                <w:lang w:bidi="ar"/>
              </w:rPr>
              <w:t>、PM</w:t>
            </w:r>
            <w:r>
              <w:rPr>
                <w:rFonts w:hint="default" w:ascii="Times New Roman" w:hAnsi="Times New Roman" w:cs="Times New Roman"/>
                <w:bCs/>
                <w:color w:val="auto"/>
                <w:sz w:val="24"/>
                <w:szCs w:val="32"/>
                <w:highlight w:val="none"/>
                <w:vertAlign w:val="subscript"/>
                <w:lang w:bidi="ar"/>
              </w:rPr>
              <w:t>10</w:t>
            </w:r>
            <w:r>
              <w:rPr>
                <w:rFonts w:hint="default" w:ascii="Times New Roman" w:hAnsi="Times New Roman" w:cs="Times New Roman"/>
                <w:bCs/>
                <w:color w:val="auto"/>
                <w:sz w:val="24"/>
                <w:szCs w:val="32"/>
                <w:highlight w:val="none"/>
                <w:lang w:bidi="ar"/>
              </w:rPr>
              <w:t>、O</w:t>
            </w:r>
            <w:r>
              <w:rPr>
                <w:rFonts w:hint="default" w:ascii="Times New Roman" w:hAnsi="Times New Roman" w:cs="Times New Roman"/>
                <w:bCs/>
                <w:color w:val="auto"/>
                <w:sz w:val="24"/>
                <w:szCs w:val="32"/>
                <w:highlight w:val="none"/>
                <w:vertAlign w:val="subscript"/>
                <w:lang w:bidi="ar"/>
              </w:rPr>
              <w:t>3</w:t>
            </w:r>
            <w:r>
              <w:rPr>
                <w:rFonts w:hint="default" w:ascii="Times New Roman" w:hAnsi="Times New Roman" w:cs="Times New Roman"/>
                <w:bCs/>
                <w:color w:val="auto"/>
                <w:sz w:val="24"/>
                <w:szCs w:val="32"/>
                <w:highlight w:val="none"/>
                <w:lang w:bidi="ar"/>
              </w:rPr>
              <w:t>浓度均能满足《环境空气质量标准》（GB3095-2012）中二级标准，本项目所在区域属于</w:t>
            </w:r>
            <w:r>
              <w:rPr>
                <w:rFonts w:hint="default" w:ascii="Times New Roman" w:hAnsi="Times New Roman" w:cs="Times New Roman"/>
                <w:b/>
                <w:color w:val="auto"/>
                <w:sz w:val="24"/>
                <w:szCs w:val="32"/>
                <w:highlight w:val="none"/>
                <w:lang w:bidi="ar"/>
              </w:rPr>
              <w:t>达标区</w:t>
            </w:r>
            <w:r>
              <w:rPr>
                <w:rFonts w:hint="default" w:ascii="Times New Roman" w:hAnsi="Times New Roman" w:cs="Times New Roman"/>
                <w:bCs/>
                <w:color w:val="auto"/>
                <w:sz w:val="24"/>
                <w:szCs w:val="32"/>
                <w:highlight w:val="none"/>
                <w:lang w:bidi="ar"/>
              </w:rPr>
              <w:t>。</w:t>
            </w:r>
          </w:p>
          <w:p>
            <w:pPr>
              <w:adjustRightInd w:val="0"/>
              <w:snapToGrid w:val="0"/>
              <w:spacing w:line="360" w:lineRule="auto"/>
              <w:ind w:firstLine="482" w:firstLineChars="200"/>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2、其他污染物环境质量现状</w:t>
            </w:r>
          </w:p>
          <w:p>
            <w:pPr>
              <w:tabs>
                <w:tab w:val="left" w:pos="2205"/>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根据《建设项目环境影响报告表编制技术指南》要求，排放国家、地方环境空气质量标准中有标准限值要求的特征污染物时，引用建设项目周边 5 千米范围内近 3 年的现有监测数据，无相关数据的选择当季主导风向下风向 1 个点位补充不少于 3 天的监测数据。本项目大气特征污染物对TSP有标准限值要求。</w:t>
            </w:r>
          </w:p>
          <w:p>
            <w:pPr>
              <w:tabs>
                <w:tab w:val="left" w:pos="2205"/>
              </w:tabs>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本项目TSP数据引用四川欧能电缆集团有限公司欧能电缆集团电线电缆生产项目于2021年3月23日－3月25日的监测报告，欧能电缆处于本项目西北侧约2.0km，数据为有效数据。</w:t>
            </w:r>
          </w:p>
          <w:p>
            <w:pPr>
              <w:pStyle w:val="44"/>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表3-</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TSP</w:t>
            </w:r>
            <w:r>
              <w:rPr>
                <w:rFonts w:hint="default" w:ascii="Times New Roman" w:hAnsi="Times New Roman" w:cs="Times New Roman"/>
                <w:color w:val="auto"/>
                <w:sz w:val="21"/>
                <w:szCs w:val="21"/>
                <w:highlight w:val="none"/>
              </w:rPr>
              <w:t>监测值</w:t>
            </w:r>
          </w:p>
          <w:tbl>
            <w:tblPr>
              <w:tblStyle w:val="19"/>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96"/>
              <w:gridCol w:w="1704"/>
              <w:gridCol w:w="1364"/>
              <w:gridCol w:w="1036"/>
              <w:gridCol w:w="1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44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监测时间</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值监测值（mg/m³）</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标准值</w:t>
                  </w:r>
                  <w:r>
                    <w:rPr>
                      <w:rFonts w:hint="default" w:ascii="Times New Roman" w:hAnsi="Times New Roman" w:cs="Times New Roman"/>
                      <w:color w:val="auto"/>
                      <w:highlight w:val="none"/>
                    </w:rPr>
                    <w:t>（mg/m³）</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占标率（</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TSP</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2021.3.23</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0.079</w:t>
                  </w:r>
                </w:p>
              </w:tc>
              <w:tc>
                <w:tcPr>
                  <w:tcW w:w="1364"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0.3</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26.3%</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sz w:val="21"/>
                      <w:szCs w:val="21"/>
                      <w:highlight w:val="none"/>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2021.3.24</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0.083</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27.7%</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sz w:val="21"/>
                      <w:szCs w:val="21"/>
                      <w:highlight w:val="none"/>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highlight w:val="none"/>
                      <w:lang w:val="en-US" w:eastAsia="zh-CN"/>
                    </w:rPr>
                    <w:t>2021.3.25</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0.075</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sz w:val="21"/>
                      <w:szCs w:val="21"/>
                      <w:highlight w:val="none"/>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根据遂宁市污染防治攻坚战领导小组办公室2023年1月发布的数据，2022年，遂宁市区域环境空气质量符合《环境空气质量标准》（GB3095-2012）二级标准，项目区域环境空气质量属于达标区域，项目区域TSP满足《环境空气质量标准》（GB3095-2012）的限值要求，因此项目区域大气环境质量良好</w:t>
            </w:r>
          </w:p>
          <w:p>
            <w:pPr>
              <w:adjustRightInd w:val="0"/>
              <w:snapToGrid w:val="0"/>
              <w:spacing w:line="360" w:lineRule="auto"/>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二、地表水环境质量现状评价</w:t>
            </w:r>
          </w:p>
          <w:p>
            <w:pPr>
              <w:spacing w:line="360" w:lineRule="auto"/>
              <w:ind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lang w:bidi="ar"/>
              </w:rPr>
              <w:t>项目位于</w:t>
            </w:r>
            <w:r>
              <w:rPr>
                <w:rFonts w:hint="default" w:ascii="Times New Roman" w:hAnsi="Times New Roman" w:cs="Times New Roman"/>
                <w:color w:val="auto"/>
                <w:sz w:val="24"/>
                <w:highlight w:val="none"/>
              </w:rPr>
              <w:t>蓬溪县上游工业园</w:t>
            </w:r>
            <w:r>
              <w:rPr>
                <w:rFonts w:hint="default" w:ascii="Times New Roman" w:hAnsi="Times New Roman" w:cs="Times New Roman"/>
                <w:color w:val="auto"/>
                <w:sz w:val="24"/>
                <w:highlight w:val="none"/>
                <w:lang w:bidi="ar"/>
              </w:rPr>
              <w:t>，外排废水</w:t>
            </w:r>
            <w:r>
              <w:rPr>
                <w:rFonts w:hint="default" w:ascii="Times New Roman" w:hAnsi="Times New Roman" w:cs="Times New Roman"/>
                <w:bCs/>
                <w:color w:val="auto"/>
                <w:sz w:val="24"/>
                <w:highlight w:val="none"/>
              </w:rPr>
              <w:t>经处理达</w:t>
            </w:r>
            <w:r>
              <w:rPr>
                <w:rFonts w:hint="default" w:ascii="Times New Roman" w:hAnsi="Times New Roman" w:cs="Times New Roman"/>
                <w:color w:val="auto"/>
                <w:kern w:val="0"/>
                <w:sz w:val="24"/>
                <w:szCs w:val="22"/>
                <w:highlight w:val="none"/>
              </w:rPr>
              <w:t>《污水综合排放标准》（GB8978-1996）中的三级标准</w:t>
            </w:r>
            <w:r>
              <w:rPr>
                <w:rFonts w:hint="default" w:ascii="Times New Roman" w:hAnsi="Times New Roman" w:cs="Times New Roman"/>
                <w:color w:val="auto"/>
                <w:sz w:val="24"/>
                <w:highlight w:val="none"/>
              </w:rPr>
              <w:t>后</w:t>
            </w:r>
            <w:r>
              <w:rPr>
                <w:rFonts w:hint="default" w:ascii="Times New Roman" w:hAnsi="Times New Roman" w:cs="Times New Roman"/>
                <w:bCs/>
                <w:color w:val="auto"/>
                <w:sz w:val="24"/>
                <w:highlight w:val="none"/>
              </w:rPr>
              <w:t>排入园区污水管网。经</w:t>
            </w:r>
            <w:r>
              <w:rPr>
                <w:rFonts w:hint="default" w:ascii="Times New Roman" w:hAnsi="Times New Roman" w:cs="Times New Roman"/>
                <w:color w:val="auto"/>
                <w:sz w:val="24"/>
                <w:szCs w:val="21"/>
                <w:highlight w:val="none"/>
              </w:rPr>
              <w:t>蓬溪县经济开发区废水处理厂</w:t>
            </w:r>
            <w:r>
              <w:rPr>
                <w:rFonts w:hint="default" w:ascii="Times New Roman" w:hAnsi="Times New Roman" w:cs="Times New Roman"/>
                <w:bCs/>
                <w:color w:val="auto"/>
                <w:sz w:val="24"/>
                <w:highlight w:val="none"/>
              </w:rPr>
              <w:t>处理达到《城镇污水处理厂污染物排放标准》（GB18918-2002）一级A标准后排入</w:t>
            </w:r>
            <w:r>
              <w:rPr>
                <w:rFonts w:hint="default" w:ascii="Times New Roman" w:hAnsi="Times New Roman" w:cs="Times New Roman"/>
                <w:color w:val="auto"/>
                <w:sz w:val="24"/>
                <w:szCs w:val="32"/>
                <w:highlight w:val="none"/>
              </w:rPr>
              <w:t>芝溪河</w:t>
            </w:r>
            <w:r>
              <w:rPr>
                <w:rFonts w:hint="default" w:ascii="Times New Roman" w:hAnsi="Times New Roman" w:cs="Times New Roman"/>
                <w:color w:val="auto"/>
                <w:sz w:val="24"/>
                <w:szCs w:val="22"/>
                <w:highlight w:val="none"/>
              </w:rPr>
              <w:t>。</w:t>
            </w:r>
          </w:p>
          <w:p>
            <w:pPr>
              <w:wordWrap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根据调查，芝溪河属涪江支流，其主要功能为纳污、灌溉、行洪，无饮用水源功能</w:t>
            </w:r>
            <w:r>
              <w:rPr>
                <w:rFonts w:hint="default" w:ascii="Times New Roman" w:hAnsi="Times New Roman" w:cs="Times New Roman"/>
                <w:color w:val="auto"/>
                <w:sz w:val="24"/>
                <w:highlight w:val="none"/>
              </w:rPr>
              <w:t>。为了解项目所在区域地表水环境质量现状，本次评价采用遂宁市</w:t>
            </w:r>
            <w:r>
              <w:rPr>
                <w:rFonts w:hint="default" w:ascii="Times New Roman" w:hAnsi="Times New Roman" w:cs="Times New Roman"/>
                <w:bCs/>
                <w:color w:val="auto"/>
                <w:sz w:val="24"/>
                <w:highlight w:val="none"/>
              </w:rPr>
              <w:t>生态环境局公布的</w:t>
            </w:r>
            <w:r>
              <w:rPr>
                <w:rStyle w:val="57"/>
                <w:rFonts w:hint="default" w:ascii="Times New Roman" w:hAnsi="Times New Roman" w:cs="Times New Roman"/>
                <w:color w:val="auto"/>
                <w:highlight w:val="none"/>
                <w:lang w:bidi="ar"/>
              </w:rPr>
              <w:t>《</w:t>
            </w:r>
            <w:r>
              <w:rPr>
                <w:rFonts w:hint="default" w:ascii="Times New Roman" w:hAnsi="Times New Roman" w:cs="Times New Roman"/>
                <w:bCs/>
                <w:color w:val="auto"/>
                <w:sz w:val="24"/>
                <w:highlight w:val="none"/>
              </w:rPr>
              <w:t>202</w:t>
            </w:r>
            <w:r>
              <w:rPr>
                <w:rFonts w:hint="eastAsia" w:cs="Times New Roman"/>
                <w:bCs/>
                <w:color w:val="auto"/>
                <w:sz w:val="24"/>
                <w:highlight w:val="none"/>
                <w:lang w:val="en-US" w:eastAsia="zh-CN"/>
              </w:rPr>
              <w:t>3</w:t>
            </w:r>
            <w:r>
              <w:rPr>
                <w:rFonts w:hint="default" w:ascii="Times New Roman" w:hAnsi="Times New Roman" w:cs="Times New Roman"/>
                <w:bCs/>
                <w:color w:val="auto"/>
                <w:sz w:val="24"/>
                <w:highlight w:val="none"/>
              </w:rPr>
              <w:t>年遂宁市环境质量公告</w:t>
            </w:r>
            <w:r>
              <w:rPr>
                <w:rStyle w:val="57"/>
                <w:rFonts w:hint="default" w:ascii="Times New Roman" w:hAnsi="Times New Roman" w:cs="Times New Roman"/>
                <w:color w:val="auto"/>
                <w:highlight w:val="none"/>
                <w:lang w:bidi="ar"/>
              </w:rPr>
              <w:t>》</w:t>
            </w:r>
            <w:r>
              <w:rPr>
                <w:rStyle w:val="57"/>
                <w:rFonts w:hint="default" w:ascii="Times New Roman" w:hAnsi="Times New Roman" w:cs="Times New Roman"/>
                <w:color w:val="auto"/>
                <w:highlight w:val="none"/>
                <w:lang w:eastAsia="zh-CN" w:bidi="ar"/>
              </w:rPr>
              <w:t>（</w:t>
            </w:r>
            <w:r>
              <w:rPr>
                <w:rFonts w:hint="default" w:ascii="Times New Roman" w:hAnsi="Times New Roman" w:cs="Times New Roman"/>
                <w:color w:val="auto"/>
                <w:sz w:val="24"/>
                <w:highlight w:val="none"/>
              </w:rPr>
              <w:t>https://ssthjj.suining.gov.cn/xinwen/show/1cf3cf6a22d5897d3116af9ca1a7be6c.html</w:t>
            </w:r>
            <w:r>
              <w:rPr>
                <w:rStyle w:val="57"/>
                <w:rFonts w:hint="default" w:ascii="Times New Roman" w:hAnsi="Times New Roman" w:cs="Times New Roman"/>
                <w:color w:val="auto"/>
                <w:highlight w:val="none"/>
                <w:lang w:eastAsia="zh-CN" w:bidi="ar"/>
              </w:rPr>
              <w:t>）</w:t>
            </w:r>
            <w:r>
              <w:rPr>
                <w:rFonts w:hint="default" w:ascii="Times New Roman" w:hAnsi="Times New Roman" w:cs="Times New Roman"/>
                <w:bCs/>
                <w:color w:val="auto"/>
                <w:sz w:val="24"/>
                <w:highlight w:val="none"/>
                <w:lang w:bidi="ar"/>
              </w:rPr>
              <w:t>，</w:t>
            </w:r>
            <w:r>
              <w:rPr>
                <w:rFonts w:hint="default" w:ascii="Times New Roman" w:hAnsi="Times New Roman" w:cs="Times New Roman"/>
                <w:color w:val="auto"/>
                <w:sz w:val="24"/>
                <w:highlight w:val="none"/>
              </w:rPr>
              <w:t>作为地表水质量达标区的判定依据。</w:t>
            </w:r>
          </w:p>
          <w:p>
            <w:pPr>
              <w:widowControl/>
              <w:spacing w:line="360" w:lineRule="auto"/>
              <w:ind w:firstLine="480" w:firstLineChars="200"/>
              <w:rPr>
                <w:rStyle w:val="57"/>
                <w:rFonts w:hint="default" w:ascii="Times New Roman" w:hAnsi="Times New Roman" w:cs="Times New Roman"/>
                <w:color w:val="auto"/>
                <w:highlight w:val="none"/>
                <w:lang w:eastAsia="zh-CN" w:bidi="ar"/>
              </w:rPr>
            </w:pPr>
            <w:r>
              <w:rPr>
                <w:rStyle w:val="57"/>
                <w:rFonts w:hint="default" w:ascii="Times New Roman" w:hAnsi="Times New Roman" w:cs="Times New Roman"/>
                <w:color w:val="auto"/>
                <w:highlight w:val="none"/>
                <w:lang w:eastAsia="zh-CN" w:bidi="ar"/>
              </w:rPr>
              <w:t>2023年</w:t>
            </w:r>
            <w:r>
              <w:rPr>
                <w:rStyle w:val="57"/>
                <w:rFonts w:hint="eastAsia" w:cs="Times New Roman"/>
                <w:color w:val="auto"/>
                <w:highlight w:val="none"/>
                <w:lang w:val="en-US" w:eastAsia="zh-CN" w:bidi="ar"/>
              </w:rPr>
              <w:t>度</w:t>
            </w:r>
            <w:r>
              <w:rPr>
                <w:rStyle w:val="57"/>
                <w:rFonts w:hint="default" w:ascii="Times New Roman" w:hAnsi="Times New Roman" w:cs="Times New Roman"/>
                <w:color w:val="auto"/>
                <w:highlight w:val="none"/>
                <w:lang w:eastAsia="zh-CN" w:bidi="ar"/>
              </w:rPr>
              <w:t>，遂宁市9个国、省控地表水监测断面（含2个长江经济带断面）水环境质量状况、主要污染指标、环比和同比情况见下表。</w:t>
            </w:r>
          </w:p>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eastAsia="zh-CN"/>
              </w:rPr>
            </w:pPr>
            <w:r>
              <w:rPr>
                <w:rFonts w:hint="default" w:ascii="Times New Roman" w:hAnsi="Times New Roman" w:eastAsia="宋体" w:cs="Times New Roman"/>
                <w:b/>
                <w:bCs/>
                <w:color w:val="auto"/>
                <w:kern w:val="2"/>
                <w:sz w:val="21"/>
                <w:szCs w:val="18"/>
                <w:highlight w:val="none"/>
                <w:lang w:val="en-US" w:eastAsia="zh-CN" w:bidi="ar-SA"/>
              </w:rPr>
              <w:t>表3-</w:t>
            </w:r>
            <w:r>
              <w:rPr>
                <w:rFonts w:hint="eastAsia" w:ascii="Times New Roman" w:hAnsi="Times New Roman" w:eastAsia="宋体" w:cs="Times New Roman"/>
                <w:b/>
                <w:bCs/>
                <w:color w:val="auto"/>
                <w:kern w:val="2"/>
                <w:sz w:val="21"/>
                <w:szCs w:val="18"/>
                <w:highlight w:val="none"/>
                <w:lang w:val="en-US" w:eastAsia="zh-CN" w:bidi="ar-SA"/>
              </w:rPr>
              <w:t>3</w:t>
            </w:r>
            <w:r>
              <w:rPr>
                <w:rFonts w:hint="default" w:ascii="Times New Roman" w:hAnsi="Times New Roman" w:eastAsia="宋体" w:cs="Times New Roman"/>
                <w:b/>
                <w:bCs/>
                <w:color w:val="auto"/>
                <w:kern w:val="2"/>
                <w:sz w:val="21"/>
                <w:szCs w:val="18"/>
                <w:highlight w:val="none"/>
                <w:lang w:val="en-US" w:eastAsia="zh-CN" w:bidi="ar-SA"/>
              </w:rPr>
              <w:t>  2023年遂宁市河流水质评价结果表</w:t>
            </w:r>
          </w:p>
          <w:tbl>
            <w:tblPr>
              <w:tblStyle w:val="20"/>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95"/>
              <w:gridCol w:w="1245"/>
              <w:gridCol w:w="825"/>
              <w:gridCol w:w="915"/>
              <w:gridCol w:w="930"/>
              <w:gridCol w:w="890"/>
              <w:gridCol w:w="10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断面名称</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所在地</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断面类别</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规定类别</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aps w:val="0"/>
                      <w:color w:val="auto"/>
                      <w:spacing w:val="0"/>
                      <w:sz w:val="21"/>
                      <w:szCs w:val="21"/>
                      <w:highlight w:val="none"/>
                    </w:rPr>
                    <w:t>上年度</w:t>
                  </w:r>
                </w:p>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类别</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aps w:val="0"/>
                      <w:color w:val="auto"/>
                      <w:spacing w:val="0"/>
                      <w:sz w:val="21"/>
                      <w:szCs w:val="21"/>
                      <w:highlight w:val="none"/>
                    </w:rPr>
                    <w:t>本年度</w:t>
                  </w:r>
                </w:p>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类别</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主要污染指标/超标倍数</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单独评价指标/超标倍数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红江渡口</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蓬溪县</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国控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Ⅱ</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Ⅱ</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Ⅱ</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玉溪</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重庆潼南</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国控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跑马滩</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安居区</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国控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大安</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安居区</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国控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郪江口</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大英县</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国控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梓江大桥</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射洪市</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国控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白鹤桥</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安居区</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省控（长江经济带）</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Ⅳ</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Ⅲ</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涪山坝</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蓬溪县</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省控（长江经济带）</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Ⅲ</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Ⅲ</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Ⅲ</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i w:val="0"/>
                      <w:iCs w:val="0"/>
                      <w:caps w:val="0"/>
                      <w:color w:val="auto"/>
                      <w:spacing w:val="0"/>
                      <w:sz w:val="21"/>
                      <w:szCs w:val="21"/>
                      <w:highlight w:val="none"/>
                    </w:rPr>
                    <w:t>粪大肠菌群/0.09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米家桥</w:t>
                  </w:r>
                </w:p>
              </w:tc>
              <w:tc>
                <w:tcPr>
                  <w:tcW w:w="109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船山区</w:t>
                  </w:r>
                </w:p>
              </w:tc>
              <w:tc>
                <w:tcPr>
                  <w:tcW w:w="124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省控</w:t>
                  </w:r>
                </w:p>
              </w:tc>
              <w:tc>
                <w:tcPr>
                  <w:tcW w:w="82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915"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93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Ⅱ</w:t>
                  </w:r>
                </w:p>
              </w:tc>
              <w:tc>
                <w:tcPr>
                  <w:tcW w:w="890"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c>
                <w:tcPr>
                  <w:tcW w:w="1007" w:type="dxa"/>
                  <w:tcBorders>
                    <w:tl2br w:val="nil"/>
                    <w:tr2bl w:val="nil"/>
                  </w:tcBorders>
                  <w:vAlign w:val="center"/>
                </w:tcPr>
                <w:p>
                  <w:pPr>
                    <w:pStyle w:val="16"/>
                    <w:keepNext w:val="0"/>
                    <w:keepLines w:val="0"/>
                    <w:widowControl/>
                    <w:suppressLineNumbers w:val="0"/>
                    <w:wordWrap w:val="0"/>
                    <w:spacing w:before="75" w:beforeAutospacing="0" w:after="75"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iCs w:val="0"/>
                      <w:caps w:val="0"/>
                      <w:color w:val="auto"/>
                      <w:spacing w:val="0"/>
                      <w:sz w:val="21"/>
                      <w:szCs w:val="21"/>
                      <w:highlight w:val="none"/>
                    </w:rPr>
                    <w:t>/</w:t>
                  </w:r>
                </w:p>
              </w:tc>
            </w:tr>
          </w:tbl>
          <w:p>
            <w:pPr>
              <w:pStyle w:val="12"/>
              <w:jc w:val="center"/>
              <w:rPr>
                <w:rFonts w:hint="default" w:ascii="Times New Roman" w:hAnsi="Times New Roman" w:eastAsia="宋体" w:cs="Times New Roman"/>
                <w:b/>
                <w:bCs/>
                <w:color w:val="auto"/>
                <w:kern w:val="2"/>
                <w:sz w:val="21"/>
                <w:szCs w:val="18"/>
                <w:highlight w:val="none"/>
                <w:lang w:val="en-US" w:eastAsia="zh-CN" w:bidi="ar-SA"/>
              </w:rPr>
            </w:pPr>
          </w:p>
          <w:p>
            <w:pPr>
              <w:adjustRightInd w:val="0"/>
              <w:snapToGrid w:val="0"/>
              <w:spacing w:line="360" w:lineRule="auto"/>
              <w:ind w:firstLine="480" w:firstLineChars="200"/>
              <w:jc w:val="left"/>
              <w:rPr>
                <w:rFonts w:hint="default" w:ascii="Times New Roman" w:hAnsi="Times New Roman" w:cs="Times New Roman"/>
                <w:b/>
                <w:bCs/>
                <w:color w:val="auto"/>
                <w:kern w:val="0"/>
                <w:sz w:val="24"/>
                <w:highlight w:val="none"/>
              </w:rPr>
            </w:pPr>
            <w:r>
              <w:rPr>
                <w:rFonts w:hint="default" w:ascii="Times New Roman" w:hAnsi="Times New Roman" w:cs="Times New Roman"/>
                <w:color w:val="auto"/>
                <w:sz w:val="24"/>
                <w:highlight w:val="none"/>
              </w:rPr>
              <w:t>本项目区域地表水芝溪河于吉祥镇与双江河汇流，最终汇入涪江。由表</w:t>
            </w:r>
            <w:r>
              <w:rPr>
                <w:rFonts w:hint="default" w:ascii="Times New Roman" w:hAnsi="Times New Roman" w:cs="Times New Roman"/>
                <w:color w:val="auto"/>
                <w:sz w:val="24"/>
                <w:highlight w:val="none"/>
                <w:lang w:val="en-US" w:eastAsia="zh-CN"/>
              </w:rPr>
              <w:t>3-3</w:t>
            </w:r>
            <w:r>
              <w:rPr>
                <w:rFonts w:hint="default" w:ascii="Times New Roman" w:hAnsi="Times New Roman" w:cs="Times New Roman"/>
                <w:color w:val="auto"/>
                <w:sz w:val="24"/>
                <w:highlight w:val="none"/>
              </w:rPr>
              <w:t>可知，</w:t>
            </w:r>
            <w:r>
              <w:rPr>
                <w:rFonts w:hint="default" w:ascii="Times New Roman" w:hAnsi="Times New Roman" w:cs="Times New Roman"/>
                <w:b/>
                <w:bCs/>
                <w:color w:val="auto"/>
                <w:sz w:val="24"/>
                <w:highlight w:val="none"/>
                <w:u w:val="single"/>
              </w:rPr>
              <w:t>芝溪河涪山坝断面</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年度区域地表水</w:t>
            </w:r>
            <w:r>
              <w:rPr>
                <w:rFonts w:hint="default" w:ascii="Times New Roman" w:hAnsi="Times New Roman" w:cs="Times New Roman"/>
                <w:b/>
                <w:bCs/>
                <w:color w:val="auto"/>
                <w:sz w:val="24"/>
                <w:highlight w:val="none"/>
                <w:u w:val="single"/>
              </w:rPr>
              <w:t>能满足</w:t>
            </w:r>
            <w:r>
              <w:rPr>
                <w:rFonts w:hint="default" w:ascii="Times New Roman" w:hAnsi="Times New Roman" w:cs="Times New Roman"/>
                <w:color w:val="auto"/>
                <w:sz w:val="24"/>
                <w:highlight w:val="none"/>
              </w:rPr>
              <w:t>《地表水环境质量标准》(GB3838-2002)</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ROMAN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III</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类水域标准。</w:t>
            </w:r>
            <w:r>
              <w:rPr>
                <w:rFonts w:hint="default" w:ascii="Times New Roman" w:hAnsi="Times New Roman" w:cs="Times New Roman"/>
                <w:b/>
                <w:bCs/>
                <w:color w:val="auto"/>
                <w:sz w:val="24"/>
                <w:highlight w:val="none"/>
                <w:u w:val="single"/>
              </w:rPr>
              <w:t>涪江红江渡口断面</w:t>
            </w:r>
            <w:r>
              <w:rPr>
                <w:rFonts w:hint="default"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年度</w:t>
            </w:r>
            <w:r>
              <w:rPr>
                <w:rFonts w:hint="default" w:ascii="Times New Roman" w:hAnsi="Times New Roman" w:cs="Times New Roman"/>
                <w:color w:val="auto"/>
                <w:sz w:val="24"/>
                <w:highlight w:val="none"/>
              </w:rPr>
              <w:t>区域地表水</w:t>
            </w:r>
            <w:r>
              <w:rPr>
                <w:rFonts w:hint="default" w:ascii="Times New Roman" w:hAnsi="Times New Roman" w:cs="Times New Roman"/>
                <w:b/>
                <w:bCs/>
                <w:color w:val="auto"/>
                <w:sz w:val="24"/>
                <w:highlight w:val="none"/>
                <w:u w:val="single"/>
              </w:rPr>
              <w:t>能满足</w:t>
            </w:r>
            <w:r>
              <w:rPr>
                <w:rFonts w:hint="default" w:ascii="Times New Roman" w:hAnsi="Times New Roman" w:cs="Times New Roman"/>
                <w:color w:val="auto"/>
                <w:sz w:val="24"/>
                <w:highlight w:val="none"/>
              </w:rPr>
              <w:t>《地表水环境质量标准》(GB3838-2002)</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ROMAN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II</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类水域标准</w:t>
            </w:r>
            <w:r>
              <w:rPr>
                <w:rFonts w:hint="default" w:ascii="Times New Roman" w:hAnsi="Times New Roman" w:cs="Times New Roman"/>
                <w:bCs/>
                <w:color w:val="auto"/>
                <w:sz w:val="24"/>
                <w:highlight w:val="none"/>
              </w:rPr>
              <w:t>，故项目所在区域地表水环境质量良好。</w:t>
            </w:r>
          </w:p>
          <w:p>
            <w:pPr>
              <w:adjustRightInd w:val="0"/>
              <w:snapToGrid w:val="0"/>
              <w:spacing w:line="360" w:lineRule="auto"/>
              <w:jc w:val="left"/>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三、声环境质量现状评价</w:t>
            </w:r>
          </w:p>
          <w:p>
            <w:pPr>
              <w:overflowPunct w:val="0"/>
              <w:autoSpaceDE w:val="0"/>
              <w:autoSpaceDN w:val="0"/>
              <w:adjustRightIn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经现场勘察，厂界外周边50米范围内不存在医院、学校、机关、科研单位、住宅、自然保护区等声环境保护目标的建设项目</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因此，</w:t>
            </w:r>
            <w:r>
              <w:rPr>
                <w:rFonts w:hint="default" w:ascii="Times New Roman" w:hAnsi="Times New Roman" w:cs="Times New Roman"/>
                <w:color w:val="auto"/>
                <w:sz w:val="24"/>
                <w:highlight w:val="none"/>
                <w:lang w:val="en-US" w:eastAsia="zh-CN"/>
              </w:rPr>
              <w:t>无需</w:t>
            </w:r>
            <w:r>
              <w:rPr>
                <w:rFonts w:hint="default" w:ascii="Times New Roman" w:hAnsi="Times New Roman" w:eastAsia="宋体" w:cs="Times New Roman"/>
                <w:color w:val="auto"/>
                <w:sz w:val="24"/>
                <w:highlight w:val="none"/>
              </w:rPr>
              <w:t>进行声环境质量现状监测和评价。</w:t>
            </w:r>
          </w:p>
          <w:p>
            <w:pPr>
              <w:adjustRightInd w:val="0"/>
              <w:snapToGrid w:val="0"/>
              <w:spacing w:line="360" w:lineRule="auto"/>
              <w:jc w:val="left"/>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lang w:val="en-US" w:eastAsia="zh-CN"/>
              </w:rPr>
              <w:t>四</w:t>
            </w:r>
            <w:r>
              <w:rPr>
                <w:rFonts w:hint="default" w:ascii="Times New Roman" w:hAnsi="Times New Roman" w:eastAsia="宋体" w:cs="Times New Roman"/>
                <w:b/>
                <w:bCs/>
                <w:color w:val="auto"/>
                <w:kern w:val="0"/>
                <w:sz w:val="24"/>
                <w:highlight w:val="none"/>
              </w:rPr>
              <w:t>、生态环境现状评价</w:t>
            </w:r>
          </w:p>
          <w:p>
            <w:pPr>
              <w:adjustRightInd w:val="0"/>
              <w:snapToGrid w:val="0"/>
              <w:spacing w:line="360" w:lineRule="auto"/>
              <w:ind w:firstLine="480" w:firstLineChars="200"/>
              <w:jc w:val="both"/>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sz w:val="24"/>
                <w:highlight w:val="none"/>
              </w:rPr>
              <w:t>项目所在区域为产业园区内，以工业为主，生态系统单一，后期生态系统主要依靠人工种植的草、树等植被。目前工程所经区域土地开发利用年深日久，自然植被多被人工植被所代替。本项目评价区域内无重点保护目标，无特殊保护的珍稀、濒危动植物及古、大、珍、奇树木，无特殊保护的文物古迹、风景名胜及自然保护区等生态敏感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无需进行生态现状调查</w:t>
            </w:r>
            <w:r>
              <w:rPr>
                <w:rFonts w:hint="default" w:ascii="Times New Roman" w:hAnsi="Times New Roman" w:cs="Times New Roman"/>
                <w:color w:val="auto"/>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6" w:hRule="atLeast"/>
        </w:trPr>
        <w:tc>
          <w:tcPr>
            <w:tcW w:w="716" w:type="dxa"/>
            <w:noWrap w:val="0"/>
            <w:vAlign w:val="center"/>
          </w:tcPr>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保护</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目标</w:t>
            </w:r>
          </w:p>
        </w:tc>
        <w:tc>
          <w:tcPr>
            <w:tcW w:w="8345" w:type="dxa"/>
            <w:noWrap w:val="0"/>
            <w:vAlign w:val="center"/>
          </w:tcPr>
          <w:p>
            <w:pPr>
              <w:adjustRightInd w:val="0"/>
              <w:snapToGrid w:val="0"/>
              <w:spacing w:before="120" w:beforeLines="50" w:line="360" w:lineRule="auto"/>
              <w:jc w:val="left"/>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highlight w:val="none"/>
              </w:rPr>
              <w:t>一、大气环境保护目标</w:t>
            </w:r>
          </w:p>
          <w:p>
            <w:pPr>
              <w:wordWrap w:val="0"/>
              <w:snapToGrid w:val="0"/>
              <w:spacing w:line="360" w:lineRule="auto"/>
              <w:ind w:firstLine="480" w:firstLineChars="200"/>
              <w:rPr>
                <w:rFonts w:hint="default" w:ascii="Times New Roman" w:hAnsi="Times New Roman" w:eastAsia="宋体" w:cs="Times New Roman"/>
                <w:b/>
                <w:bCs w:val="0"/>
                <w:color w:val="auto"/>
                <w:sz w:val="21"/>
                <w:szCs w:val="18"/>
                <w:highlight w:val="none"/>
                <w:lang w:val="en-US" w:eastAsia="zh-CN"/>
              </w:rPr>
            </w:pPr>
            <w:r>
              <w:rPr>
                <w:rFonts w:hint="default" w:ascii="Times New Roman" w:hAnsi="Times New Roman" w:eastAsia="宋体" w:cs="Times New Roman"/>
                <w:color w:val="auto"/>
                <w:sz w:val="24"/>
                <w:szCs w:val="24"/>
                <w:highlight w:val="none"/>
                <w:lang w:val="en-US" w:eastAsia="zh-CN"/>
              </w:rPr>
              <w:t>本项目所在地大气环境保护目标为项目厂界外500m范围内敏感点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满足《环境空气质量标准》（GB3095-2012）二级标准的要求</w:t>
            </w:r>
            <w:r>
              <w:rPr>
                <w:rFonts w:hint="default" w:ascii="Times New Roman" w:hAnsi="Times New Roman" w:cs="Times New Roman"/>
                <w:color w:val="auto"/>
                <w:sz w:val="24"/>
                <w:szCs w:val="24"/>
                <w:highlight w:val="none"/>
                <w:lang w:val="en-US" w:eastAsia="zh-CN"/>
              </w:rPr>
              <w:t>。</w:t>
            </w:r>
          </w:p>
          <w:p>
            <w:pPr>
              <w:adjustRightInd w:val="0"/>
              <w:snapToGrid w:val="0"/>
              <w:jc w:val="center"/>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Cs w:val="21"/>
                <w:highlight w:val="none"/>
              </w:rPr>
              <w:t>表3-</w:t>
            </w:r>
            <w:r>
              <w:rPr>
                <w:rFonts w:hint="default" w:ascii="Times New Roman" w:hAnsi="Times New Roman" w:cs="Times New Roman"/>
                <w:b/>
                <w:bCs/>
                <w:color w:val="auto"/>
                <w:szCs w:val="21"/>
                <w:highlight w:val="none"/>
                <w:lang w:val="en-US" w:eastAsia="zh-CN"/>
              </w:rPr>
              <w:t>4</w:t>
            </w:r>
            <w:r>
              <w:rPr>
                <w:rFonts w:hint="default" w:ascii="Times New Roman" w:hAnsi="Times New Roman" w:cs="Times New Roman"/>
                <w:b/>
                <w:bCs/>
                <w:color w:val="auto"/>
                <w:szCs w:val="21"/>
                <w:highlight w:val="none"/>
              </w:rPr>
              <w:t xml:space="preserve">  项目大气环境保护目标</w:t>
            </w:r>
          </w:p>
          <w:tbl>
            <w:tblPr>
              <w:tblStyle w:val="20"/>
              <w:tblW w:w="8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705"/>
              <w:gridCol w:w="660"/>
              <w:gridCol w:w="1110"/>
              <w:gridCol w:w="795"/>
              <w:gridCol w:w="945"/>
              <w:gridCol w:w="1080"/>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vMerge w:val="restart"/>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b/>
                      <w:bCs/>
                      <w:color w:val="auto"/>
                      <w:highlight w:val="none"/>
                    </w:rPr>
                    <w:t>名称</w:t>
                  </w:r>
                </w:p>
              </w:tc>
              <w:tc>
                <w:tcPr>
                  <w:tcW w:w="1365" w:type="dxa"/>
                  <w:gridSpan w:val="2"/>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b/>
                      <w:bCs/>
                      <w:color w:val="auto"/>
                      <w:highlight w:val="none"/>
                    </w:rPr>
                    <w:t>坐标</w:t>
                  </w:r>
                  <w:r>
                    <w:rPr>
                      <w:rFonts w:hint="default" w:ascii="Times New Roman" w:hAnsi="Times New Roman" w:cs="Times New Roman"/>
                      <w:b/>
                      <w:bCs/>
                      <w:color w:val="auto"/>
                      <w:highlight w:val="none"/>
                      <w:lang w:val="en-US" w:eastAsia="zh-CN"/>
                    </w:rPr>
                    <w:t>/m</w:t>
                  </w:r>
                </w:p>
              </w:tc>
              <w:tc>
                <w:tcPr>
                  <w:tcW w:w="1110" w:type="dxa"/>
                  <w:vMerge w:val="restart"/>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b/>
                      <w:bCs/>
                      <w:color w:val="auto"/>
                      <w:highlight w:val="none"/>
                    </w:rPr>
                    <w:t>保护对象</w:t>
                  </w:r>
                </w:p>
              </w:tc>
              <w:tc>
                <w:tcPr>
                  <w:tcW w:w="795" w:type="dxa"/>
                  <w:vMerge w:val="restart"/>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保护内容</w:t>
                  </w:r>
                </w:p>
              </w:tc>
              <w:tc>
                <w:tcPr>
                  <w:tcW w:w="945" w:type="dxa"/>
                  <w:vMerge w:val="restart"/>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环境功能区</w:t>
                  </w:r>
                </w:p>
              </w:tc>
              <w:tc>
                <w:tcPr>
                  <w:tcW w:w="1080" w:type="dxa"/>
                  <w:vMerge w:val="restart"/>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相对厂址方位</w:t>
                  </w:r>
                </w:p>
              </w:tc>
              <w:tc>
                <w:tcPr>
                  <w:tcW w:w="1013" w:type="dxa"/>
                  <w:vMerge w:val="restart"/>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highlight w:val="none"/>
                      <w:vertAlign w:val="baseline"/>
                      <w:lang w:val="en-US" w:eastAsia="zh-CN"/>
                    </w:rPr>
                  </w:pPr>
                </w:p>
              </w:tc>
              <w:tc>
                <w:tcPr>
                  <w:tcW w:w="705" w:type="dxa"/>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经度</w:t>
                  </w:r>
                </w:p>
              </w:tc>
              <w:tc>
                <w:tcPr>
                  <w:tcW w:w="660" w:type="dxa"/>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维度</w:t>
                  </w:r>
                </w:p>
              </w:tc>
              <w:tc>
                <w:tcPr>
                  <w:tcW w:w="1110" w:type="dxa"/>
                  <w:vMerge w:val="continue"/>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highlight w:val="none"/>
                      <w:vertAlign w:val="baseline"/>
                      <w:lang w:val="en-US" w:eastAsia="zh-CN"/>
                    </w:rPr>
                  </w:pPr>
                </w:p>
              </w:tc>
              <w:tc>
                <w:tcPr>
                  <w:tcW w:w="795" w:type="dxa"/>
                  <w:vMerge w:val="continue"/>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p>
              </w:tc>
              <w:tc>
                <w:tcPr>
                  <w:tcW w:w="945" w:type="dxa"/>
                  <w:vMerge w:val="continue"/>
                  <w:vAlign w:val="center"/>
                </w:tcPr>
                <w:p>
                  <w:pPr>
                    <w:pStyle w:val="12"/>
                    <w:jc w:val="center"/>
                    <w:rPr>
                      <w:rFonts w:hint="default" w:ascii="Times New Roman" w:hAnsi="Times New Roman" w:cs="Times New Roman"/>
                      <w:color w:val="auto"/>
                      <w:highlight w:val="none"/>
                      <w:vertAlign w:val="baseline"/>
                      <w:lang w:val="en-US" w:eastAsia="zh-CN"/>
                    </w:rPr>
                  </w:pPr>
                </w:p>
              </w:tc>
              <w:tc>
                <w:tcPr>
                  <w:tcW w:w="1080" w:type="dxa"/>
                  <w:vMerge w:val="continue"/>
                  <w:vAlign w:val="center"/>
                </w:tcPr>
                <w:p>
                  <w:pPr>
                    <w:pStyle w:val="12"/>
                    <w:jc w:val="center"/>
                    <w:rPr>
                      <w:rFonts w:hint="default" w:ascii="Times New Roman" w:hAnsi="Times New Roman" w:cs="Times New Roman"/>
                      <w:color w:val="auto"/>
                      <w:highlight w:val="none"/>
                      <w:vertAlign w:val="baseline"/>
                      <w:lang w:val="en-US" w:eastAsia="zh-CN"/>
                    </w:rPr>
                  </w:pPr>
                </w:p>
              </w:tc>
              <w:tc>
                <w:tcPr>
                  <w:tcW w:w="1013" w:type="dxa"/>
                  <w:vMerge w:val="continue"/>
                  <w:vAlign w:val="center"/>
                </w:tcPr>
                <w:p>
                  <w:pPr>
                    <w:pStyle w:val="12"/>
                    <w:jc w:val="center"/>
                    <w:rPr>
                      <w:rFonts w:hint="default"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sz w:val="24"/>
                      <w:szCs w:val="24"/>
                      <w:highlight w:val="none"/>
                      <w:lang w:val="en-US" w:eastAsia="zh-CN"/>
                    </w:rPr>
                    <w:t>四川省蓬溪县中等职业技术学校（新校区）</w:t>
                  </w:r>
                </w:p>
              </w:tc>
              <w:tc>
                <w:tcPr>
                  <w:tcW w:w="705" w:type="dxa"/>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105.68</w:t>
                  </w:r>
                  <w:r>
                    <w:rPr>
                      <w:rFonts w:hint="eastAsia" w:ascii="Times New Roman" w:cs="Times New Roman"/>
                      <w:color w:val="auto"/>
                      <w:highlight w:val="none"/>
                      <w:lang w:val="en-US" w:eastAsia="zh-CN"/>
                    </w:rPr>
                    <w:t>10</w:t>
                  </w:r>
                </w:p>
              </w:tc>
              <w:tc>
                <w:tcPr>
                  <w:tcW w:w="660" w:type="dxa"/>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30.731</w:t>
                  </w:r>
                  <w:r>
                    <w:rPr>
                      <w:rFonts w:hint="eastAsia" w:ascii="Times New Roman" w:cs="Times New Roman"/>
                      <w:color w:val="auto"/>
                      <w:highlight w:val="none"/>
                      <w:lang w:val="en-US" w:eastAsia="zh-CN"/>
                    </w:rPr>
                    <w:t>5</w:t>
                  </w:r>
                </w:p>
              </w:tc>
              <w:tc>
                <w:tcPr>
                  <w:tcW w:w="1110"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highlight w:val="none"/>
                      <w:vertAlign w:val="baseline"/>
                      <w:lang w:val="en-US" w:eastAsia="zh-CN"/>
                    </w:rPr>
                  </w:pPr>
                  <w:r>
                    <w:rPr>
                      <w:rFonts w:hint="eastAsia"/>
                      <w:bCs/>
                      <w:color w:val="auto"/>
                      <w:szCs w:val="21"/>
                      <w:highlight w:val="none"/>
                      <w:lang w:val="en-US" w:eastAsia="zh-CN"/>
                    </w:rPr>
                    <w:t>师生约1600人</w:t>
                  </w:r>
                </w:p>
              </w:tc>
              <w:tc>
                <w:tcPr>
                  <w:tcW w:w="795" w:type="dxa"/>
                  <w:vAlign w:val="center"/>
                </w:tcPr>
                <w:p>
                  <w:pPr>
                    <w:pStyle w:val="28"/>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rPr>
                    <w:t>大气环境</w:t>
                  </w:r>
                </w:p>
              </w:tc>
              <w:tc>
                <w:tcPr>
                  <w:tcW w:w="945" w:type="dxa"/>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rPr>
                    <w:t>大气环境</w:t>
                  </w:r>
                  <w:r>
                    <w:rPr>
                      <w:rFonts w:hint="default" w:ascii="Times New Roman" w:hAnsi="Times New Roman" w:cs="Times New Roman"/>
                      <w:color w:val="auto"/>
                      <w:highlight w:val="none"/>
                      <w:lang w:eastAsia="zh-CN"/>
                    </w:rPr>
                    <w:t>二</w:t>
                  </w:r>
                  <w:r>
                    <w:rPr>
                      <w:rFonts w:hint="default" w:ascii="Times New Roman" w:hAnsi="Times New Roman" w:cs="Times New Roman"/>
                      <w:color w:val="auto"/>
                      <w:highlight w:val="none"/>
                    </w:rPr>
                    <w:t>类区</w:t>
                  </w:r>
                </w:p>
              </w:tc>
              <w:tc>
                <w:tcPr>
                  <w:tcW w:w="1080" w:type="dxa"/>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b w:val="0"/>
                      <w:bCs w:val="0"/>
                      <w:color w:val="auto"/>
                      <w:szCs w:val="21"/>
                      <w:highlight w:val="none"/>
                      <w:lang w:eastAsia="zh-CN"/>
                    </w:rPr>
                    <w:t>西南侧</w:t>
                  </w:r>
                </w:p>
              </w:tc>
              <w:tc>
                <w:tcPr>
                  <w:tcW w:w="1013"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highlight w:val="none"/>
                      <w:vertAlign w:val="baseline"/>
                      <w:lang w:val="en-US" w:eastAsia="zh-CN"/>
                    </w:rPr>
                  </w:pPr>
                  <w:r>
                    <w:rPr>
                      <w:rFonts w:hint="eastAsia" w:cs="Times New Roman"/>
                      <w:bCs/>
                      <w:color w:val="auto"/>
                      <w:sz w:val="21"/>
                      <w:szCs w:val="18"/>
                      <w:highlight w:val="none"/>
                      <w:lang w:val="en-US" w:eastAsia="zh-CN"/>
                    </w:rPr>
                    <w:t>258</w:t>
                  </w:r>
                </w:p>
              </w:tc>
            </w:tr>
          </w:tbl>
          <w:p>
            <w:pPr>
              <w:adjustRightInd w:val="0"/>
              <w:snapToGrid w:val="0"/>
              <w:spacing w:before="120" w:beforeLines="50" w:line="360" w:lineRule="auto"/>
              <w:jc w:val="left"/>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highlight w:val="none"/>
                <w:lang w:val="en-US" w:eastAsia="zh-CN"/>
              </w:rPr>
              <w:t>二</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声</w:t>
            </w:r>
            <w:r>
              <w:rPr>
                <w:rFonts w:hint="default" w:ascii="Times New Roman" w:hAnsi="Times New Roman" w:cs="Times New Roman"/>
                <w:b/>
                <w:bCs/>
                <w:color w:val="auto"/>
                <w:sz w:val="24"/>
                <w:highlight w:val="none"/>
              </w:rPr>
              <w:t>环境保护目标</w:t>
            </w:r>
          </w:p>
          <w:p>
            <w:pPr>
              <w:wordWrap w:val="0"/>
              <w:snapToGrid w:val="0"/>
              <w:spacing w:line="360" w:lineRule="auto"/>
              <w:ind w:firstLine="480" w:firstLineChars="200"/>
              <w:rPr>
                <w:rFonts w:hint="default" w:ascii="Times New Roman" w:hAnsi="Times New Roman" w:eastAsia="宋体" w:cs="Times New Roman"/>
                <w:b/>
                <w:bCs w:val="0"/>
                <w:color w:val="auto"/>
                <w:sz w:val="21"/>
                <w:szCs w:val="18"/>
                <w:highlight w:val="none"/>
                <w:lang w:val="en-US" w:eastAsia="zh-CN"/>
              </w:rPr>
            </w:pPr>
            <w:r>
              <w:rPr>
                <w:rFonts w:hint="default" w:ascii="Times New Roman" w:hAnsi="Times New Roman" w:eastAsia="宋体" w:cs="Times New Roman"/>
                <w:color w:val="auto"/>
                <w:sz w:val="24"/>
                <w:szCs w:val="24"/>
                <w:highlight w:val="none"/>
                <w:lang w:val="en-US" w:eastAsia="zh-CN"/>
              </w:rPr>
              <w:t>本项目厂界外50m无声环境敏感目标</w:t>
            </w:r>
            <w:r>
              <w:rPr>
                <w:rFonts w:hint="default" w:ascii="Times New Roman" w:hAnsi="Times New Roman" w:cs="Times New Roman"/>
                <w:color w:val="auto"/>
                <w:spacing w:val="-4"/>
                <w:sz w:val="24"/>
                <w:highlight w:val="none"/>
                <w:lang w:eastAsia="zh-CN"/>
              </w:rPr>
              <w:t>。</w:t>
            </w:r>
          </w:p>
          <w:p>
            <w:pPr>
              <w:adjustRightInd w:val="0"/>
              <w:snapToGrid w:val="0"/>
              <w:spacing w:before="120" w:beforeLines="50" w:line="360" w:lineRule="auto"/>
              <w:jc w:val="left"/>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highlight w:val="none"/>
                <w:lang w:val="en-US" w:eastAsia="zh-CN"/>
              </w:rPr>
              <w:t>三</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地下水</w:t>
            </w:r>
            <w:r>
              <w:rPr>
                <w:rFonts w:hint="default" w:ascii="Times New Roman" w:hAnsi="Times New Roman" w:cs="Times New Roman"/>
                <w:b/>
                <w:bCs/>
                <w:color w:val="auto"/>
                <w:sz w:val="24"/>
                <w:highlight w:val="none"/>
              </w:rPr>
              <w:t>环境保护目标</w:t>
            </w:r>
          </w:p>
          <w:p>
            <w:pPr>
              <w:wordWrap w:val="0"/>
              <w:snapToGrid w:val="0"/>
              <w:spacing w:line="360" w:lineRule="auto"/>
              <w:ind w:firstLine="464" w:firstLineChars="200"/>
              <w:rPr>
                <w:rFonts w:hint="default" w:ascii="Times New Roman" w:hAnsi="Times New Roman" w:eastAsia="宋体" w:cs="Times New Roman"/>
                <w:b/>
                <w:bCs w:val="0"/>
                <w:color w:val="auto"/>
                <w:sz w:val="21"/>
                <w:szCs w:val="18"/>
                <w:highlight w:val="none"/>
                <w:lang w:val="en-US" w:eastAsia="zh-CN"/>
              </w:rPr>
            </w:pPr>
            <w:r>
              <w:rPr>
                <w:rFonts w:hint="default" w:ascii="Times New Roman" w:hAnsi="Times New Roman" w:cs="Times New Roman"/>
                <w:color w:val="auto"/>
                <w:spacing w:val="-4"/>
                <w:sz w:val="24"/>
                <w:highlight w:val="none"/>
                <w:lang w:eastAsia="zh-CN"/>
              </w:rPr>
              <w:t>本项目厂界外500m范围内无地下水集中式饮用水水源和热水、矿泉水、温泉等特殊地下水资源，无地下水环境保护目标。</w:t>
            </w:r>
          </w:p>
          <w:p>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四、生态环境保护目标</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64" w:firstLineChars="200"/>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pacing w:val="-4"/>
                <w:kern w:val="2"/>
                <w:sz w:val="24"/>
                <w:szCs w:val="24"/>
                <w:highlight w:val="none"/>
                <w:lang w:val="en-US" w:eastAsia="zh-CN" w:bidi="ar-SA"/>
              </w:rPr>
              <w:t>本项目位于</w:t>
            </w:r>
            <w:r>
              <w:rPr>
                <w:rFonts w:hint="default" w:ascii="Times New Roman" w:hAnsi="Times New Roman" w:cs="Times New Roman"/>
                <w:color w:val="auto"/>
                <w:sz w:val="24"/>
                <w:highlight w:val="none"/>
              </w:rPr>
              <w:t>产业园区内</w:t>
            </w:r>
            <w:r>
              <w:rPr>
                <w:rFonts w:hint="default" w:ascii="Times New Roman" w:hAnsi="Times New Roman" w:eastAsia="宋体" w:cs="Times New Roman"/>
                <w:color w:val="auto"/>
                <w:spacing w:val="-4"/>
                <w:kern w:val="2"/>
                <w:sz w:val="24"/>
                <w:szCs w:val="24"/>
                <w:highlight w:val="none"/>
                <w:lang w:val="en-US" w:eastAsia="zh-CN" w:bidi="ar-SA"/>
              </w:rPr>
              <w:t>，无生态环境保护目标。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16"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污染</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物排</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放控</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制标</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准</w:t>
            </w:r>
          </w:p>
        </w:tc>
        <w:tc>
          <w:tcPr>
            <w:tcW w:w="8345" w:type="dxa"/>
            <w:noWrap w:val="0"/>
            <w:vAlign w:val="center"/>
          </w:tcPr>
          <w:p>
            <w:pPr>
              <w:spacing w:line="36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一、大气污染物</w:t>
            </w:r>
          </w:p>
          <w:p>
            <w:pPr>
              <w:spacing w:before="120"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运营期</w:t>
            </w:r>
            <w:r>
              <w:rPr>
                <w:rFonts w:hint="default" w:ascii="Times New Roman" w:hAnsi="Times New Roman" w:cs="Times New Roman"/>
                <w:color w:val="auto"/>
                <w:sz w:val="24"/>
                <w:highlight w:val="none"/>
                <w:lang w:eastAsia="zh-CN"/>
              </w:rPr>
              <w:t>颗粒物、</w:t>
            </w:r>
            <w:r>
              <w:rPr>
                <w:rFonts w:hint="default" w:ascii="Times New Roman" w:hAnsi="Times New Roman" w:cs="Times New Roman"/>
                <w:color w:val="auto"/>
                <w:sz w:val="24"/>
                <w:highlight w:val="none"/>
              </w:rPr>
              <w:t>锡及其化合物排放执行《大气污染物综合排放标准》（GB16297－1996），具体见下表。</w:t>
            </w:r>
          </w:p>
          <w:p>
            <w:pPr>
              <w:pStyle w:val="32"/>
              <w:spacing w:line="240" w:lineRule="auto"/>
              <w:ind w:left="0" w:firstLine="0"/>
              <w:jc w:val="center"/>
              <w:rPr>
                <w:rFonts w:hint="default" w:ascii="Times New Roman" w:hAnsi="Times New Roman" w:cs="Times New Roman"/>
                <w:b/>
                <w:bCs/>
                <w:color w:val="auto"/>
                <w:szCs w:val="21"/>
                <w:highlight w:val="none"/>
              </w:rPr>
            </w:pPr>
            <w:r>
              <w:rPr>
                <w:rFonts w:hint="default" w:ascii="Times New Roman" w:hAnsi="Times New Roman" w:cs="Times New Roman"/>
                <w:b/>
                <w:color w:val="auto"/>
                <w:kern w:val="2"/>
                <w:sz w:val="21"/>
                <w:szCs w:val="21"/>
                <w:highlight w:val="none"/>
              </w:rPr>
              <w:t>表3-</w:t>
            </w:r>
            <w:r>
              <w:rPr>
                <w:rFonts w:hint="eastAsia" w:cs="Times New Roman"/>
                <w:b/>
                <w:color w:val="auto"/>
                <w:kern w:val="2"/>
                <w:sz w:val="21"/>
                <w:szCs w:val="21"/>
                <w:highlight w:val="none"/>
                <w:lang w:val="en-US" w:eastAsia="zh-CN"/>
              </w:rPr>
              <w:t>5</w:t>
            </w:r>
            <w:r>
              <w:rPr>
                <w:rFonts w:hint="default" w:ascii="Times New Roman" w:hAnsi="Times New Roman" w:cs="Times New Roman"/>
                <w:b/>
                <w:color w:val="auto"/>
                <w:kern w:val="2"/>
                <w:sz w:val="21"/>
                <w:szCs w:val="21"/>
                <w:highlight w:val="none"/>
              </w:rPr>
              <w:t xml:space="preserve">  《大气污染物综合排放标准》（GB16297－1996）(摘录)</w:t>
            </w:r>
            <w:r>
              <w:rPr>
                <w:rFonts w:hint="default" w:ascii="Times New Roman" w:hAnsi="Times New Roman" w:cs="Times New Roman"/>
                <w:b/>
                <w:color w:val="auto"/>
                <w:kern w:val="2"/>
                <w:sz w:val="21"/>
                <w:szCs w:val="21"/>
                <w:highlight w:val="none"/>
                <w:lang w:val="en-US" w:eastAsia="zh-CN"/>
              </w:rPr>
              <w:t xml:space="preserve">    </w:t>
            </w:r>
            <w:r>
              <w:rPr>
                <w:rFonts w:hint="default" w:ascii="Times New Roman" w:hAnsi="Times New Roman" w:cs="Times New Roman"/>
                <w:b/>
                <w:color w:val="auto"/>
                <w:kern w:val="2"/>
                <w:sz w:val="21"/>
                <w:szCs w:val="21"/>
                <w:highlight w:val="none"/>
              </w:rPr>
              <w:t>单位:</w:t>
            </w: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19"/>
              <w:gridCol w:w="1034"/>
              <w:gridCol w:w="816"/>
              <w:gridCol w:w="953"/>
              <w:gridCol w:w="1219"/>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1888" w:type="pct"/>
                  <w:gridSpan w:val="3"/>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有组织</w:t>
                  </w:r>
                </w:p>
              </w:tc>
              <w:tc>
                <w:tcPr>
                  <w:tcW w:w="1336" w:type="pct"/>
                  <w:gridSpan w:val="2"/>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无组织</w:t>
                  </w:r>
                </w:p>
              </w:tc>
              <w:tc>
                <w:tcPr>
                  <w:tcW w:w="1295" w:type="pct"/>
                  <w:vMerge w:val="restart"/>
                  <w:noWrap w:val="0"/>
                  <w:vAlign w:val="center"/>
                </w:tcPr>
                <w:p>
                  <w:pPr>
                    <w:pStyle w:val="12"/>
                    <w:spacing w:line="240" w:lineRule="auto"/>
                    <w:ind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w:t>
                  </w:r>
                  <w:r>
                    <w:rPr>
                      <w:rFonts w:hint="default" w:ascii="Times New Roman" w:hAnsi="Times New Roman" w:cs="Times New Roman"/>
                      <w:b/>
                      <w:color w:val="auto"/>
                      <w:sz w:val="21"/>
                      <w:szCs w:val="21"/>
                      <w:highlight w:val="none"/>
                    </w:rPr>
                    <w:cr/>
                  </w:r>
                  <w:r>
                    <w:rPr>
                      <w:rFonts w:hint="default" w:ascii="Times New Roman" w:hAnsi="Times New Roman" w:cs="Times New Roman"/>
                      <w:b/>
                      <w:color w:val="auto"/>
                      <w:sz w:val="21"/>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p>
              </w:tc>
              <w:tc>
                <w:tcPr>
                  <w:tcW w:w="750" w:type="pct"/>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排放浓度限值（mg/m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636" w:type="pct"/>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排放速率限值（kg/h）</w:t>
                  </w:r>
                </w:p>
              </w:tc>
              <w:tc>
                <w:tcPr>
                  <w:tcW w:w="501" w:type="pct"/>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排放高度（m）</w:t>
                  </w:r>
                </w:p>
              </w:tc>
              <w:tc>
                <w:tcPr>
                  <w:tcW w:w="586" w:type="pct"/>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监控点</w:t>
                  </w:r>
                </w:p>
              </w:tc>
              <w:tc>
                <w:tcPr>
                  <w:tcW w:w="750" w:type="pct"/>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排放浓度限值（mg/m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1295" w:type="pct"/>
                  <w:vMerge w:val="continue"/>
                  <w:noWrap w:val="0"/>
                  <w:vAlign w:val="center"/>
                </w:tcPr>
                <w:p>
                  <w:pPr>
                    <w:pStyle w:val="12"/>
                    <w:spacing w:line="240" w:lineRule="auto"/>
                    <w:ind w:firstLine="0" w:firstLineChars="0"/>
                    <w:jc w:val="center"/>
                    <w:rPr>
                      <w:rFonts w:hint="default" w:ascii="Times New Roman" w:hAnsi="Times New Roman" w:cs="Times New Roman"/>
                      <w:b/>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41"/>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锡及其化合物</w:t>
                  </w:r>
                </w:p>
              </w:tc>
              <w:tc>
                <w:tcPr>
                  <w:tcW w:w="750" w:type="pct"/>
                  <w:noWrap w:val="0"/>
                  <w:vAlign w:val="center"/>
                </w:tcPr>
                <w:p>
                  <w:pPr>
                    <w:pStyle w:val="12"/>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8.5</w:t>
                  </w:r>
                </w:p>
              </w:tc>
              <w:tc>
                <w:tcPr>
                  <w:tcW w:w="636" w:type="pct"/>
                  <w:noWrap w:val="0"/>
                  <w:vAlign w:val="center"/>
                </w:tcPr>
                <w:p>
                  <w:pPr>
                    <w:pStyle w:val="12"/>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0.31</w:t>
                  </w:r>
                </w:p>
              </w:tc>
              <w:tc>
                <w:tcPr>
                  <w:tcW w:w="501" w:type="pct"/>
                  <w:noWrap w:val="0"/>
                  <w:vAlign w:val="center"/>
                </w:tcPr>
                <w:p>
                  <w:pPr>
                    <w:pStyle w:val="12"/>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586" w:type="pct"/>
                  <w:vMerge w:val="restart"/>
                  <w:noWrap w:val="0"/>
                  <w:vAlign w:val="center"/>
                </w:tcPr>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周界外浓度</w:t>
                  </w:r>
                </w:p>
                <w:p>
                  <w:pPr>
                    <w:keepNext w:val="0"/>
                    <w:keepLines w:val="0"/>
                    <w:widowControl/>
                    <w:suppressLineNumbers w:val="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最高点</w:t>
                  </w:r>
                </w:p>
              </w:tc>
              <w:tc>
                <w:tcPr>
                  <w:tcW w:w="750" w:type="pct"/>
                  <w:noWrap w:val="0"/>
                  <w:vAlign w:val="center"/>
                </w:tcPr>
                <w:p>
                  <w:pPr>
                    <w:keepNext w:val="0"/>
                    <w:keepLines w:val="0"/>
                    <w:widowControl/>
                    <w:suppressLineNumbers w:val="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0.24</w:t>
                  </w:r>
                </w:p>
              </w:tc>
              <w:tc>
                <w:tcPr>
                  <w:tcW w:w="1295" w:type="pct"/>
                  <w:vMerge w:val="restart"/>
                  <w:noWrap w:val="0"/>
                  <w:vAlign w:val="center"/>
                </w:tcPr>
                <w:p>
                  <w:pPr>
                    <w:pStyle w:val="12"/>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noWrap w:val="0"/>
                  <w:vAlign w:val="center"/>
                </w:tcPr>
                <w:p>
                  <w:pPr>
                    <w:pStyle w:val="41"/>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750" w:type="pct"/>
                  <w:noWrap w:val="0"/>
                  <w:vAlign w:val="center"/>
                </w:tcPr>
                <w:p>
                  <w:pPr>
                    <w:pStyle w:val="12"/>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120</w:t>
                  </w:r>
                </w:p>
              </w:tc>
              <w:tc>
                <w:tcPr>
                  <w:tcW w:w="636" w:type="pct"/>
                  <w:noWrap w:val="0"/>
                  <w:vAlign w:val="center"/>
                </w:tcPr>
                <w:p>
                  <w:pPr>
                    <w:pStyle w:val="12"/>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3.5</w:t>
                  </w:r>
                </w:p>
              </w:tc>
              <w:tc>
                <w:tcPr>
                  <w:tcW w:w="501" w:type="pct"/>
                  <w:noWrap w:val="0"/>
                  <w:vAlign w:val="center"/>
                </w:tcPr>
                <w:p>
                  <w:pPr>
                    <w:pStyle w:val="12"/>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15</w:t>
                  </w:r>
                </w:p>
              </w:tc>
              <w:tc>
                <w:tcPr>
                  <w:tcW w:w="586"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750"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p>
              </w:tc>
              <w:tc>
                <w:tcPr>
                  <w:tcW w:w="1295" w:type="pct"/>
                  <w:vMerge w:val="continue"/>
                  <w:noWrap w:val="0"/>
                  <w:vAlign w:val="center"/>
                </w:tcPr>
                <w:p>
                  <w:pPr>
                    <w:pStyle w:val="12"/>
                    <w:spacing w:line="240" w:lineRule="auto"/>
                    <w:ind w:firstLine="0" w:firstLineChars="0"/>
                    <w:jc w:val="center"/>
                    <w:rPr>
                      <w:rFonts w:hint="default" w:ascii="Times New Roman" w:hAnsi="Times New Roman" w:cs="Times New Roman"/>
                      <w:color w:val="auto"/>
                      <w:kern w:val="0"/>
                      <w:sz w:val="21"/>
                      <w:szCs w:val="21"/>
                      <w:highlight w:val="none"/>
                    </w:rPr>
                  </w:pPr>
                </w:p>
              </w:tc>
            </w:tr>
          </w:tbl>
          <w:p>
            <w:pPr>
              <w:spacing w:before="120" w:beforeLines="50" w:line="360" w:lineRule="auto"/>
              <w:ind w:firstLine="480" w:firstLineChars="200"/>
              <w:rPr>
                <w:rFonts w:hint="default" w:ascii="Times New Roman" w:hAnsi="Times New Roman" w:cs="Times New Roman"/>
                <w:b w:val="0"/>
                <w:bCs w:val="0"/>
                <w:color w:val="auto"/>
                <w:sz w:val="24"/>
                <w:szCs w:val="32"/>
                <w:highlight w:val="none"/>
              </w:rPr>
            </w:pPr>
            <w:r>
              <w:rPr>
                <w:rFonts w:hint="default" w:ascii="Times New Roman" w:hAnsi="Times New Roman" w:cs="Times New Roman"/>
                <w:b w:val="0"/>
                <w:bCs w:val="0"/>
                <w:color w:val="auto"/>
                <w:sz w:val="24"/>
                <w:szCs w:val="32"/>
                <w:highlight w:val="none"/>
              </w:rPr>
              <w:t>本项目</w:t>
            </w:r>
            <w:r>
              <w:rPr>
                <w:rFonts w:hint="default" w:ascii="Times New Roman" w:hAnsi="Times New Roman" w:cs="Times New Roman"/>
                <w:b w:val="0"/>
                <w:bCs w:val="0"/>
                <w:color w:val="auto"/>
                <w:sz w:val="24"/>
                <w:szCs w:val="32"/>
                <w:highlight w:val="none"/>
                <w:lang w:val="en-US" w:eastAsia="zh-CN"/>
              </w:rPr>
              <w:t>运营期</w:t>
            </w:r>
            <w:r>
              <w:rPr>
                <w:rFonts w:hint="default" w:ascii="Times New Roman" w:hAnsi="Times New Roman" w:cs="Times New Roman"/>
                <w:b w:val="0"/>
                <w:bCs w:val="0"/>
                <w:color w:val="auto"/>
                <w:sz w:val="24"/>
                <w:szCs w:val="32"/>
                <w:highlight w:val="none"/>
              </w:rPr>
              <w:t>大气挥发性有机物执行《四川省固定污染源大气挥发性有机物排放标准》（DB51/2377-2017）中表3第二阶段排气筒挥发性有机物排放限值（常规控制污染物项目）和表5无组织排放监控浓度限值（常规控制污染物项目），具体见下表。</w:t>
            </w:r>
          </w:p>
          <w:p>
            <w:pPr>
              <w:spacing w:before="120" w:beforeLines="50"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《四川省固定污染源大气挥发性有机物排放标准》（DB51/2377-2017）表3挥发性有机物排放限值</w:t>
            </w:r>
            <w:r>
              <w:rPr>
                <w:rFonts w:hint="default" w:ascii="Times New Roman" w:hAnsi="Times New Roman" w:cs="Times New Roman"/>
                <w:b/>
                <w:color w:val="auto"/>
                <w:kern w:val="2"/>
                <w:sz w:val="21"/>
                <w:szCs w:val="21"/>
                <w:highlight w:val="none"/>
              </w:rPr>
              <w:t>(摘录)</w:t>
            </w:r>
            <w:r>
              <w:rPr>
                <w:rFonts w:hint="default" w:ascii="Times New Roman" w:hAnsi="Times New Roman" w:cs="Times New Roman"/>
                <w:b/>
                <w:color w:val="auto"/>
                <w:kern w:val="2"/>
                <w:sz w:val="21"/>
                <w:szCs w:val="21"/>
                <w:highlight w:val="none"/>
                <w:lang w:val="en-US" w:eastAsia="zh-CN"/>
              </w:rPr>
              <w:t xml:space="preserve">    </w:t>
            </w:r>
            <w:r>
              <w:rPr>
                <w:rFonts w:hint="default" w:ascii="Times New Roman" w:hAnsi="Times New Roman" w:cs="Times New Roman"/>
                <w:b/>
                <w:color w:val="auto"/>
                <w:kern w:val="2"/>
                <w:sz w:val="21"/>
                <w:szCs w:val="21"/>
                <w:highlight w:val="none"/>
              </w:rPr>
              <w:t>单位:</w:t>
            </w: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95"/>
              <w:gridCol w:w="1541"/>
              <w:gridCol w:w="1775"/>
              <w:gridCol w:w="29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1166" w:type="pct"/>
                  <w:vMerge w:val="restar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行业名称</w:t>
                  </w:r>
                </w:p>
              </w:tc>
              <w:tc>
                <w:tcPr>
                  <w:tcW w:w="948" w:type="pct"/>
                  <w:vMerge w:val="restart"/>
                  <w:tcBorders>
                    <w:tl2br w:val="nil"/>
                    <w:tr2bl w:val="nil"/>
                  </w:tcBorders>
                  <w:noWrap w:val="0"/>
                  <w:vAlign w:val="center"/>
                </w:tcPr>
                <w:p>
                  <w:pPr>
                    <w:keepNext w:val="0"/>
                    <w:keepLines w:val="0"/>
                    <w:widowControl/>
                    <w:suppressLineNumbers w:val="0"/>
                    <w:spacing w:before="120" w:beforeLines="50" w:line="240" w:lineRule="auto"/>
                    <w:jc w:val="both"/>
                    <w:rPr>
                      <w:rFonts w:hint="default" w:ascii="Times New Roman" w:hAnsi="Times New Roman" w:eastAsia="宋体" w:cs="Times New Roman"/>
                      <w:b/>
                      <w:bCs/>
                      <w:color w:val="auto"/>
                      <w:sz w:val="21"/>
                      <w:szCs w:val="21"/>
                      <w:highlight w:val="none"/>
                      <w:vertAlign w:val="baseline"/>
                      <w:lang w:val="en-US"/>
                    </w:rPr>
                  </w:pPr>
                  <w:r>
                    <w:rPr>
                      <w:rFonts w:hint="default" w:ascii="Times New Roman" w:hAnsi="Times New Roman" w:eastAsia="宋体" w:cs="Times New Roman"/>
                      <w:b/>
                      <w:bCs/>
                      <w:color w:val="auto"/>
                      <w:kern w:val="0"/>
                      <w:sz w:val="21"/>
                      <w:szCs w:val="21"/>
                      <w:highlight w:val="none"/>
                      <w:lang w:val="en-US" w:eastAsia="zh-CN" w:bidi="ar"/>
                    </w:rPr>
                    <w:t>污染物项目</w:t>
                  </w:r>
                </w:p>
              </w:tc>
              <w:tc>
                <w:tcPr>
                  <w:tcW w:w="1092" w:type="pct"/>
                  <w:vMerge w:val="restart"/>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最高允许排放浓度（mg/m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1793"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与排气筒高度对应的最高允许排放速率（kg/h）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166" w:type="pct"/>
                  <w:vMerge w:val="continue"/>
                  <w:tcBorders>
                    <w:tl2br w:val="nil"/>
                    <w:tr2bl w:val="nil"/>
                  </w:tcBorders>
                  <w:noWrap w:val="0"/>
                  <w:vAlign w:val="center"/>
                </w:tcPr>
                <w:p>
                  <w:pPr>
                    <w:spacing w:before="120" w:beforeLines="50" w:line="360" w:lineRule="auto"/>
                    <w:jc w:val="center"/>
                    <w:rPr>
                      <w:rFonts w:hint="default" w:ascii="Times New Roman" w:hAnsi="Times New Roman" w:eastAsia="宋体" w:cs="Times New Roman"/>
                      <w:color w:val="auto"/>
                      <w:sz w:val="21"/>
                      <w:szCs w:val="21"/>
                      <w:highlight w:val="none"/>
                    </w:rPr>
                  </w:pPr>
                </w:p>
              </w:tc>
              <w:tc>
                <w:tcPr>
                  <w:tcW w:w="948" w:type="pct"/>
                  <w:vMerge w:val="continue"/>
                  <w:tcBorders>
                    <w:tl2br w:val="nil"/>
                    <w:tr2bl w:val="nil"/>
                  </w:tcBorders>
                  <w:noWrap w:val="0"/>
                  <w:vAlign w:val="center"/>
                </w:tcPr>
                <w:p>
                  <w:pPr>
                    <w:spacing w:before="120" w:beforeLines="50" w:line="360" w:lineRule="auto"/>
                    <w:jc w:val="both"/>
                    <w:rPr>
                      <w:rFonts w:hint="default" w:ascii="Times New Roman" w:hAnsi="Times New Roman" w:eastAsia="宋体" w:cs="Times New Roman"/>
                      <w:color w:val="auto"/>
                      <w:sz w:val="21"/>
                      <w:szCs w:val="21"/>
                      <w:highlight w:val="none"/>
                    </w:rPr>
                  </w:pPr>
                </w:p>
              </w:tc>
              <w:tc>
                <w:tcPr>
                  <w:tcW w:w="1092" w:type="pct"/>
                  <w:vMerge w:val="continue"/>
                  <w:tcBorders>
                    <w:tl2br w:val="nil"/>
                    <w:tr2bl w:val="nil"/>
                  </w:tcBorders>
                  <w:noWrap w:val="0"/>
                  <w:vAlign w:val="center"/>
                </w:tcPr>
                <w:p>
                  <w:pPr>
                    <w:spacing w:before="120" w:beforeLines="50" w:line="360" w:lineRule="auto"/>
                    <w:jc w:val="both"/>
                    <w:rPr>
                      <w:rFonts w:hint="default" w:ascii="Times New Roman" w:hAnsi="Times New Roman" w:eastAsia="宋体" w:cs="Times New Roman"/>
                      <w:color w:val="auto"/>
                      <w:sz w:val="21"/>
                      <w:szCs w:val="21"/>
                      <w:highlight w:val="none"/>
                    </w:rPr>
                  </w:pPr>
                </w:p>
              </w:tc>
              <w:tc>
                <w:tcPr>
                  <w:tcW w:w="1793"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15m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6" w:type="pct"/>
                  <w:vMerge w:val="restart"/>
                  <w:tcBorders>
                    <w:tl2br w:val="nil"/>
                    <w:tr2bl w:val="nil"/>
                  </w:tcBorders>
                  <w:noWrap w:val="0"/>
                  <w:vAlign w:val="center"/>
                </w:tcPr>
                <w:p>
                  <w:pPr>
                    <w:spacing w:before="120" w:beforeLines="50" w:line="240" w:lineRule="auto"/>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电子产品制造</w:t>
                  </w:r>
                </w:p>
                <w:p>
                  <w:pPr>
                    <w:spacing w:before="120" w:beforeLines="50" w:line="360" w:lineRule="auto"/>
                    <w:jc w:val="center"/>
                    <w:rPr>
                      <w:rFonts w:hint="eastAsia" w:ascii="Times New Roman" w:hAnsi="Times New Roman" w:eastAsia="宋体" w:cs="Times New Roman"/>
                      <w:b/>
                      <w:bCs/>
                      <w:color w:val="auto"/>
                      <w:sz w:val="21"/>
                      <w:szCs w:val="21"/>
                      <w:highlight w:val="none"/>
                      <w:vertAlign w:val="baseline"/>
                      <w:lang w:val="en-US" w:eastAsia="zh-CN"/>
                    </w:rPr>
                  </w:pPr>
                </w:p>
              </w:tc>
              <w:tc>
                <w:tcPr>
                  <w:tcW w:w="948"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VOCs</w:t>
                  </w:r>
                </w:p>
              </w:tc>
              <w:tc>
                <w:tcPr>
                  <w:tcW w:w="1092"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w:t>
                  </w:r>
                </w:p>
              </w:tc>
              <w:tc>
                <w:tcPr>
                  <w:tcW w:w="1793"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6" w:type="pct"/>
                  <w:vMerge w:val="continue"/>
                  <w:tcBorders>
                    <w:tl2br w:val="nil"/>
                    <w:tr2bl w:val="nil"/>
                  </w:tcBorders>
                  <w:noWrap w:val="0"/>
                  <w:vAlign w:val="center"/>
                </w:tcPr>
                <w:p>
                  <w:pPr>
                    <w:spacing w:before="120" w:beforeLines="50" w:line="360" w:lineRule="auto"/>
                    <w:jc w:val="both"/>
                    <w:rPr>
                      <w:rFonts w:hint="default" w:ascii="Times New Roman" w:hAnsi="Times New Roman" w:eastAsia="宋体" w:cs="Times New Roman"/>
                      <w:b/>
                      <w:bCs/>
                      <w:color w:val="auto"/>
                      <w:sz w:val="21"/>
                      <w:szCs w:val="21"/>
                      <w:highlight w:val="none"/>
                      <w:vertAlign w:val="baseline"/>
                    </w:rPr>
                  </w:pPr>
                </w:p>
              </w:tc>
              <w:tc>
                <w:tcPr>
                  <w:tcW w:w="948"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二甲苯</w:t>
                  </w:r>
                </w:p>
              </w:tc>
              <w:tc>
                <w:tcPr>
                  <w:tcW w:w="1092"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12</w:t>
                  </w:r>
                </w:p>
              </w:tc>
              <w:tc>
                <w:tcPr>
                  <w:tcW w:w="1793"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6" w:type="pct"/>
                  <w:vMerge w:val="continue"/>
                  <w:tcBorders>
                    <w:tl2br w:val="nil"/>
                    <w:tr2bl w:val="nil"/>
                  </w:tcBorders>
                  <w:noWrap w:val="0"/>
                  <w:vAlign w:val="center"/>
                </w:tcPr>
                <w:p>
                  <w:pPr>
                    <w:spacing w:before="120" w:beforeLines="50" w:line="360" w:lineRule="auto"/>
                    <w:jc w:val="center"/>
                    <w:rPr>
                      <w:rFonts w:hint="eastAsia" w:ascii="Times New Roman" w:hAnsi="Times New Roman" w:eastAsia="宋体" w:cs="Times New Roman"/>
                      <w:b/>
                      <w:bCs/>
                      <w:color w:val="auto"/>
                      <w:sz w:val="21"/>
                      <w:szCs w:val="21"/>
                      <w:highlight w:val="none"/>
                      <w:vertAlign w:val="baseline"/>
                      <w:lang w:val="en-US" w:eastAsia="zh-CN"/>
                    </w:rPr>
                  </w:pPr>
                </w:p>
              </w:tc>
              <w:tc>
                <w:tcPr>
                  <w:tcW w:w="948"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异丙醇</w:t>
                  </w:r>
                </w:p>
              </w:tc>
              <w:tc>
                <w:tcPr>
                  <w:tcW w:w="1092"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40</w:t>
                  </w:r>
                </w:p>
              </w:tc>
              <w:tc>
                <w:tcPr>
                  <w:tcW w:w="1793" w:type="pct"/>
                  <w:tcBorders>
                    <w:tl2br w:val="nil"/>
                    <w:tr2bl w:val="nil"/>
                  </w:tcBorders>
                  <w:noWrap w:val="0"/>
                  <w:vAlign w:val="center"/>
                </w:tcPr>
                <w:p>
                  <w:pPr>
                    <w:spacing w:before="120" w:beforeLines="50" w:line="36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1.7</w:t>
                  </w:r>
                </w:p>
              </w:tc>
            </w:tr>
          </w:tbl>
          <w:p>
            <w:pPr>
              <w:spacing w:before="120" w:beforeLines="50" w:line="36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7</w:t>
            </w:r>
            <w:r>
              <w:rPr>
                <w:rFonts w:hint="default" w:ascii="Times New Roman" w:hAnsi="Times New Roman" w:cs="Times New Roman"/>
                <w:b/>
                <w:bCs/>
                <w:color w:val="auto"/>
                <w:highlight w:val="none"/>
              </w:rPr>
              <w:t xml:space="preserve"> 《四川省固定污染源大气挥发性有机物排放标准》（DB51/2377-2017）表5无组织排放监控浓度限值</w:t>
            </w:r>
            <w:r>
              <w:rPr>
                <w:rFonts w:hint="default" w:ascii="Times New Roman" w:hAnsi="Times New Roman" w:cs="Times New Roman"/>
                <w:b/>
                <w:color w:val="auto"/>
                <w:kern w:val="2"/>
                <w:sz w:val="21"/>
                <w:szCs w:val="21"/>
                <w:highlight w:val="none"/>
              </w:rPr>
              <w:t>(摘录)</w:t>
            </w:r>
            <w:r>
              <w:rPr>
                <w:rFonts w:hint="default" w:ascii="Times New Roman" w:hAnsi="Times New Roman" w:cs="Times New Roman"/>
                <w:b/>
                <w:color w:val="auto"/>
                <w:kern w:val="2"/>
                <w:sz w:val="21"/>
                <w:szCs w:val="21"/>
                <w:highlight w:val="none"/>
                <w:lang w:val="en-US" w:eastAsia="zh-CN"/>
              </w:rPr>
              <w:t xml:space="preserve">    </w:t>
            </w:r>
            <w:r>
              <w:rPr>
                <w:rFonts w:hint="default" w:ascii="Times New Roman" w:hAnsi="Times New Roman" w:cs="Times New Roman"/>
                <w:b/>
                <w:color w:val="auto"/>
                <w:kern w:val="2"/>
                <w:sz w:val="21"/>
                <w:szCs w:val="21"/>
                <w:highlight w:val="none"/>
              </w:rPr>
              <w:t>单位:</w:t>
            </w: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p>
          <w:tbl>
            <w:tblPr>
              <w:tblStyle w:val="20"/>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64"/>
              <w:gridCol w:w="4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00" w:type="pct"/>
                  <w:vMerge w:val="restart"/>
                  <w:tcBorders>
                    <w:tl2br w:val="nil"/>
                    <w:tr2bl w:val="nil"/>
                  </w:tcBorders>
                  <w:noWrap w:val="0"/>
                  <w:vAlign w:val="center"/>
                </w:tcPr>
                <w:p>
                  <w:pPr>
                    <w:keepNext w:val="0"/>
                    <w:keepLines w:val="0"/>
                    <w:widowControl/>
                    <w:numPr>
                      <w:ilvl w:val="0"/>
                      <w:numId w:val="0"/>
                    </w:numPr>
                    <w:suppressLineNumbers w:val="0"/>
                    <w:spacing w:before="120" w:beforeLines="50" w:line="240" w:lineRule="auto"/>
                    <w:ind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污染物名称</w:t>
                  </w:r>
                </w:p>
              </w:tc>
              <w:tc>
                <w:tcPr>
                  <w:tcW w:w="2500" w:type="pct"/>
                  <w:tcBorders>
                    <w:tl2br w:val="nil"/>
                    <w:tr2bl w:val="nil"/>
                  </w:tcBorders>
                  <w:noWrap w:val="0"/>
                  <w:vAlign w:val="center"/>
                </w:tcPr>
                <w:p>
                  <w:pPr>
                    <w:keepNext w:val="0"/>
                    <w:keepLines w:val="0"/>
                    <w:widowControl/>
                    <w:numPr>
                      <w:ilvl w:val="0"/>
                      <w:numId w:val="0"/>
                    </w:numPr>
                    <w:suppressLineNumbers w:val="0"/>
                    <w:spacing w:before="120" w:beforeLines="50" w:line="240" w:lineRule="auto"/>
                    <w:ind w:left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无组织排放浓度（mg/m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00" w:type="pct"/>
                  <w:vMerge w:val="continue"/>
                  <w:tcBorders>
                    <w:tl2br w:val="nil"/>
                    <w:tr2bl w:val="nil"/>
                  </w:tcBorders>
                  <w:noWrap w:val="0"/>
                  <w:vAlign w:val="center"/>
                </w:tcPr>
                <w:p>
                  <w:pPr>
                    <w:spacing w:before="120" w:beforeLines="50" w:line="240" w:lineRule="auto"/>
                    <w:jc w:val="center"/>
                    <w:rPr>
                      <w:rFonts w:hint="default" w:ascii="Times New Roman" w:hAnsi="Times New Roman" w:eastAsia="宋体" w:cs="Times New Roman"/>
                      <w:b/>
                      <w:bCs/>
                      <w:color w:val="auto"/>
                      <w:sz w:val="21"/>
                      <w:szCs w:val="21"/>
                      <w:highlight w:val="none"/>
                      <w:vertAlign w:val="baseline"/>
                    </w:rPr>
                  </w:pPr>
                </w:p>
              </w:tc>
              <w:tc>
                <w:tcPr>
                  <w:tcW w:w="2500" w:type="pct"/>
                  <w:tcBorders>
                    <w:tl2br w:val="nil"/>
                    <w:tr2bl w:val="nil"/>
                  </w:tcBorders>
                  <w:noWrap w:val="0"/>
                  <w:vAlign w:val="center"/>
                </w:tcPr>
                <w:p>
                  <w:pPr>
                    <w:keepNext w:val="0"/>
                    <w:keepLines w:val="0"/>
                    <w:widowControl/>
                    <w:numPr>
                      <w:ilvl w:val="0"/>
                      <w:numId w:val="0"/>
                    </w:numPr>
                    <w:suppressLineNumbers w:val="0"/>
                    <w:spacing w:before="120" w:beforeLines="50" w:line="240" w:lineRule="auto"/>
                    <w:ind w:leftChars="0"/>
                    <w:jc w:val="center"/>
                    <w:rPr>
                      <w:rFonts w:hint="default" w:ascii="Times New Roman" w:hAnsi="Times New Roman" w:eastAsia="宋体" w:cs="Times New Roman"/>
                      <w:b/>
                      <w:bCs/>
                      <w:color w:val="auto"/>
                      <w:sz w:val="21"/>
                      <w:szCs w:val="21"/>
                      <w:highlight w:val="none"/>
                      <w:vertAlign w:val="baseline"/>
                      <w:lang w:val="en-US"/>
                    </w:rPr>
                  </w:pPr>
                  <w:r>
                    <w:rPr>
                      <w:rFonts w:hint="default" w:ascii="Times New Roman" w:hAnsi="Times New Roman" w:eastAsia="宋体" w:cs="Times New Roman"/>
                      <w:b/>
                      <w:bCs/>
                      <w:color w:val="auto"/>
                      <w:kern w:val="0"/>
                      <w:sz w:val="21"/>
                      <w:szCs w:val="21"/>
                      <w:highlight w:val="none"/>
                      <w:lang w:val="en-US" w:eastAsia="zh-CN" w:bidi="ar"/>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00" w:type="pct"/>
                  <w:tcBorders>
                    <w:tl2br w:val="nil"/>
                    <w:tr2bl w:val="nil"/>
                  </w:tcBorders>
                  <w:noWrap w:val="0"/>
                  <w:vAlign w:val="center"/>
                </w:tcPr>
                <w:p>
                  <w:pPr>
                    <w:spacing w:before="120" w:beforeLines="50" w:line="240" w:lineRule="auto"/>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VOCs</w:t>
                  </w:r>
                </w:p>
              </w:tc>
              <w:tc>
                <w:tcPr>
                  <w:tcW w:w="2500" w:type="pct"/>
                  <w:tcBorders>
                    <w:tl2br w:val="nil"/>
                    <w:tr2bl w:val="nil"/>
                  </w:tcBorders>
                  <w:noWrap w:val="0"/>
                  <w:vAlign w:val="top"/>
                </w:tcPr>
                <w:p>
                  <w:pPr>
                    <w:spacing w:before="120" w:beforeLines="50" w:line="240" w:lineRule="auto"/>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00" w:type="pct"/>
                  <w:tcBorders>
                    <w:tl2br w:val="nil"/>
                    <w:tr2bl w:val="nil"/>
                  </w:tcBorders>
                  <w:noWrap w:val="0"/>
                  <w:vAlign w:val="center"/>
                </w:tcPr>
                <w:p>
                  <w:pPr>
                    <w:spacing w:before="120" w:beforeLines="50" w:line="240" w:lineRule="auto"/>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二甲苯</w:t>
                  </w:r>
                </w:p>
              </w:tc>
              <w:tc>
                <w:tcPr>
                  <w:tcW w:w="2500" w:type="pct"/>
                  <w:tcBorders>
                    <w:tl2br w:val="nil"/>
                    <w:tr2bl w:val="nil"/>
                  </w:tcBorders>
                  <w:noWrap w:val="0"/>
                  <w:vAlign w:val="top"/>
                </w:tcPr>
                <w:p>
                  <w:pPr>
                    <w:spacing w:before="120" w:beforeLines="50" w:line="240" w:lineRule="auto"/>
                    <w:jc w:val="center"/>
                    <w:rPr>
                      <w:rFonts w:hint="default" w:ascii="Times New Roman" w:hAnsi="Times New Roman" w:eastAsia="宋体"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00" w:type="pct"/>
                  <w:tcBorders>
                    <w:tl2br w:val="nil"/>
                    <w:tr2bl w:val="nil"/>
                  </w:tcBorders>
                  <w:noWrap w:val="0"/>
                  <w:vAlign w:val="center"/>
                </w:tcPr>
                <w:p>
                  <w:pPr>
                    <w:spacing w:before="120" w:beforeLines="50"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异丙醇</w:t>
                  </w:r>
                </w:p>
              </w:tc>
              <w:tc>
                <w:tcPr>
                  <w:tcW w:w="2500" w:type="pct"/>
                  <w:tcBorders>
                    <w:tl2br w:val="nil"/>
                    <w:tr2bl w:val="nil"/>
                  </w:tcBorders>
                  <w:noWrap w:val="0"/>
                  <w:vAlign w:val="top"/>
                </w:tcPr>
                <w:p>
                  <w:pPr>
                    <w:spacing w:before="120" w:beforeLines="50" w:line="240" w:lineRule="auto"/>
                    <w:jc w:val="center"/>
                    <w:rPr>
                      <w:rFonts w:hint="default" w:ascii="Times New Roman" w:hAnsi="Times New Roman" w:cs="Times New Roman"/>
                      <w:b w:val="0"/>
                      <w:bCs w:val="0"/>
                      <w:color w:val="auto"/>
                      <w:highlight w:val="none"/>
                      <w:vertAlign w:val="baseline"/>
                      <w:lang w:val="en-US" w:eastAsia="zh-CN"/>
                    </w:rPr>
                  </w:pPr>
                  <w:r>
                    <w:rPr>
                      <w:rFonts w:hint="eastAsia" w:cs="Times New Roman"/>
                      <w:b w:val="0"/>
                      <w:bCs w:val="0"/>
                      <w:color w:val="auto"/>
                      <w:highlight w:val="none"/>
                      <w:vertAlign w:val="baseline"/>
                      <w:lang w:val="en-US" w:eastAsia="zh-CN"/>
                    </w:rPr>
                    <w:t>1.0</w:t>
                  </w:r>
                </w:p>
              </w:tc>
            </w:tr>
          </w:tbl>
          <w:p>
            <w:pPr>
              <w:pStyle w:val="46"/>
              <w:spacing w:line="276" w:lineRule="auto"/>
              <w:ind w:left="0" w:leftChars="0" w:firstLine="0" w:firstLineChars="0"/>
              <w:jc w:val="both"/>
              <w:rPr>
                <w:rFonts w:hint="default" w:ascii="Times New Roman" w:hAnsi="Times New Roman" w:eastAsia="宋体" w:cs="Times New Roman"/>
                <w:b w:val="0"/>
                <w:bCs w:val="0"/>
                <w:color w:val="auto"/>
                <w:kern w:val="2"/>
                <w:sz w:val="24"/>
                <w:szCs w:val="32"/>
                <w:highlight w:val="none"/>
                <w:lang w:val="en-US" w:eastAsia="zh-CN" w:bidi="ar-SA"/>
              </w:rPr>
            </w:pPr>
          </w:p>
          <w:p>
            <w:pPr>
              <w:pStyle w:val="46"/>
              <w:spacing w:line="276" w:lineRule="auto"/>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val="0"/>
                <w:bCs w:val="0"/>
                <w:color w:val="auto"/>
                <w:kern w:val="2"/>
                <w:sz w:val="24"/>
                <w:szCs w:val="32"/>
                <w:highlight w:val="none"/>
                <w:lang w:val="en-US" w:eastAsia="zh-CN" w:bidi="ar-SA"/>
              </w:rPr>
              <w:t>企业厂区内 VOCs 无组织排放应执行《挥发性有机物无组织排放控制标准》（GB 37822—2019）中的限值，具体见下表。</w:t>
            </w:r>
          </w:p>
          <w:p>
            <w:pPr>
              <w:spacing w:before="120" w:beforeLines="50" w:line="36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w:t>
            </w:r>
            <w:r>
              <w:rPr>
                <w:rFonts w:hint="eastAsia"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 xml:space="preserve">厂区内 VOCs 无组织排放限值（摘录）   </w:t>
            </w:r>
            <w:r>
              <w:rPr>
                <w:rFonts w:hint="default" w:ascii="Times New Roman" w:hAnsi="Times New Roman" w:eastAsia="宋体" w:cs="Times New Roman"/>
                <w:b/>
                <w:bCs/>
                <w:color w:val="auto"/>
                <w:highlight w:val="none"/>
              </w:rPr>
              <w:t>单位:mg/m</w:t>
            </w:r>
            <w:r>
              <w:rPr>
                <w:rFonts w:hint="default" w:ascii="Times New Roman" w:hAnsi="Times New Roman" w:eastAsia="宋体" w:cs="Times New Roman"/>
                <w:b/>
                <w:bCs/>
                <w:color w:val="auto"/>
                <w:highlight w:val="none"/>
                <w:vertAlign w:val="superscript"/>
              </w:rPr>
              <w:t>3</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6"/>
              <w:gridCol w:w="1193"/>
              <w:gridCol w:w="1525"/>
              <w:gridCol w:w="2457"/>
              <w:gridCol w:w="16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1" w:type="pct"/>
                  <w:tcBorders>
                    <w:tl2br w:val="nil"/>
                    <w:tr2bl w:val="nil"/>
                  </w:tcBorders>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73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排放限值</w:t>
                  </w:r>
                </w:p>
              </w:tc>
              <w:tc>
                <w:tcPr>
                  <w:tcW w:w="938" w:type="pct"/>
                  <w:tcBorders>
                    <w:tl2br w:val="nil"/>
                    <w:tr2bl w:val="nil"/>
                  </w:tcBorders>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特别排放限值</w:t>
                  </w:r>
                </w:p>
              </w:tc>
              <w:tc>
                <w:tcPr>
                  <w:tcW w:w="1511"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限值含义</w:t>
                  </w:r>
                </w:p>
              </w:tc>
              <w:tc>
                <w:tcPr>
                  <w:tcW w:w="102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无组织排放监控</w:t>
                  </w:r>
                  <w:r>
                    <w:rPr>
                      <w:rFonts w:hint="default" w:ascii="Times New Roman" w:hAnsi="Times New Roman" w:cs="Times New Roman"/>
                      <w:color w:val="auto"/>
                      <w:sz w:val="21"/>
                      <w:szCs w:val="21"/>
                      <w:highlight w:val="none"/>
                      <w:lang w:eastAsia="zh-CN"/>
                    </w:rPr>
                    <w:t>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1" w:type="pct"/>
                  <w:vMerge w:val="restar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NMHC</w:t>
                  </w:r>
                </w:p>
              </w:tc>
              <w:tc>
                <w:tcPr>
                  <w:tcW w:w="73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938"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511"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监控点处</w:t>
                  </w:r>
                  <w:r>
                    <w:rPr>
                      <w:rFonts w:hint="default" w:ascii="Times New Roman" w:hAnsi="Times New Roman" w:cs="Times New Roman"/>
                      <w:color w:val="auto"/>
                      <w:sz w:val="21"/>
                      <w:szCs w:val="21"/>
                      <w:highlight w:val="none"/>
                      <w:lang w:val="en-US" w:eastAsia="zh-CN"/>
                    </w:rPr>
                    <w:t>1h平均浓度</w:t>
                  </w:r>
                </w:p>
              </w:tc>
              <w:tc>
                <w:tcPr>
                  <w:tcW w:w="1024" w:type="pct"/>
                  <w:vMerge w:val="restar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1" w:type="pct"/>
                  <w:vMerge w:val="continue"/>
                  <w:tcBorders>
                    <w:tl2br w:val="nil"/>
                    <w:tr2bl w:val="nil"/>
                  </w:tcBorders>
                  <w:noWrap w:val="0"/>
                  <w:vAlign w:val="center"/>
                </w:tcPr>
                <w:p>
                  <w:pPr>
                    <w:snapToGrid w:val="0"/>
                    <w:jc w:val="center"/>
                    <w:rPr>
                      <w:rFonts w:hint="default" w:ascii="Times New Roman" w:hAnsi="Times New Roman" w:cs="Times New Roman"/>
                      <w:color w:val="auto"/>
                      <w:sz w:val="21"/>
                      <w:szCs w:val="21"/>
                      <w:highlight w:val="none"/>
                    </w:rPr>
                  </w:pPr>
                </w:p>
              </w:tc>
              <w:tc>
                <w:tcPr>
                  <w:tcW w:w="73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938"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1511"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监控点处任意一次浓度值</w:t>
                  </w:r>
                </w:p>
              </w:tc>
              <w:tc>
                <w:tcPr>
                  <w:tcW w:w="1024" w:type="pct"/>
                  <w:vMerge w:val="continue"/>
                  <w:tcBorders>
                    <w:tl2br w:val="nil"/>
                    <w:tr2bl w:val="nil"/>
                  </w:tcBorders>
                  <w:noWrap w:val="0"/>
                  <w:vAlign w:val="center"/>
                </w:tcPr>
                <w:p>
                  <w:pPr>
                    <w:snapToGrid w:val="0"/>
                    <w:jc w:val="center"/>
                    <w:rPr>
                      <w:rFonts w:hint="default" w:ascii="Times New Roman" w:hAnsi="Times New Roman" w:cs="Times New Roman"/>
                      <w:color w:val="auto"/>
                      <w:sz w:val="21"/>
                      <w:szCs w:val="21"/>
                      <w:highlight w:val="none"/>
                    </w:rPr>
                  </w:pPr>
                </w:p>
              </w:tc>
            </w:tr>
          </w:tbl>
          <w:p>
            <w:pPr>
              <w:spacing w:before="120" w:beforeLines="50" w:line="360" w:lineRule="auto"/>
              <w:rPr>
                <w:rFonts w:hint="default" w:ascii="Times New Roman" w:hAnsi="Times New Roman" w:eastAsia="宋体" w:cs="Times New Roman"/>
                <w:b/>
                <w:bCs/>
                <w:color w:val="auto"/>
                <w:kern w:val="2"/>
                <w:sz w:val="24"/>
                <w:szCs w:val="32"/>
                <w:highlight w:val="none"/>
                <w:lang w:val="en-US" w:eastAsia="zh-CN" w:bidi="ar-SA"/>
              </w:rPr>
            </w:pPr>
            <w:r>
              <w:rPr>
                <w:rFonts w:hint="default" w:ascii="Times New Roman" w:hAnsi="Times New Roman" w:eastAsia="宋体" w:cs="Times New Roman"/>
                <w:b/>
                <w:bCs/>
                <w:color w:val="auto"/>
                <w:kern w:val="2"/>
                <w:sz w:val="24"/>
                <w:szCs w:val="32"/>
                <w:highlight w:val="none"/>
                <w:lang w:val="en-US" w:eastAsia="zh-CN" w:bidi="ar-SA"/>
              </w:rPr>
              <w:t>二、废水污染物</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本项目</w:t>
            </w:r>
            <w:r>
              <w:rPr>
                <w:rFonts w:hint="default" w:ascii="Times New Roman" w:hAnsi="Times New Roman" w:cs="Times New Roman"/>
                <w:color w:val="auto"/>
                <w:kern w:val="0"/>
                <w:sz w:val="24"/>
                <w:highlight w:val="none"/>
                <w:lang w:eastAsia="zh-CN" w:bidi="ar"/>
              </w:rPr>
              <w:t>厂区预处理池排口执行</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污水综合排放标准》（GB8978-1996）中的三级排放标准后排入市政污水管网</w:t>
            </w:r>
            <w:r>
              <w:rPr>
                <w:rFonts w:hint="default" w:ascii="Times New Roman" w:hAnsi="Times New Roman" w:eastAsia="宋体" w:cs="Times New Roman"/>
                <w:color w:val="auto"/>
                <w:sz w:val="24"/>
                <w:highlight w:val="none"/>
                <w:lang w:val="en-US" w:eastAsia="zh-CN"/>
              </w:rPr>
              <w:t>。</w:t>
            </w:r>
          </w:p>
          <w:p>
            <w:pPr>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表3-</w:t>
            </w:r>
            <w:r>
              <w:rPr>
                <w:rFonts w:hint="eastAsia" w:cs="Times New Roman"/>
                <w:b/>
                <w:color w:val="auto"/>
                <w:szCs w:val="21"/>
                <w:highlight w:val="none"/>
                <w:lang w:val="en-US" w:eastAsia="zh-CN"/>
              </w:rPr>
              <w:t>9</w:t>
            </w:r>
            <w:r>
              <w:rPr>
                <w:rFonts w:hint="default" w:ascii="Times New Roman" w:hAnsi="Times New Roman" w:cs="Times New Roman"/>
                <w:b/>
                <w:color w:val="auto"/>
                <w:szCs w:val="21"/>
                <w:highlight w:val="none"/>
              </w:rPr>
              <w:t xml:space="preserve">  废水污染物最高允许排放浓度  单位：mg/L，pH无量纲</w:t>
            </w:r>
          </w:p>
          <w:tbl>
            <w:tblPr>
              <w:tblStyle w:val="1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834"/>
              <w:gridCol w:w="931"/>
              <w:gridCol w:w="881"/>
              <w:gridCol w:w="599"/>
              <w:gridCol w:w="599"/>
              <w:gridCol w:w="562"/>
              <w:gridCol w:w="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2"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评价标准</w:t>
                  </w:r>
                </w:p>
              </w:tc>
              <w:tc>
                <w:tcPr>
                  <w:tcW w:w="518"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pH</w:t>
                  </w:r>
                </w:p>
              </w:tc>
              <w:tc>
                <w:tcPr>
                  <w:tcW w:w="578" w:type="pct"/>
                  <w:noWrap w:val="0"/>
                  <w:vAlign w:val="center"/>
                </w:tcPr>
                <w:p>
                  <w:pPr>
                    <w:jc w:val="center"/>
                    <w:rPr>
                      <w:rFonts w:hint="default" w:ascii="Times New Roman" w:hAnsi="Times New Roman" w:cs="Times New Roman"/>
                      <w:b/>
                      <w:color w:val="auto"/>
                      <w:szCs w:val="21"/>
                      <w:highlight w:val="none"/>
                      <w:vertAlign w:val="subscript"/>
                    </w:rPr>
                  </w:pPr>
                  <w:r>
                    <w:rPr>
                      <w:rFonts w:hint="default" w:ascii="Times New Roman" w:hAnsi="Times New Roman" w:cs="Times New Roman"/>
                      <w:b/>
                      <w:color w:val="auto"/>
                      <w:szCs w:val="21"/>
                      <w:highlight w:val="none"/>
                    </w:rPr>
                    <w:t>COD</w:t>
                  </w:r>
                  <w:r>
                    <w:rPr>
                      <w:rFonts w:hint="default" w:ascii="Times New Roman" w:hAnsi="Times New Roman" w:cs="Times New Roman"/>
                      <w:b/>
                      <w:color w:val="auto"/>
                      <w:szCs w:val="21"/>
                      <w:highlight w:val="none"/>
                      <w:vertAlign w:val="subscript"/>
                    </w:rPr>
                    <w:t>cr</w:t>
                  </w:r>
                </w:p>
              </w:tc>
              <w:tc>
                <w:tcPr>
                  <w:tcW w:w="547" w:type="pct"/>
                  <w:noWrap w:val="0"/>
                  <w:vAlign w:val="center"/>
                </w:tcPr>
                <w:p>
                  <w:pPr>
                    <w:jc w:val="center"/>
                    <w:rPr>
                      <w:rFonts w:hint="default" w:ascii="Times New Roman" w:hAnsi="Times New Roman" w:cs="Times New Roman"/>
                      <w:b/>
                      <w:color w:val="auto"/>
                      <w:szCs w:val="21"/>
                      <w:highlight w:val="none"/>
                      <w:vertAlign w:val="subscript"/>
                    </w:rPr>
                  </w:pPr>
                  <w:r>
                    <w:rPr>
                      <w:rFonts w:hint="default" w:ascii="Times New Roman" w:hAnsi="Times New Roman" w:cs="Times New Roman"/>
                      <w:b/>
                      <w:color w:val="auto"/>
                      <w:szCs w:val="21"/>
                      <w:highlight w:val="none"/>
                    </w:rPr>
                    <w:t>BOD</w:t>
                  </w:r>
                  <w:r>
                    <w:rPr>
                      <w:rFonts w:hint="default" w:ascii="Times New Roman" w:hAnsi="Times New Roman" w:cs="Times New Roman"/>
                      <w:b/>
                      <w:color w:val="auto"/>
                      <w:szCs w:val="21"/>
                      <w:highlight w:val="none"/>
                      <w:vertAlign w:val="subscript"/>
                    </w:rPr>
                    <w:t>5</w:t>
                  </w:r>
                </w:p>
              </w:tc>
              <w:tc>
                <w:tcPr>
                  <w:tcW w:w="372"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SS</w:t>
                  </w:r>
                </w:p>
              </w:tc>
              <w:tc>
                <w:tcPr>
                  <w:tcW w:w="372"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TP</w:t>
                  </w:r>
                </w:p>
              </w:tc>
              <w:tc>
                <w:tcPr>
                  <w:tcW w:w="349"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氨氮</w:t>
                  </w:r>
                </w:p>
              </w:tc>
              <w:tc>
                <w:tcPr>
                  <w:tcW w:w="429"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2"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污水综合排放标准》（GB8978-1996）中的三级排放标准</w:t>
                  </w:r>
                </w:p>
              </w:tc>
              <w:tc>
                <w:tcPr>
                  <w:tcW w:w="518"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6～9</w:t>
                  </w:r>
                </w:p>
              </w:tc>
              <w:tc>
                <w:tcPr>
                  <w:tcW w:w="578"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500</w:t>
                  </w:r>
                </w:p>
              </w:tc>
              <w:tc>
                <w:tcPr>
                  <w:tcW w:w="547"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300</w:t>
                  </w:r>
                </w:p>
              </w:tc>
              <w:tc>
                <w:tcPr>
                  <w:tcW w:w="372"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400</w:t>
                  </w:r>
                </w:p>
              </w:tc>
              <w:tc>
                <w:tcPr>
                  <w:tcW w:w="372"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8</w:t>
                  </w:r>
                </w:p>
              </w:tc>
              <w:tc>
                <w:tcPr>
                  <w:tcW w:w="349"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45</w:t>
                  </w:r>
                </w:p>
              </w:tc>
              <w:tc>
                <w:tcPr>
                  <w:tcW w:w="429" w:type="pct"/>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20</w:t>
                  </w:r>
                </w:p>
              </w:tc>
            </w:tr>
          </w:tbl>
          <w:p>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Cs/>
                <w:color w:val="auto"/>
                <w:kern w:val="0"/>
                <w:szCs w:val="21"/>
                <w:highlight w:val="none"/>
              </w:rPr>
              <w:t>注：NH</w:t>
            </w:r>
            <w:r>
              <w:rPr>
                <w:rFonts w:hint="default" w:ascii="Times New Roman" w:hAnsi="Times New Roman" w:cs="Times New Roman"/>
                <w:bCs/>
                <w:color w:val="auto"/>
                <w:kern w:val="0"/>
                <w:szCs w:val="21"/>
                <w:highlight w:val="none"/>
                <w:vertAlign w:val="subscript"/>
              </w:rPr>
              <w:t>3</w:t>
            </w:r>
            <w:r>
              <w:rPr>
                <w:rFonts w:hint="default" w:ascii="Times New Roman" w:hAnsi="Times New Roman" w:cs="Times New Roman"/>
                <w:bCs/>
                <w:color w:val="auto"/>
                <w:kern w:val="0"/>
                <w:szCs w:val="21"/>
                <w:highlight w:val="none"/>
              </w:rPr>
              <w:t>-N、总磷在</w:t>
            </w:r>
            <w:r>
              <w:rPr>
                <w:rFonts w:hint="default" w:ascii="Times New Roman" w:hAnsi="Times New Roman" w:cs="Times New Roman"/>
                <w:bCs/>
                <w:color w:val="auto"/>
                <w:szCs w:val="21"/>
                <w:highlight w:val="none"/>
              </w:rPr>
              <w:t>《污水综合排放标准》（GB8978-1996）表4三级排放标准中未作规定，参照执行《污水排入城镇下水管道水质标准》（GB/T31962-2015）表1中B等级标准。</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三、噪声</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施工期噪声执行《建筑施工场界环境噪声排放标准》（GB12523-2011）的相关标准值。</w:t>
            </w:r>
          </w:p>
          <w:p>
            <w:pPr>
              <w:tabs>
                <w:tab w:val="left" w:pos="2592"/>
              </w:tabs>
              <w:ind w:firstLine="2319" w:firstLineChars="11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0</w:t>
            </w:r>
            <w:r>
              <w:rPr>
                <w:rFonts w:hint="default" w:ascii="Times New Roman" w:hAnsi="Times New Roman" w:cs="Times New Roman"/>
                <w:b/>
                <w:bCs/>
                <w:color w:val="auto"/>
                <w:highlight w:val="none"/>
              </w:rPr>
              <w:t xml:space="preserve">  施工期噪声排放限值    单位：dB（A）</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62"/>
              <w:gridCol w:w="4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noWrap w:val="0"/>
                  <w:vAlign w:val="center"/>
                </w:tcPr>
                <w:p>
                  <w:pPr>
                    <w:tabs>
                      <w:tab w:val="left" w:pos="2592"/>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2500" w:type="pct"/>
                  <w:noWrap w:val="0"/>
                  <w:vAlign w:val="center"/>
                </w:tcPr>
                <w:p>
                  <w:pPr>
                    <w:tabs>
                      <w:tab w:val="left" w:pos="2592"/>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9" w:type="pct"/>
                  <w:noWrap w:val="0"/>
                  <w:vAlign w:val="center"/>
                </w:tcPr>
                <w:p>
                  <w:pPr>
                    <w:tabs>
                      <w:tab w:val="left" w:pos="2592"/>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2500" w:type="pct"/>
                  <w:noWrap w:val="0"/>
                  <w:vAlign w:val="center"/>
                </w:tcPr>
                <w:p>
                  <w:pPr>
                    <w:tabs>
                      <w:tab w:val="left" w:pos="2592"/>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r>
          </w:tbl>
          <w:p>
            <w:pPr>
              <w:spacing w:before="120"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运营</w:t>
            </w:r>
            <w:r>
              <w:rPr>
                <w:rFonts w:hint="default" w:ascii="Times New Roman" w:hAnsi="Times New Roman" w:cs="Times New Roman"/>
                <w:color w:val="auto"/>
                <w:sz w:val="24"/>
                <w:highlight w:val="none"/>
              </w:rPr>
              <w:t>期厂界噪声执行《工业企业厂界噪声排放标准》（GB12348-2008）</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类标准，具体数值详见下表。</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工</w:t>
            </w:r>
            <w:r>
              <w:rPr>
                <w:rFonts w:hint="default" w:ascii="Times New Roman" w:hAnsi="Times New Roman" w:cs="Times New Roman"/>
                <w:b/>
                <w:bCs/>
                <w:color w:val="auto"/>
                <w:highlight w:val="none"/>
              </w:rPr>
              <w:t>业企业厂界噪声排放标准      单位：dB（A）</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78"/>
              <w:gridCol w:w="2541"/>
              <w:gridCol w:w="2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5" w:type="pct"/>
                  <w:noWrap w:val="0"/>
                  <w:vAlign w:val="center"/>
                </w:tcPr>
                <w:p>
                  <w:pPr>
                    <w:tabs>
                      <w:tab w:val="left" w:pos="2592"/>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c>
                <w:tcPr>
                  <w:tcW w:w="1563" w:type="pct"/>
                  <w:noWrap w:val="0"/>
                  <w:vAlign w:val="center"/>
                </w:tcPr>
                <w:p>
                  <w:pPr>
                    <w:tabs>
                      <w:tab w:val="left" w:pos="2592"/>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480" w:type="pct"/>
                  <w:noWrap w:val="0"/>
                  <w:vAlign w:val="center"/>
                </w:tcPr>
                <w:p>
                  <w:pPr>
                    <w:tabs>
                      <w:tab w:val="left" w:pos="2592"/>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5" w:type="pct"/>
                  <w:noWrap w:val="0"/>
                  <w:vAlign w:val="center"/>
                </w:tcPr>
                <w:p>
                  <w:pPr>
                    <w:tabs>
                      <w:tab w:val="left" w:pos="2592"/>
                    </w:tabs>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类标准</w:t>
                  </w:r>
                </w:p>
              </w:tc>
              <w:tc>
                <w:tcPr>
                  <w:tcW w:w="1563" w:type="pct"/>
                  <w:noWrap w:val="0"/>
                  <w:vAlign w:val="center"/>
                </w:tcPr>
                <w:p>
                  <w:pPr>
                    <w:tabs>
                      <w:tab w:val="left" w:pos="2592"/>
                    </w:tabs>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1480" w:type="pct"/>
                  <w:noWrap w:val="0"/>
                  <w:vAlign w:val="center"/>
                </w:tcPr>
                <w:p>
                  <w:pPr>
                    <w:tabs>
                      <w:tab w:val="left" w:pos="2592"/>
                    </w:tabs>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55</w:t>
                  </w:r>
                </w:p>
              </w:tc>
            </w:tr>
          </w:tbl>
          <w:p>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四、固体废物</w:t>
            </w:r>
          </w:p>
          <w:p>
            <w:pPr>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 w:val="24"/>
                <w:szCs w:val="32"/>
                <w:highlight w:val="none"/>
                <w:shd w:val="clear" w:color="auto" w:fill="auto"/>
              </w:rPr>
              <w:t>一般固体废物贮存过程应满足相应防渗漏、防雨淋、防扬尘等环境保护要求</w:t>
            </w:r>
            <w:r>
              <w:rPr>
                <w:rFonts w:hint="default" w:ascii="Times New Roman" w:hAnsi="Times New Roman" w:cs="Times New Roman"/>
                <w:color w:val="auto"/>
                <w:sz w:val="24"/>
                <w:highlight w:val="none"/>
              </w:rPr>
              <w:t>；危险废物执行危险废物执行《危险废物贮存污染控制标准》（GB18597-2023）。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6" w:type="dxa"/>
            <w:noWrap w:val="0"/>
            <w:vAlign w:val="center"/>
          </w:tcPr>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总量</w:t>
            </w:r>
          </w:p>
          <w:p>
            <w:pPr>
              <w:adjustRightInd w:val="0"/>
              <w:snapToGrid w:val="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控制</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指标</w:t>
            </w:r>
          </w:p>
        </w:tc>
        <w:tc>
          <w:tcPr>
            <w:tcW w:w="8345" w:type="dxa"/>
            <w:noWrap w:val="0"/>
            <w:vAlign w:val="center"/>
          </w:tcPr>
          <w:p>
            <w:pPr>
              <w:widowControl/>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1、废水</w:t>
            </w:r>
          </w:p>
          <w:p>
            <w:pPr>
              <w:widowControl/>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运营期</w:t>
            </w:r>
            <w:r>
              <w:rPr>
                <w:rFonts w:hint="default" w:ascii="Times New Roman" w:hAnsi="Times New Roman" w:cs="Times New Roman"/>
                <w:color w:val="auto"/>
                <w:sz w:val="24"/>
                <w:highlight w:val="none"/>
                <w:lang w:eastAsia="zh-CN"/>
              </w:rPr>
              <w:t>生活污水排放量为250m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sz w:val="24"/>
                <w:highlight w:val="none"/>
                <w:lang w:val="en-US" w:eastAsia="zh-CN"/>
              </w:rPr>
              <w:t>生活污水</w:t>
            </w:r>
            <w:r>
              <w:rPr>
                <w:rFonts w:hint="default" w:ascii="Times New Roman" w:hAnsi="Times New Roman" w:cs="Times New Roman"/>
                <w:color w:val="auto"/>
                <w:sz w:val="24"/>
                <w:highlight w:val="none"/>
                <w:lang w:eastAsia="zh-CN"/>
              </w:rPr>
              <w:t>经厂区已建预处理池处理达《污水综合排放标准》（GB8978-1996）中的三级标准后排入市政污水管网，经蓬溪县经济开发区废水处理厂处理达《城镇污水处理厂污染物排放标准》（GB18918-2002）一级A标后，最终排入芝溪河。</w:t>
            </w:r>
          </w:p>
          <w:p>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eastAsia="宋体" w:cs="Times New Roman"/>
                <w:color w:val="auto"/>
                <w:sz w:val="24"/>
                <w:highlight w:val="none"/>
                <w:lang w:val="en-US" w:eastAsia="zh-CN"/>
              </w:rPr>
              <w:t>因此，本项目水污染</w:t>
            </w:r>
            <w:r>
              <w:rPr>
                <w:rFonts w:hint="default" w:ascii="Times New Roman" w:hAnsi="Times New Roman" w:cs="Times New Roman"/>
                <w:color w:val="auto"/>
                <w:sz w:val="24"/>
                <w:szCs w:val="22"/>
                <w:highlight w:val="none"/>
              </w:rPr>
              <w:t>总量参考指标如下：</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w:t>
            </w:r>
            <w:r>
              <w:rPr>
                <w:rFonts w:hint="default" w:ascii="Times New Roman" w:hAnsi="Times New Roman" w:cs="Times New Roman"/>
                <w:b/>
                <w:bCs/>
                <w:color w:val="auto"/>
                <w:sz w:val="24"/>
                <w:highlight w:val="none"/>
                <w:lang w:eastAsia="zh-CN"/>
              </w:rPr>
              <w:t>厂区排口排放量</w:t>
            </w:r>
            <w:r>
              <w:rPr>
                <w:rFonts w:hint="default" w:ascii="Times New Roman" w:hAnsi="Times New Roman" w:cs="Times New Roman"/>
                <w:b/>
                <w:bCs/>
                <w:color w:val="auto"/>
                <w:sz w:val="24"/>
                <w:highlight w:val="none"/>
              </w:rPr>
              <w:t>：</w:t>
            </w:r>
          </w:p>
          <w:p>
            <w:pPr>
              <w:widowControl/>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COD：</w:t>
            </w:r>
            <w:r>
              <w:rPr>
                <w:rFonts w:hint="default" w:ascii="Times New Roman" w:hAnsi="Times New Roman" w:cs="Times New Roman"/>
                <w:color w:val="auto"/>
                <w:sz w:val="24"/>
                <w:highlight w:val="none"/>
                <w:lang w:eastAsia="zh-CN"/>
              </w:rPr>
              <w:t>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kern w:val="0"/>
                <w:sz w:val="24"/>
                <w:highlight w:val="none"/>
              </w:rPr>
              <w:t>×500mg/L×10</w:t>
            </w:r>
            <w:r>
              <w:rPr>
                <w:rFonts w:hint="default" w:ascii="Times New Roman" w:hAnsi="Times New Roman" w:cs="Times New Roman"/>
                <w:color w:val="auto"/>
                <w:kern w:val="0"/>
                <w:sz w:val="24"/>
                <w:highlight w:val="none"/>
                <w:vertAlign w:val="superscript"/>
              </w:rPr>
              <w:t>-6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0.125</w:t>
            </w:r>
            <w:r>
              <w:rPr>
                <w:rFonts w:hint="default" w:ascii="Times New Roman" w:hAnsi="Times New Roman" w:cs="Times New Roman"/>
                <w:color w:val="auto"/>
                <w:kern w:val="0"/>
                <w:sz w:val="24"/>
                <w:highlight w:val="none"/>
              </w:rPr>
              <w:t>t/a；</w:t>
            </w:r>
          </w:p>
          <w:p>
            <w:pPr>
              <w:widowControl/>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NH</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-N：</w:t>
            </w:r>
            <w:r>
              <w:rPr>
                <w:rFonts w:hint="default" w:ascii="Times New Roman" w:hAnsi="Times New Roman" w:cs="Times New Roman"/>
                <w:color w:val="auto"/>
                <w:sz w:val="24"/>
                <w:highlight w:val="none"/>
                <w:lang w:eastAsia="zh-CN"/>
              </w:rPr>
              <w:t>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kern w:val="0"/>
                <w:sz w:val="24"/>
                <w:highlight w:val="none"/>
              </w:rPr>
              <w:t>×45mg/L×10</w:t>
            </w:r>
            <w:r>
              <w:rPr>
                <w:rFonts w:hint="default" w:ascii="Times New Roman" w:hAnsi="Times New Roman" w:cs="Times New Roman"/>
                <w:color w:val="auto"/>
                <w:kern w:val="0"/>
                <w:sz w:val="24"/>
                <w:highlight w:val="none"/>
                <w:vertAlign w:val="superscript"/>
              </w:rPr>
              <w:t>-6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0.01125</w:t>
            </w:r>
            <w:r>
              <w:rPr>
                <w:rFonts w:hint="default" w:ascii="Times New Roman" w:hAnsi="Times New Roman" w:cs="Times New Roman"/>
                <w:color w:val="auto"/>
                <w:kern w:val="0"/>
                <w:sz w:val="24"/>
                <w:highlight w:val="none"/>
              </w:rPr>
              <w:t>t/a；</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TP：</w:t>
            </w:r>
            <w:r>
              <w:rPr>
                <w:rFonts w:hint="default" w:ascii="Times New Roman" w:hAnsi="Times New Roman" w:cs="Times New Roman"/>
                <w:color w:val="auto"/>
                <w:sz w:val="24"/>
                <w:highlight w:val="none"/>
                <w:lang w:eastAsia="zh-CN"/>
              </w:rPr>
              <w:t>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kern w:val="0"/>
                <w:sz w:val="24"/>
                <w:highlight w:val="none"/>
              </w:rPr>
              <w:t>×8mg/L×10</w:t>
            </w:r>
            <w:r>
              <w:rPr>
                <w:rFonts w:hint="default" w:ascii="Times New Roman" w:hAnsi="Times New Roman" w:cs="Times New Roman"/>
                <w:color w:val="auto"/>
                <w:kern w:val="0"/>
                <w:sz w:val="24"/>
                <w:highlight w:val="none"/>
                <w:vertAlign w:val="superscript"/>
              </w:rPr>
              <w:t>-6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0.002</w:t>
            </w:r>
            <w:r>
              <w:rPr>
                <w:rFonts w:hint="default" w:ascii="Times New Roman" w:hAnsi="Times New Roman" w:cs="Times New Roman"/>
                <w:color w:val="auto"/>
                <w:kern w:val="0"/>
                <w:sz w:val="24"/>
                <w:highlight w:val="none"/>
              </w:rPr>
              <w:t>t/a。</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eastAsia="宋体" w:cs="Times New Roman"/>
                <w:b/>
                <w:bCs/>
                <w:color w:val="auto"/>
                <w:sz w:val="24"/>
                <w:highlight w:val="none"/>
              </w:rPr>
              <w:t>蓬溪县经济开发区废水处理厂排口：</w:t>
            </w:r>
          </w:p>
          <w:p>
            <w:pPr>
              <w:widowControl/>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COD：</w:t>
            </w:r>
            <w:r>
              <w:rPr>
                <w:rFonts w:hint="default" w:ascii="Times New Roman" w:hAnsi="Times New Roman" w:cs="Times New Roman"/>
                <w:color w:val="auto"/>
                <w:sz w:val="24"/>
                <w:highlight w:val="none"/>
                <w:lang w:eastAsia="zh-CN"/>
              </w:rPr>
              <w:t>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50</w:t>
            </w:r>
            <w:r>
              <w:rPr>
                <w:rFonts w:hint="default" w:ascii="Times New Roman" w:hAnsi="Times New Roman" w:cs="Times New Roman"/>
                <w:color w:val="auto"/>
                <w:kern w:val="0"/>
                <w:sz w:val="24"/>
                <w:highlight w:val="none"/>
              </w:rPr>
              <w:t>mg/L×10</w:t>
            </w:r>
            <w:r>
              <w:rPr>
                <w:rFonts w:hint="default" w:ascii="Times New Roman" w:hAnsi="Times New Roman" w:cs="Times New Roman"/>
                <w:color w:val="auto"/>
                <w:kern w:val="0"/>
                <w:sz w:val="24"/>
                <w:highlight w:val="none"/>
                <w:vertAlign w:val="superscript"/>
              </w:rPr>
              <w:t>-6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0.0125</w:t>
            </w:r>
            <w:r>
              <w:rPr>
                <w:rFonts w:hint="default" w:ascii="Times New Roman" w:hAnsi="Times New Roman" w:cs="Times New Roman"/>
                <w:color w:val="auto"/>
                <w:kern w:val="0"/>
                <w:sz w:val="24"/>
                <w:highlight w:val="none"/>
              </w:rPr>
              <w:t>t/a；</w:t>
            </w:r>
          </w:p>
          <w:p>
            <w:pPr>
              <w:widowControl/>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NH</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-N：</w:t>
            </w:r>
            <w:r>
              <w:rPr>
                <w:rFonts w:hint="default" w:ascii="Times New Roman" w:hAnsi="Times New Roman" w:cs="Times New Roman"/>
                <w:color w:val="auto"/>
                <w:sz w:val="24"/>
                <w:highlight w:val="none"/>
                <w:lang w:eastAsia="zh-CN"/>
              </w:rPr>
              <w:t>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5</w:t>
            </w:r>
            <w:r>
              <w:rPr>
                <w:rFonts w:hint="default" w:ascii="Times New Roman" w:hAnsi="Times New Roman" w:cs="Times New Roman"/>
                <w:color w:val="auto"/>
                <w:kern w:val="0"/>
                <w:sz w:val="24"/>
                <w:highlight w:val="none"/>
              </w:rPr>
              <w:t>mg/L×10</w:t>
            </w:r>
            <w:r>
              <w:rPr>
                <w:rFonts w:hint="default" w:ascii="Times New Roman" w:hAnsi="Times New Roman" w:cs="Times New Roman"/>
                <w:color w:val="auto"/>
                <w:kern w:val="0"/>
                <w:sz w:val="24"/>
                <w:highlight w:val="none"/>
                <w:vertAlign w:val="superscript"/>
              </w:rPr>
              <w:t>-6</w:t>
            </w:r>
            <w:r>
              <w:rPr>
                <w:rFonts w:hint="default" w:ascii="Times New Roman" w:hAnsi="Times New Roman" w:cs="Times New Roman"/>
                <w:color w:val="auto"/>
                <w:kern w:val="0"/>
                <w:sz w:val="24"/>
                <w:highlight w:val="none"/>
              </w:rPr>
              <w:t>=</w:t>
            </w:r>
            <w:r>
              <w:rPr>
                <w:rFonts w:hint="default" w:ascii="Times New Roman" w:hAnsi="Times New Roman" w:cs="Times New Roman"/>
                <w:bCs/>
                <w:color w:val="auto"/>
                <w:kern w:val="0"/>
                <w:sz w:val="24"/>
                <w:highlight w:val="none"/>
                <w:lang w:val="en-US" w:eastAsia="zh-CN"/>
              </w:rPr>
              <w:t>0.00125</w:t>
            </w:r>
            <w:r>
              <w:rPr>
                <w:rFonts w:hint="default" w:ascii="Times New Roman" w:hAnsi="Times New Roman" w:cs="Times New Roman"/>
                <w:color w:val="auto"/>
                <w:kern w:val="0"/>
                <w:sz w:val="24"/>
                <w:highlight w:val="none"/>
              </w:rPr>
              <w:t>t/a。</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TP：</w:t>
            </w:r>
            <w:r>
              <w:rPr>
                <w:rFonts w:hint="default" w:ascii="Times New Roman" w:hAnsi="Times New Roman" w:cs="Times New Roman"/>
                <w:color w:val="auto"/>
                <w:sz w:val="24"/>
                <w:highlight w:val="none"/>
                <w:lang w:eastAsia="zh-CN"/>
              </w:rPr>
              <w:t>250m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/a</w:t>
            </w:r>
            <w:r>
              <w:rPr>
                <w:rFonts w:hint="default" w:ascii="Times New Roman" w:hAnsi="Times New Roman" w:cs="Times New Roman"/>
                <w:color w:val="auto"/>
                <w:kern w:val="0"/>
                <w:sz w:val="24"/>
                <w:highlight w:val="none"/>
              </w:rPr>
              <w:t>×0.5mg/L×10</w:t>
            </w:r>
            <w:r>
              <w:rPr>
                <w:rFonts w:hint="default" w:ascii="Times New Roman" w:hAnsi="Times New Roman" w:cs="Times New Roman"/>
                <w:color w:val="auto"/>
                <w:kern w:val="0"/>
                <w:sz w:val="24"/>
                <w:highlight w:val="none"/>
                <w:vertAlign w:val="superscript"/>
              </w:rPr>
              <w:t>-6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0.000125</w:t>
            </w:r>
            <w:r>
              <w:rPr>
                <w:rFonts w:hint="default" w:ascii="Times New Roman" w:hAnsi="Times New Roman" w:cs="Times New Roman"/>
                <w:color w:val="auto"/>
                <w:kern w:val="0"/>
                <w:sz w:val="24"/>
                <w:highlight w:val="none"/>
              </w:rPr>
              <w:t>t/a。</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2、废气</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Cs/>
                <w:color w:val="auto"/>
                <w:sz w:val="24"/>
                <w:highlight w:val="none"/>
              </w:rPr>
              <w:t>废气总量控制指标建议：</w:t>
            </w:r>
            <w:r>
              <w:rPr>
                <w:rFonts w:hint="eastAsia" w:cs="Times New Roman"/>
                <w:bCs/>
                <w:color w:val="auto"/>
                <w:sz w:val="24"/>
                <w:highlight w:val="none"/>
                <w:lang w:val="en-US" w:eastAsia="zh-CN"/>
              </w:rPr>
              <w:t>颗粒物、</w:t>
            </w:r>
            <w:r>
              <w:rPr>
                <w:rFonts w:hint="default" w:ascii="Times New Roman" w:hAnsi="Times New Roman" w:cs="Times New Roman"/>
                <w:bCs/>
                <w:color w:val="auto"/>
                <w:sz w:val="24"/>
                <w:highlight w:val="none"/>
                <w:lang w:val="en-US" w:eastAsia="zh-CN"/>
              </w:rPr>
              <w:t>VOCs</w:t>
            </w:r>
            <w:r>
              <w:rPr>
                <w:rFonts w:hint="default" w:ascii="Times New Roman" w:hAnsi="Times New Roman" w:cs="Times New Roman"/>
                <w:bCs/>
                <w:color w:val="auto"/>
                <w:sz w:val="24"/>
                <w:highlight w:val="none"/>
                <w:lang w:eastAsia="zh-CN"/>
              </w:rPr>
              <w:t>。</w:t>
            </w:r>
          </w:p>
          <w:p>
            <w:pPr>
              <w:adjustRightInd w:val="0"/>
              <w:snapToGrid w:val="0"/>
              <w:spacing w:line="360" w:lineRule="auto"/>
              <w:ind w:firstLine="480" w:firstLineChars="200"/>
              <w:rPr>
                <w:rFonts w:hint="default" w:ascii="Times New Roman" w:hAnsi="Times New Roman" w:cs="Times New Roman"/>
                <w:color w:val="auto"/>
                <w:sz w:val="24"/>
                <w:highlight w:val="none"/>
                <w:shd w:val="clear" w:color="auto" w:fill="auto"/>
                <w:lang w:val="en-US" w:eastAsia="zh-CN"/>
              </w:rPr>
            </w:pPr>
            <w:r>
              <w:rPr>
                <w:rFonts w:hint="eastAsia" w:cs="Times New Roman"/>
                <w:color w:val="auto"/>
                <w:sz w:val="24"/>
                <w:highlight w:val="none"/>
                <w:shd w:val="clear" w:color="auto" w:fill="auto"/>
                <w:lang w:val="en-US" w:eastAsia="zh-CN"/>
              </w:rPr>
              <w:t>颗粒物：</w:t>
            </w:r>
            <w:r>
              <w:rPr>
                <w:rFonts w:hint="eastAsia" w:ascii="Times New Roman" w:hAnsi="Times New Roman" w:eastAsia="宋体" w:cs="Times New Roman"/>
                <w:b w:val="0"/>
                <w:bCs/>
                <w:color w:val="auto"/>
                <w:sz w:val="24"/>
                <w:highlight w:val="none"/>
                <w:lang w:val="en-US" w:eastAsia="zh-CN"/>
              </w:rPr>
              <w:t>0.</w:t>
            </w:r>
            <w:r>
              <w:rPr>
                <w:rFonts w:hint="eastAsia" w:cs="Times New Roman"/>
                <w:b w:val="0"/>
                <w:bCs/>
                <w:color w:val="auto"/>
                <w:sz w:val="24"/>
                <w:highlight w:val="none"/>
                <w:lang w:val="en-US" w:eastAsia="zh-CN"/>
              </w:rPr>
              <w:t>2232kg</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val="en-US" w:eastAsia="zh-CN"/>
              </w:rPr>
              <w:t>+0.04961kg</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val="en-US" w:eastAsia="zh-CN"/>
              </w:rPr>
              <w:t>=0.2728×10</w:t>
            </w:r>
            <w:r>
              <w:rPr>
                <w:rFonts w:hint="eastAsia" w:cs="Times New Roman"/>
                <w:b w:val="0"/>
                <w:bCs/>
                <w:color w:val="auto"/>
                <w:sz w:val="24"/>
                <w:highlight w:val="none"/>
                <w:vertAlign w:val="superscript"/>
                <w:lang w:val="en-US" w:eastAsia="zh-CN"/>
              </w:rPr>
              <w:t>-3</w:t>
            </w:r>
            <w:r>
              <w:rPr>
                <w:rFonts w:hint="default" w:ascii="Times New Roman" w:hAnsi="Times New Roman" w:cs="Times New Roman"/>
                <w:color w:val="auto"/>
                <w:sz w:val="24"/>
                <w:szCs w:val="24"/>
                <w:highlight w:val="none"/>
                <w:shd w:val="clear" w:color="auto" w:fill="auto"/>
                <w:lang w:val="en-US" w:eastAsia="zh-CN"/>
              </w:rPr>
              <w:t>t/a</w:t>
            </w:r>
          </w:p>
          <w:p>
            <w:pPr>
              <w:adjustRightInd w:val="0"/>
              <w:snapToGrid w:val="0"/>
              <w:spacing w:line="360" w:lineRule="auto"/>
              <w:ind w:firstLine="480" w:firstLineChars="200"/>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sz w:val="24"/>
                <w:highlight w:val="none"/>
                <w:shd w:val="clear" w:color="auto" w:fill="auto"/>
                <w:lang w:val="en-US" w:eastAsia="zh-CN"/>
              </w:rPr>
              <w:t>VOCs：</w:t>
            </w:r>
            <w:r>
              <w:rPr>
                <w:rFonts w:hint="eastAsia" w:cs="Times New Roman"/>
                <w:color w:val="auto"/>
                <w:kern w:val="2"/>
                <w:sz w:val="24"/>
                <w:szCs w:val="24"/>
                <w:highlight w:val="none"/>
                <w:lang w:val="en-US" w:eastAsia="zh-CN" w:bidi="ar-SA"/>
              </w:rPr>
              <w:t>0.3015</w:t>
            </w:r>
            <w:r>
              <w:rPr>
                <w:rFonts w:hint="default" w:ascii="Times New Roman" w:hAnsi="Times New Roman" w:eastAsia="宋体" w:cs="Times New Roman"/>
                <w:b w:val="0"/>
                <w:bCs/>
                <w:color w:val="auto"/>
                <w:sz w:val="24"/>
                <w:highlight w:val="none"/>
                <w:lang w:eastAsia="zh-CN"/>
              </w:rPr>
              <w:t>t/a</w:t>
            </w:r>
            <w:r>
              <w:rPr>
                <w:rFonts w:hint="eastAsia" w:cs="Times New Roman"/>
                <w:b w:val="0"/>
                <w:bCs/>
                <w:color w:val="auto"/>
                <w:sz w:val="24"/>
                <w:highlight w:val="none"/>
                <w:lang w:val="en-US" w:eastAsia="zh-CN"/>
              </w:rPr>
              <w:t>+0.2231</w:t>
            </w:r>
            <w:r>
              <w:rPr>
                <w:rFonts w:hint="default" w:ascii="Times New Roman" w:hAnsi="Times New Roman" w:cs="Times New Roman"/>
                <w:color w:val="auto"/>
                <w:sz w:val="24"/>
                <w:szCs w:val="24"/>
                <w:highlight w:val="none"/>
                <w:shd w:val="clear" w:color="auto" w:fill="auto"/>
                <w:lang w:val="en-US" w:eastAsia="zh-CN"/>
              </w:rPr>
              <w:t>t/a=</w:t>
            </w:r>
            <w:r>
              <w:rPr>
                <w:rFonts w:hint="eastAsia" w:cs="Times New Roman"/>
                <w:color w:val="auto"/>
                <w:sz w:val="24"/>
                <w:szCs w:val="24"/>
                <w:highlight w:val="none"/>
                <w:shd w:val="clear" w:color="auto" w:fill="auto"/>
                <w:lang w:val="en-US" w:eastAsia="zh-CN"/>
              </w:rPr>
              <w:t>0.5246</w:t>
            </w:r>
            <w:r>
              <w:rPr>
                <w:rFonts w:hint="default" w:ascii="Times New Roman" w:hAnsi="Times New Roman" w:cs="Times New Roman"/>
                <w:color w:val="auto"/>
                <w:sz w:val="24"/>
                <w:szCs w:val="24"/>
                <w:highlight w:val="none"/>
                <w:shd w:val="clear" w:color="auto" w:fill="auto"/>
                <w:lang w:val="en-US" w:eastAsia="zh-CN"/>
              </w:rPr>
              <w:t>t/a</w:t>
            </w:r>
          </w:p>
          <w:p>
            <w:pPr>
              <w:adjustRightInd w:val="0"/>
              <w:snapToGrid w:val="0"/>
              <w:spacing w:line="360" w:lineRule="auto"/>
              <w:rPr>
                <w:rFonts w:hint="default" w:ascii="Times New Roman" w:hAnsi="Times New Roman" w:cs="Times New Roman"/>
                <w:color w:val="auto"/>
                <w:kern w:val="0"/>
                <w:szCs w:val="21"/>
                <w:highlight w:val="none"/>
              </w:rPr>
            </w:pPr>
          </w:p>
        </w:tc>
      </w:tr>
    </w:tbl>
    <w:p>
      <w:pPr>
        <w:pStyle w:val="1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19"/>
        <w:tblW w:w="98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
        <w:gridCol w:w="89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tcMar>
              <w:left w:w="28" w:type="dxa"/>
              <w:right w:w="28" w:type="dxa"/>
            </w:tcMar>
            <w:vAlign w:val="center"/>
          </w:tcPr>
          <w:p>
            <w:pPr>
              <w:pStyle w:val="16"/>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w:t>
            </w:r>
          </w:p>
          <w:p>
            <w:pPr>
              <w:pStyle w:val="16"/>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期环</w:t>
            </w:r>
          </w:p>
          <w:p>
            <w:pPr>
              <w:pStyle w:val="16"/>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境保</w:t>
            </w:r>
          </w:p>
          <w:p>
            <w:pPr>
              <w:pStyle w:val="16"/>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护措</w:t>
            </w:r>
          </w:p>
          <w:p>
            <w:pPr>
              <w:pStyle w:val="16"/>
              <w:adjustRightInd w:val="0"/>
              <w:snapToGrid w:val="0"/>
              <w:spacing w:before="0" w:beforeAutospacing="0" w:after="0" w:afterAutospacing="0"/>
              <w:jc w:val="center"/>
              <w:rPr>
                <w:rFonts w:hint="default" w:ascii="Times New Roman" w:hAnsi="Times New Roman" w:cs="Times New Roman"/>
                <w:bCs/>
                <w:color w:val="auto"/>
                <w:kern w:val="2"/>
                <w:szCs w:val="24"/>
                <w:highlight w:val="none"/>
              </w:rPr>
            </w:pPr>
            <w:r>
              <w:rPr>
                <w:rFonts w:hint="default" w:ascii="Times New Roman" w:hAnsi="Times New Roman" w:cs="Times New Roman"/>
                <w:color w:val="auto"/>
                <w:kern w:val="2"/>
                <w:szCs w:val="24"/>
                <w:highlight w:val="none"/>
              </w:rPr>
              <w:t>施</w:t>
            </w:r>
          </w:p>
        </w:tc>
        <w:tc>
          <w:tcPr>
            <w:tcW w:w="8909" w:type="dxa"/>
            <w:noWrap w:val="0"/>
            <w:vAlign w:val="center"/>
          </w:tcPr>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w:t>
            </w:r>
            <w:r>
              <w:rPr>
                <w:rFonts w:hint="eastAsia" w:cs="Times New Roman"/>
                <w:bCs/>
                <w:color w:val="auto"/>
                <w:sz w:val="24"/>
                <w:highlight w:val="none"/>
                <w:lang w:val="en-US" w:eastAsia="zh-CN"/>
              </w:rPr>
              <w:t>租赁</w:t>
            </w:r>
            <w:r>
              <w:rPr>
                <w:rFonts w:hint="default" w:ascii="Times New Roman" w:hAnsi="Times New Roman" w:cs="Times New Roman"/>
                <w:bCs/>
                <w:color w:val="auto"/>
                <w:sz w:val="24"/>
                <w:highlight w:val="none"/>
              </w:rPr>
              <w:t>已建厂房进行生产，因此施工期仅在厂房内进行设备安装，不涉及土建。项目施工期主要</w:t>
            </w:r>
            <w:r>
              <w:rPr>
                <w:rFonts w:hint="default" w:ascii="Times New Roman" w:hAnsi="Times New Roman" w:cs="Times New Roman"/>
                <w:bCs/>
                <w:color w:val="auto"/>
                <w:sz w:val="24"/>
                <w:highlight w:val="none"/>
                <w:lang w:eastAsia="zh-CN"/>
              </w:rPr>
              <w:t>污染</w:t>
            </w:r>
            <w:r>
              <w:rPr>
                <w:rFonts w:hint="default" w:ascii="Times New Roman" w:hAnsi="Times New Roman" w:cs="Times New Roman"/>
                <w:bCs/>
                <w:color w:val="auto"/>
                <w:sz w:val="24"/>
                <w:highlight w:val="none"/>
              </w:rPr>
              <w:t>治理措施如下：</w:t>
            </w:r>
          </w:p>
          <w:p>
            <w:pPr>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1、施工期主要污染物排放及治理</w:t>
            </w:r>
          </w:p>
          <w:p>
            <w:pPr>
              <w:adjustRightInd w:val="0"/>
              <w:snapToGrid w:val="0"/>
              <w:spacing w:line="360" w:lineRule="auto"/>
              <w:ind w:firstLine="48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 w:val="24"/>
                <w:highlight w:val="none"/>
              </w:rPr>
              <w:t>本项目在施工建设阶段，不可避免地将对周围环境产生影响。建设施工期主要污染因子有：和生活污水、施工扬尘、噪声、建筑固废和生活垃圾等。</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（1）废水</w:t>
            </w:r>
          </w:p>
          <w:p>
            <w:pPr>
              <w:tabs>
                <w:tab w:val="left" w:pos="3255"/>
              </w:tabs>
              <w:spacing w:line="360" w:lineRule="auto"/>
              <w:ind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bidi="ar"/>
              </w:rPr>
              <w:t>建设施工期间，施工人员约</w:t>
            </w:r>
            <w:r>
              <w:rPr>
                <w:rFonts w:hint="default" w:ascii="Times New Roman" w:hAnsi="Times New Roman" w:cs="Times New Roman"/>
                <w:color w:val="auto"/>
                <w:sz w:val="24"/>
                <w:szCs w:val="32"/>
                <w:highlight w:val="none"/>
                <w:lang w:val="en-US" w:eastAsia="zh-CN" w:bidi="ar"/>
              </w:rPr>
              <w:t>5</w:t>
            </w:r>
            <w:r>
              <w:rPr>
                <w:rFonts w:hint="default" w:ascii="Times New Roman" w:hAnsi="Times New Roman" w:cs="Times New Roman"/>
                <w:color w:val="auto"/>
                <w:sz w:val="24"/>
                <w:szCs w:val="32"/>
                <w:highlight w:val="none"/>
                <w:lang w:bidi="ar"/>
              </w:rPr>
              <w:t>人，其生活用水量按50L/人·d计，则生活用水量为0.</w:t>
            </w:r>
            <w:r>
              <w:rPr>
                <w:rFonts w:hint="default" w:ascii="Times New Roman" w:hAnsi="Times New Roman" w:cs="Times New Roman"/>
                <w:color w:val="auto"/>
                <w:sz w:val="24"/>
                <w:szCs w:val="32"/>
                <w:highlight w:val="none"/>
                <w:lang w:val="en-US" w:eastAsia="zh-CN" w:bidi="ar"/>
              </w:rPr>
              <w:t>25</w:t>
            </w:r>
            <w:r>
              <w:rPr>
                <w:rFonts w:hint="default" w:ascii="Times New Roman" w:hAnsi="Times New Roman" w:cs="Times New Roman"/>
                <w:color w:val="auto"/>
                <w:sz w:val="24"/>
                <w:szCs w:val="32"/>
                <w:highlight w:val="none"/>
                <w:lang w:bidi="ar"/>
              </w:rPr>
              <w:t>m</w:t>
            </w:r>
            <w:r>
              <w:rPr>
                <w:rFonts w:hint="default" w:ascii="Times New Roman" w:hAnsi="Times New Roman" w:cs="Times New Roman"/>
                <w:color w:val="auto"/>
                <w:sz w:val="24"/>
                <w:szCs w:val="32"/>
                <w:highlight w:val="none"/>
                <w:vertAlign w:val="superscript"/>
                <w:lang w:bidi="ar"/>
              </w:rPr>
              <w:t>3</w:t>
            </w:r>
            <w:r>
              <w:rPr>
                <w:rFonts w:hint="default" w:ascii="Times New Roman" w:hAnsi="Times New Roman" w:cs="Times New Roman"/>
                <w:color w:val="auto"/>
                <w:sz w:val="24"/>
                <w:szCs w:val="32"/>
                <w:highlight w:val="none"/>
                <w:lang w:bidi="ar"/>
              </w:rPr>
              <w:t>/d，以排放系数0.85计，排放量为0.</w:t>
            </w:r>
            <w:r>
              <w:rPr>
                <w:rFonts w:hint="default" w:ascii="Times New Roman" w:hAnsi="Times New Roman" w:cs="Times New Roman"/>
                <w:color w:val="auto"/>
                <w:sz w:val="24"/>
                <w:szCs w:val="32"/>
                <w:highlight w:val="none"/>
                <w:lang w:val="en-US" w:eastAsia="zh-CN" w:bidi="ar"/>
              </w:rPr>
              <w:t>2125</w:t>
            </w:r>
            <w:r>
              <w:rPr>
                <w:rFonts w:hint="default" w:ascii="Times New Roman" w:hAnsi="Times New Roman" w:cs="Times New Roman"/>
                <w:color w:val="auto"/>
                <w:sz w:val="24"/>
                <w:szCs w:val="32"/>
                <w:highlight w:val="none"/>
                <w:lang w:bidi="ar"/>
              </w:rPr>
              <w:t>m</w:t>
            </w:r>
            <w:r>
              <w:rPr>
                <w:rFonts w:hint="default" w:ascii="Times New Roman" w:hAnsi="Times New Roman" w:cs="Times New Roman"/>
                <w:color w:val="auto"/>
                <w:sz w:val="24"/>
                <w:szCs w:val="32"/>
                <w:highlight w:val="none"/>
                <w:vertAlign w:val="superscript"/>
                <w:lang w:bidi="ar"/>
              </w:rPr>
              <w:t>3</w:t>
            </w:r>
            <w:r>
              <w:rPr>
                <w:rFonts w:hint="default" w:ascii="Times New Roman" w:hAnsi="Times New Roman" w:cs="Times New Roman"/>
                <w:color w:val="auto"/>
                <w:sz w:val="24"/>
                <w:szCs w:val="32"/>
                <w:highlight w:val="none"/>
                <w:lang w:bidi="ar"/>
              </w:rPr>
              <w:t>/d。生活污水经预处理池处理后排入市政污水管网，再经</w:t>
            </w:r>
            <w:r>
              <w:rPr>
                <w:rFonts w:hint="eastAsia" w:ascii="Times New Roman" w:hAnsi="Times New Roman" w:cs="Times New Roman"/>
                <w:color w:val="auto"/>
                <w:sz w:val="24"/>
                <w:highlight w:val="none"/>
                <w:lang w:eastAsia="zh-CN"/>
              </w:rPr>
              <w:t>蓬溪县经济开发区废水处理厂</w:t>
            </w:r>
            <w:r>
              <w:rPr>
                <w:rFonts w:hint="default" w:ascii="Times New Roman" w:hAnsi="Times New Roman" w:cs="Times New Roman"/>
                <w:color w:val="auto"/>
                <w:sz w:val="24"/>
                <w:szCs w:val="32"/>
                <w:highlight w:val="none"/>
                <w:lang w:bidi="ar"/>
              </w:rPr>
              <w:t>处理达标后排入</w:t>
            </w:r>
            <w:r>
              <w:rPr>
                <w:rFonts w:hint="eastAsia" w:cs="Times New Roman"/>
                <w:color w:val="auto"/>
                <w:sz w:val="24"/>
                <w:szCs w:val="32"/>
                <w:highlight w:val="none"/>
                <w:lang w:val="en-US" w:eastAsia="zh-CN" w:bidi="ar"/>
              </w:rPr>
              <w:t>芝溪河</w:t>
            </w:r>
            <w:r>
              <w:rPr>
                <w:rFonts w:hint="default" w:ascii="Times New Roman" w:hAnsi="Times New Roman" w:cs="Times New Roman"/>
                <w:color w:val="auto"/>
                <w:sz w:val="24"/>
                <w:szCs w:val="32"/>
                <w:highlight w:val="none"/>
                <w:lang w:bidi="ar"/>
              </w:rPr>
              <w:t>。</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（2）扬尘及废气</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ar"/>
              </w:rPr>
              <w:t>施工期废气主要为扬尘和装修废气。</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lang w:bidi="ar"/>
              </w:rPr>
              <w:t>项目施工期主要为房屋内部装修阶段，无土建施工，且均在室内进行，故项目施工期扬尘产生量较小，不会对周围环境产生明显影响。房屋装修过程中，用油漆和喷涂等施工时，有机溶剂挥发，主要为甲醛及微量的苯系物等，属无组织排放，会影响装修人员健康，加强房屋通风，可有效降低装修废气。</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（3）噪声</w:t>
            </w:r>
          </w:p>
          <w:p>
            <w:pPr>
              <w:pStyle w:val="3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项目施工期主要噪声为使用的电钻、手工钻等设备噪声，其噪声值在65~90dB（A）之间。项目应严格按照要求进行施工，施工期间场界噪声满足《建筑施工场界环境噪声排放标准》（GB12523-2011）标准。</w:t>
            </w:r>
          </w:p>
          <w:p>
            <w:pPr>
              <w:pStyle w:val="3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本环评要求采取以下噪声防治措施：</w:t>
            </w:r>
          </w:p>
          <w:p>
            <w:pPr>
              <w:pStyle w:val="3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严格控制施工机械作息时间，杜绝夜间（22:00~6:00）施工噪声扰民。施工方对高噪声施工设备采用一定的围护结构，对其进行降噪处理，施工期间的场界噪声必须满足《建筑施工场界环境噪声排放标准》（GB12523-2011）标准要求；</w:t>
            </w:r>
          </w:p>
          <w:p>
            <w:pPr>
              <w:pStyle w:val="3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②加强施工管理，文明施工，建筑材料装卸过程禁止抛掷，做到轻拿轻放；墙体施工区域周边覆盖棉垫，防止装修垃圾坠落地面，减少噪声影响。在室内施工关闭窗户，并做到文明施工。</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（4）固体废弃物</w:t>
            </w:r>
          </w:p>
          <w:p>
            <w:pPr>
              <w:spacing w:line="360" w:lineRule="auto"/>
              <w:ind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bidi="ar"/>
              </w:rPr>
              <w:t>项目施工期会产生建筑垃圾（弃渣）、生活垃圾和少量装修用油漆桶等固体废物。</w:t>
            </w:r>
          </w:p>
          <w:p>
            <w:pPr>
              <w:spacing w:line="360" w:lineRule="auto"/>
              <w:ind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bidi="ar"/>
              </w:rPr>
              <w:t>建筑垃圾主要来自施工作业，包括废弃装修物料等杂物。建设施工期间，施工人员约</w:t>
            </w:r>
            <w:r>
              <w:rPr>
                <w:rFonts w:hint="default" w:ascii="Times New Roman" w:hAnsi="Times New Roman" w:cs="Times New Roman"/>
                <w:color w:val="auto"/>
                <w:sz w:val="24"/>
                <w:szCs w:val="32"/>
                <w:highlight w:val="none"/>
                <w:lang w:val="en-US" w:eastAsia="zh-CN" w:bidi="ar"/>
              </w:rPr>
              <w:t>5</w:t>
            </w:r>
            <w:r>
              <w:rPr>
                <w:rFonts w:hint="default" w:ascii="Times New Roman" w:hAnsi="Times New Roman" w:cs="Times New Roman"/>
                <w:color w:val="auto"/>
                <w:sz w:val="24"/>
                <w:szCs w:val="32"/>
                <w:highlight w:val="none"/>
                <w:lang w:bidi="ar"/>
              </w:rPr>
              <w:t>人，工地生活垃圾按0.5kg/人·d计，施工期生活垃圾产生量为</w:t>
            </w:r>
            <w:r>
              <w:rPr>
                <w:rFonts w:hint="default" w:ascii="Times New Roman" w:hAnsi="Times New Roman" w:cs="Times New Roman"/>
                <w:color w:val="auto"/>
                <w:sz w:val="24"/>
                <w:szCs w:val="32"/>
                <w:highlight w:val="none"/>
                <w:lang w:val="en-US" w:eastAsia="zh-CN" w:bidi="ar"/>
              </w:rPr>
              <w:t>2</w:t>
            </w:r>
            <w:r>
              <w:rPr>
                <w:rFonts w:hint="eastAsia" w:cs="Times New Roman"/>
                <w:color w:val="auto"/>
                <w:sz w:val="24"/>
                <w:szCs w:val="32"/>
                <w:highlight w:val="none"/>
                <w:lang w:val="en-US" w:eastAsia="zh-CN" w:bidi="ar"/>
              </w:rPr>
              <w:t>.</w:t>
            </w:r>
            <w:r>
              <w:rPr>
                <w:rFonts w:hint="default" w:ascii="Times New Roman" w:hAnsi="Times New Roman" w:cs="Times New Roman"/>
                <w:color w:val="auto"/>
                <w:sz w:val="24"/>
                <w:szCs w:val="32"/>
                <w:highlight w:val="none"/>
                <w:lang w:val="en-US" w:eastAsia="zh-CN" w:bidi="ar"/>
              </w:rPr>
              <w:t>5</w:t>
            </w:r>
            <w:r>
              <w:rPr>
                <w:rFonts w:hint="default" w:ascii="Times New Roman" w:hAnsi="Times New Roman" w:cs="Times New Roman"/>
                <w:color w:val="auto"/>
                <w:sz w:val="24"/>
                <w:szCs w:val="32"/>
                <w:highlight w:val="none"/>
                <w:lang w:bidi="ar"/>
              </w:rPr>
              <w:t>kg/d。</w:t>
            </w:r>
          </w:p>
          <w:p>
            <w:pPr>
              <w:adjustRightInd w:val="0"/>
              <w:snapToGrid w:val="0"/>
              <w:spacing w:line="360" w:lineRule="auto"/>
              <w:ind w:firstLine="480" w:firstLineChars="200"/>
              <w:rPr>
                <w:rFonts w:hint="default" w:ascii="Times New Roman" w:hAnsi="Times New Roman" w:cs="Times New Roman"/>
                <w:bCs/>
                <w:color w:val="auto"/>
                <w:spacing w:val="-10"/>
                <w:sz w:val="24"/>
                <w:highlight w:val="none"/>
              </w:rPr>
            </w:pPr>
            <w:r>
              <w:rPr>
                <w:rFonts w:hint="default" w:ascii="Times New Roman" w:hAnsi="Times New Roman" w:cs="Times New Roman"/>
                <w:color w:val="auto"/>
                <w:sz w:val="24"/>
                <w:highlight w:val="none"/>
              </w:rPr>
              <w:t>总体而言，施工所产生环境问题均为局部和暂时性的，只要做好施工布置，在采取上述污染防治措施后，可有效减缓施工期对环境的影响。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tc>
        <w:tc>
          <w:tcPr>
            <w:tcW w:w="8909" w:type="dxa"/>
            <w:noWrap w:val="0"/>
            <w:vAlign w:val="top"/>
          </w:tcPr>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一、废气</w:t>
            </w:r>
          </w:p>
          <w:p>
            <w:pPr>
              <w:spacing w:line="360" w:lineRule="auto"/>
              <w:ind w:firstLine="480" w:firstLineChars="200"/>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rPr>
              <w:t>项目废气主要</w:t>
            </w:r>
            <w:r>
              <w:rPr>
                <w:rFonts w:hint="eastAsia" w:cs="Times New Roman"/>
                <w:bCs/>
                <w:color w:val="auto"/>
                <w:sz w:val="24"/>
                <w:highlight w:val="none"/>
                <w:lang w:val="en-US" w:eastAsia="zh-CN"/>
              </w:rPr>
              <w:t>为激光脱皮废气；</w:t>
            </w:r>
            <w:r>
              <w:rPr>
                <w:rFonts w:hint="default" w:ascii="Times New Roman" w:hAnsi="Times New Roman" w:cs="Times New Roman"/>
                <w:bCs/>
                <w:color w:val="auto"/>
                <w:sz w:val="24"/>
                <w:highlight w:val="none"/>
              </w:rPr>
              <w:t>锡焊过程产生有机废气</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锡及其化合物；浸漆</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烘干工序产生</w:t>
            </w:r>
            <w:r>
              <w:rPr>
                <w:rFonts w:hint="eastAsia" w:ascii="Times New Roman" w:hAnsi="Times New Roman" w:cs="Times New Roman"/>
                <w:bCs/>
                <w:color w:val="auto"/>
                <w:sz w:val="24"/>
                <w:highlight w:val="none"/>
                <w:lang w:val="en-US" w:eastAsia="zh-CN"/>
              </w:rPr>
              <w:t>有机废气</w:t>
            </w:r>
            <w:r>
              <w:rPr>
                <w:rFonts w:hint="eastAsia" w:cs="Times New Roman"/>
                <w:bCs/>
                <w:color w:val="auto"/>
                <w:sz w:val="24"/>
                <w:highlight w:val="none"/>
                <w:lang w:val="en-US" w:eastAsia="zh-CN"/>
              </w:rPr>
              <w:t>；激光打标过程产生极少量的颗粒物、有机废气</w:t>
            </w:r>
            <w:r>
              <w:rPr>
                <w:rFonts w:hint="default" w:ascii="Times New Roman" w:hAnsi="Times New Roman" w:cs="Times New Roman"/>
                <w:bCs/>
                <w:color w:val="auto"/>
                <w:sz w:val="24"/>
                <w:highlight w:val="none"/>
                <w:lang w:eastAsia="zh-CN"/>
              </w:rPr>
              <w:t>。</w:t>
            </w:r>
          </w:p>
          <w:p>
            <w:pPr>
              <w:spacing w:line="360" w:lineRule="auto"/>
              <w:ind w:firstLine="482" w:firstLineChars="200"/>
              <w:rPr>
                <w:rFonts w:hint="default" w:ascii="Times New Roman" w:hAnsi="Times New Roman" w:cs="Times New Roman"/>
                <w:b/>
                <w:bCs w:val="0"/>
                <w:color w:val="auto"/>
                <w:sz w:val="24"/>
                <w:highlight w:val="none"/>
              </w:rPr>
            </w:pPr>
            <w:r>
              <w:rPr>
                <w:rFonts w:hint="eastAsia" w:cs="Times New Roman"/>
                <w:b/>
                <w:bCs w:val="0"/>
                <w:color w:val="auto"/>
                <w:sz w:val="24"/>
                <w:highlight w:val="none"/>
                <w:lang w:val="en-US" w:eastAsia="zh-CN"/>
              </w:rPr>
              <w:t>1、产生废气情况：</w:t>
            </w:r>
          </w:p>
          <w:p>
            <w:pPr>
              <w:spacing w:line="360" w:lineRule="auto"/>
              <w:ind w:firstLine="482" w:firstLineChars="200"/>
              <w:rPr>
                <w:rFonts w:hint="default" w:ascii="Times New Roman" w:hAnsi="Times New Roman" w:cs="Times New Roman"/>
                <w:b/>
                <w:bCs w:val="0"/>
                <w:color w:val="auto"/>
                <w:sz w:val="24"/>
                <w:highlight w:val="none"/>
              </w:rPr>
            </w:pPr>
            <w:r>
              <w:rPr>
                <w:rFonts w:hint="eastAsia" w:cs="Times New Roman"/>
                <w:b/>
                <w:bCs w:val="0"/>
                <w:color w:val="auto"/>
                <w:sz w:val="24"/>
                <w:highlight w:val="none"/>
                <w:lang w:eastAsia="zh-CN"/>
              </w:rPr>
              <w:t>（</w:t>
            </w:r>
            <w:r>
              <w:rPr>
                <w:rFonts w:hint="eastAsia" w:cs="Times New Roman"/>
                <w:b/>
                <w:bCs w:val="0"/>
                <w:color w:val="auto"/>
                <w:sz w:val="24"/>
                <w:highlight w:val="none"/>
                <w:lang w:val="en-US" w:eastAsia="zh-CN"/>
              </w:rPr>
              <w:t>1</w:t>
            </w:r>
            <w:r>
              <w:rPr>
                <w:rFonts w:hint="eastAsia" w:cs="Times New Roman"/>
                <w:b/>
                <w:bCs w:val="0"/>
                <w:color w:val="auto"/>
                <w:sz w:val="24"/>
                <w:highlight w:val="none"/>
                <w:lang w:eastAsia="zh-CN"/>
              </w:rPr>
              <w:t>）</w:t>
            </w:r>
            <w:r>
              <w:rPr>
                <w:rFonts w:hint="eastAsia" w:cs="Times New Roman"/>
                <w:b/>
                <w:bCs w:val="0"/>
                <w:color w:val="auto"/>
                <w:sz w:val="24"/>
                <w:highlight w:val="none"/>
                <w:lang w:val="en-US" w:eastAsia="zh-CN"/>
              </w:rPr>
              <w:t>激光脱皮</w:t>
            </w:r>
            <w:r>
              <w:rPr>
                <w:rFonts w:hint="default" w:ascii="Times New Roman" w:hAnsi="Times New Roman" w:eastAsia="宋体" w:cs="Times New Roman"/>
                <w:b/>
                <w:bCs w:val="0"/>
                <w:color w:val="auto"/>
                <w:sz w:val="24"/>
                <w:highlight w:val="none"/>
                <w:lang w:eastAsia="zh-CN"/>
              </w:rPr>
              <w:t>废气</w:t>
            </w:r>
          </w:p>
          <w:p>
            <w:pPr>
              <w:spacing w:line="360" w:lineRule="auto"/>
              <w:ind w:firstLine="480" w:firstLineChars="200"/>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项目激光脱皮工序时，基本原理是由激光发生器生成高能量的连续激光光束，聚焦后的激光作用于绝缘线外层，使表层材料瞬间燃烧，通过控制激光去除绝缘线外层，从而脱去外皮。三层绝缘线是一种高性能绝缘导线，结构为</w:t>
            </w:r>
            <w:r>
              <w:rPr>
                <w:rFonts w:hint="eastAsia" w:ascii="Times New Roman" w:eastAsia="宋体" w:cs="Times New Roman"/>
                <w:b w:val="0"/>
                <w:bCs w:val="0"/>
                <w:color w:val="auto"/>
                <w:sz w:val="24"/>
                <w:szCs w:val="24"/>
                <w:highlight w:val="none"/>
                <w:lang w:val="en-US" w:eastAsia="zh-CN"/>
              </w:rPr>
              <w:t>裸铜导体+聚酰胺薄膜+高绝缘性的喷漆涂层+透明的玻璃纤维层</w:t>
            </w:r>
            <w:r>
              <w:rPr>
                <w:rFonts w:hint="eastAsia" w:cs="Times New Roman"/>
                <w:b w:val="0"/>
                <w:bCs/>
                <w:color w:val="auto"/>
                <w:sz w:val="24"/>
                <w:highlight w:val="none"/>
                <w:lang w:val="en-US" w:eastAsia="zh-CN"/>
              </w:rPr>
              <w:t>，第一层是呈金黄色的聚酰胺薄膜，国外称之为黄金薄膜”。</w:t>
            </w:r>
          </w:p>
          <w:p>
            <w:pPr>
              <w:spacing w:line="360" w:lineRule="auto"/>
              <w:ind w:firstLine="480" w:firstLineChars="200"/>
              <w:rPr>
                <w:rFonts w:hint="eastAsia" w:eastAsia="微软雅黑" w:cs="Times New Roman"/>
                <w:b w:val="0"/>
                <w:bCs/>
                <w:color w:val="auto"/>
                <w:sz w:val="24"/>
                <w:highlight w:val="none"/>
                <w:lang w:val="en-US" w:eastAsia="zh-CN"/>
              </w:rPr>
            </w:pPr>
            <w:r>
              <w:rPr>
                <w:rFonts w:hint="eastAsia" w:cs="Times New Roman"/>
                <w:b w:val="0"/>
                <w:bCs/>
                <w:color w:val="auto"/>
                <w:sz w:val="24"/>
                <w:highlight w:val="none"/>
                <w:lang w:val="en-US" w:eastAsia="zh-CN"/>
              </w:rPr>
              <w:t>高频变压器自带针脚，有绝缘线的两个针脚需进行脱皮，每个针脚需脱去约3mm，则每次的脱皮长度共0.6cm。三层绝缘线外层密度约为0.8g/cm</w:t>
            </w:r>
            <w:r>
              <w:rPr>
                <w:rFonts w:hint="eastAsia" w:cs="Times New Roman"/>
                <w:b w:val="0"/>
                <w:bCs/>
                <w:color w:val="auto"/>
                <w:sz w:val="24"/>
                <w:highlight w:val="none"/>
                <w:vertAlign w:val="superscript"/>
                <w:lang w:val="en-US" w:eastAsia="zh-CN"/>
              </w:rPr>
              <w:t>3</w:t>
            </w:r>
            <w:r>
              <w:rPr>
                <w:rFonts w:hint="eastAsia" w:cs="Times New Roman"/>
                <w:b w:val="0"/>
                <w:bCs/>
                <w:color w:val="auto"/>
                <w:sz w:val="24"/>
                <w:highlight w:val="none"/>
                <w:vertAlign w:val="baseline"/>
                <w:lang w:val="en-US" w:eastAsia="zh-CN"/>
              </w:rPr>
              <w:t>，</w:t>
            </w:r>
            <w:r>
              <w:rPr>
                <w:rFonts w:hint="eastAsia" w:cs="Times New Roman"/>
                <w:b w:val="0"/>
                <w:bCs/>
                <w:color w:val="auto"/>
                <w:sz w:val="24"/>
                <w:highlight w:val="none"/>
                <w:lang w:val="en-US" w:eastAsia="zh-CN"/>
              </w:rPr>
              <w:t>三层绝缘线外层总厚度约为100</w:t>
            </w:r>
            <w:r>
              <w:rPr>
                <w:rFonts w:hint="default" w:ascii="Times New Roman" w:hAnsi="Times New Roman" w:eastAsia="微软雅黑" w:cs="Times New Roman"/>
                <w:b w:val="0"/>
                <w:bCs/>
                <w:color w:val="auto"/>
                <w:sz w:val="24"/>
                <w:highlight w:val="none"/>
                <w:lang w:val="en-US" w:eastAsia="zh-CN"/>
              </w:rPr>
              <w:t>㎛</w:t>
            </w:r>
            <w:r>
              <w:rPr>
                <w:rFonts w:hint="eastAsia" w:eastAsia="微软雅黑" w:cs="Times New Roman"/>
                <w:b w:val="0"/>
                <w:bCs/>
                <w:color w:val="auto"/>
                <w:sz w:val="24"/>
                <w:highlight w:val="none"/>
                <w:lang w:val="en-US" w:eastAsia="zh-CN"/>
              </w:rPr>
              <w:t>。</w:t>
            </w:r>
          </w:p>
          <w:p>
            <w:pPr>
              <w:spacing w:line="360" w:lineRule="auto"/>
              <w:ind w:firstLine="480" w:firstLineChars="200"/>
              <w:jc w:val="both"/>
              <w:rPr>
                <w:rFonts w:hint="default" w:cs="Times New Roman"/>
                <w:b w:val="0"/>
                <w:bCs/>
                <w:color w:val="auto"/>
                <w:sz w:val="24"/>
                <w:highlight w:val="none"/>
                <w:lang w:val="en-US" w:eastAsia="zh-CN"/>
              </w:rPr>
            </w:pPr>
            <w:r>
              <w:rPr>
                <w:rFonts w:hint="eastAsia" w:cs="Times New Roman"/>
                <w:b w:val="0"/>
                <w:bCs/>
                <w:color w:val="auto"/>
                <w:sz w:val="24"/>
                <w:highlight w:val="none"/>
                <w:lang w:val="en-US" w:eastAsia="zh-CN"/>
              </w:rPr>
              <w:t>脱皮周长为C=</w:t>
            </w:r>
            <w:r>
              <w:rPr>
                <w:rFonts w:hint="default" w:ascii="Times New Roman" w:hAnsi="Times New Roman" w:cs="Times New Roman"/>
                <w:b w:val="0"/>
                <w:bCs/>
                <w:color w:val="auto"/>
                <w:sz w:val="24"/>
                <w:highlight w:val="none"/>
                <w:lang w:val="en-US" w:eastAsia="zh-CN"/>
              </w:rPr>
              <w:t>Π</w:t>
            </w:r>
            <w:r>
              <w:rPr>
                <w:rFonts w:hint="eastAsia" w:cs="Times New Roman"/>
                <w:b w:val="0"/>
                <w:bCs/>
                <w:color w:val="auto"/>
                <w:sz w:val="24"/>
                <w:highlight w:val="none"/>
                <w:lang w:val="en-US" w:eastAsia="zh-CN"/>
              </w:rPr>
              <w:t>d=1.26mm（绝缘线的规格为0.35mm-0.40mm，取最大0.4mm），一个产品脱去的面积S=CL=1.26×3×2=7.56mm</w:t>
            </w:r>
            <w:r>
              <w:rPr>
                <w:rFonts w:hint="eastAsia" w:cs="Times New Roman"/>
                <w:b w:val="0"/>
                <w:bCs/>
                <w:color w:val="auto"/>
                <w:sz w:val="24"/>
                <w:highlight w:val="none"/>
                <w:vertAlign w:val="superscript"/>
                <w:lang w:val="en-US" w:eastAsia="zh-CN"/>
              </w:rPr>
              <w:t>2</w:t>
            </w:r>
            <w:r>
              <w:rPr>
                <w:rFonts w:hint="eastAsia" w:cs="Times New Roman"/>
                <w:b w:val="0"/>
                <w:bCs/>
                <w:color w:val="auto"/>
                <w:sz w:val="24"/>
                <w:highlight w:val="none"/>
                <w:vertAlign w:val="baseline"/>
                <w:lang w:val="en-US" w:eastAsia="zh-CN"/>
              </w:rPr>
              <w:t>，体积V=SH=7.56×0.1=0.756</w:t>
            </w:r>
            <w:r>
              <w:rPr>
                <w:rFonts w:hint="eastAsia" w:cs="Times New Roman"/>
                <w:b w:val="0"/>
                <w:bCs/>
                <w:color w:val="auto"/>
                <w:sz w:val="24"/>
                <w:highlight w:val="none"/>
                <w:lang w:val="en-US" w:eastAsia="zh-CN"/>
              </w:rPr>
              <w:t>mm</w:t>
            </w:r>
            <w:r>
              <w:rPr>
                <w:rFonts w:hint="eastAsia" w:cs="Times New Roman"/>
                <w:b w:val="0"/>
                <w:bCs/>
                <w:color w:val="auto"/>
                <w:sz w:val="24"/>
                <w:highlight w:val="none"/>
                <w:vertAlign w:val="superscript"/>
                <w:lang w:val="en-US" w:eastAsia="zh-CN"/>
              </w:rPr>
              <w:t>3</w:t>
            </w:r>
            <w:r>
              <w:rPr>
                <w:rFonts w:hint="eastAsia" w:cs="Times New Roman"/>
                <w:b w:val="0"/>
                <w:bCs/>
                <w:color w:val="auto"/>
                <w:sz w:val="24"/>
                <w:highlight w:val="none"/>
                <w:vertAlign w:val="baseline"/>
                <w:lang w:val="en-US" w:eastAsia="zh-CN"/>
              </w:rPr>
              <w:t>，质量M=VP=0.756×0.8=0.0000006048kg，</w:t>
            </w:r>
            <w:r>
              <w:rPr>
                <w:rFonts w:hint="eastAsia" w:cs="Times New Roman"/>
                <w:b w:val="0"/>
                <w:bCs/>
                <w:color w:val="auto"/>
                <w:sz w:val="24"/>
                <w:highlight w:val="none"/>
                <w:lang w:val="en-US" w:eastAsia="zh-CN"/>
              </w:rPr>
              <w:t>则每年产600万只高频变压器需通过激光处理的绝缘层量为3.63kg/a，年工作250天，1天8小时，产生速率为0.001815kg/h。本工序可能产生的污染物种类包括氮氧化物、颗粒物、VOCs，由于产污量小，不定量核算其产污情况，只定性分析。</w:t>
            </w:r>
          </w:p>
          <w:p>
            <w:pPr>
              <w:spacing w:line="360" w:lineRule="auto"/>
              <w:ind w:firstLine="482" w:firstLineChars="200"/>
              <w:rPr>
                <w:rFonts w:hint="default" w:ascii="Times New Roman" w:hAnsi="Times New Roman" w:cs="Times New Roman"/>
                <w:b/>
                <w:bCs w:val="0"/>
                <w:color w:val="auto"/>
                <w:sz w:val="24"/>
                <w:highlight w:val="none"/>
              </w:rPr>
            </w:pPr>
            <w:r>
              <w:rPr>
                <w:rFonts w:hint="eastAsia" w:cs="Times New Roman"/>
                <w:b/>
                <w:bCs w:val="0"/>
                <w:color w:val="auto"/>
                <w:sz w:val="24"/>
                <w:highlight w:val="none"/>
                <w:lang w:eastAsia="zh-CN"/>
              </w:rPr>
              <w:t>（</w:t>
            </w:r>
            <w:r>
              <w:rPr>
                <w:rFonts w:hint="eastAsia" w:cs="Times New Roman"/>
                <w:b/>
                <w:bCs w:val="0"/>
                <w:color w:val="auto"/>
                <w:sz w:val="24"/>
                <w:highlight w:val="none"/>
                <w:lang w:val="en-US" w:eastAsia="zh-CN"/>
              </w:rPr>
              <w:t>2</w:t>
            </w:r>
            <w:r>
              <w:rPr>
                <w:rFonts w:hint="eastAsia"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lang w:eastAsia="zh-CN"/>
              </w:rPr>
              <w:t>焊锡废气</w:t>
            </w:r>
          </w:p>
          <w:p>
            <w:pPr>
              <w:spacing w:line="360" w:lineRule="auto"/>
              <w:ind w:firstLine="482" w:firstLineChars="200"/>
              <w:rPr>
                <w:rFonts w:hint="default" w:ascii="Times New Roman" w:hAnsi="Times New Roman" w:cs="Times New Roman"/>
                <w:b/>
                <w:bCs/>
                <w:color w:val="auto"/>
                <w:kern w:val="0"/>
                <w:sz w:val="24"/>
                <w:highlight w:val="none"/>
                <w:lang w:bidi="ar"/>
              </w:rPr>
            </w:pPr>
            <w:r>
              <w:rPr>
                <w:rFonts w:hint="default" w:ascii="Times New Roman" w:hAnsi="Times New Roman" w:cs="Times New Roman"/>
                <w:b/>
                <w:bCs/>
                <w:color w:val="auto"/>
                <w:kern w:val="0"/>
                <w:sz w:val="24"/>
                <w:highlight w:val="none"/>
                <w:lang w:bidi="ar"/>
              </w:rPr>
              <w:t>产生源强：</w:t>
            </w:r>
          </w:p>
          <w:p>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项目</w:t>
            </w:r>
            <w:r>
              <w:rPr>
                <w:rFonts w:hint="eastAsia" w:ascii="Times New Roman" w:hAnsi="Times New Roman" w:eastAsia="宋体" w:cs="Times New Roman"/>
                <w:b w:val="0"/>
                <w:bCs/>
                <w:color w:val="auto"/>
                <w:sz w:val="24"/>
                <w:highlight w:val="none"/>
                <w:lang w:eastAsia="zh-CN"/>
              </w:rPr>
              <w:t>焊锡</w:t>
            </w:r>
            <w:r>
              <w:rPr>
                <w:rFonts w:hint="default" w:ascii="Times New Roman" w:hAnsi="Times New Roman" w:eastAsia="宋体" w:cs="Times New Roman"/>
                <w:b w:val="0"/>
                <w:bCs/>
                <w:color w:val="auto"/>
                <w:sz w:val="24"/>
                <w:highlight w:val="none"/>
                <w:lang w:eastAsia="zh-CN"/>
              </w:rPr>
              <w:t>工序会产生一定量的</w:t>
            </w:r>
            <w:r>
              <w:rPr>
                <w:rFonts w:hint="eastAsia" w:ascii="Times New Roman" w:hAnsi="Times New Roman" w:eastAsia="宋体" w:cs="Times New Roman"/>
                <w:b w:val="0"/>
                <w:bCs/>
                <w:color w:val="auto"/>
                <w:sz w:val="24"/>
                <w:highlight w:val="none"/>
                <w:lang w:eastAsia="zh-CN"/>
              </w:rPr>
              <w:t>颗粒物（</w:t>
            </w:r>
            <w:r>
              <w:rPr>
                <w:rFonts w:hint="default" w:ascii="Times New Roman" w:hAnsi="Times New Roman" w:eastAsia="宋体" w:cs="Times New Roman"/>
                <w:b w:val="0"/>
                <w:bCs/>
                <w:color w:val="auto"/>
                <w:sz w:val="24"/>
                <w:highlight w:val="none"/>
                <w:lang w:eastAsia="zh-CN"/>
              </w:rPr>
              <w:t>锡及其化合物</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以及</w:t>
            </w:r>
            <w:r>
              <w:rPr>
                <w:rFonts w:hint="eastAsia" w:ascii="Times New Roman" w:hAnsi="Times New Roman" w:eastAsia="宋体" w:cs="Times New Roman"/>
                <w:b w:val="0"/>
                <w:bCs/>
                <w:color w:val="auto"/>
                <w:sz w:val="24"/>
                <w:highlight w:val="none"/>
                <w:lang w:eastAsia="zh-CN"/>
              </w:rPr>
              <w:t>助焊剂产生</w:t>
            </w:r>
            <w:r>
              <w:rPr>
                <w:rFonts w:hint="default" w:ascii="Times New Roman" w:hAnsi="Times New Roman" w:eastAsia="宋体" w:cs="Times New Roman"/>
                <w:b w:val="0"/>
                <w:bCs/>
                <w:color w:val="auto"/>
                <w:sz w:val="24"/>
                <w:highlight w:val="none"/>
                <w:lang w:eastAsia="zh-CN"/>
              </w:rPr>
              <w:t>有机废气</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根据《排放源统计调查产排污核算方法和系数手册》（环保部2021年6月11日印发）中38-40电子电气行业系数手册</w:t>
            </w:r>
            <w:r>
              <w:rPr>
                <w:rFonts w:hint="eastAsia" w:ascii="Times New Roman" w:hAnsi="Times New Roman" w:eastAsia="宋体" w:cs="Times New Roman"/>
                <w:b w:val="0"/>
                <w:bCs/>
                <w:color w:val="auto"/>
                <w:sz w:val="24"/>
                <w:highlight w:val="none"/>
                <w:lang w:eastAsia="zh-CN"/>
              </w:rPr>
              <w:t>：</w:t>
            </w:r>
          </w:p>
          <w:p>
            <w:pPr>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eastAsia="zh-CN"/>
              </w:rPr>
              <w:t>表</w:t>
            </w:r>
            <w:r>
              <w:rPr>
                <w:rFonts w:hint="eastAsia" w:ascii="Times New Roman" w:hAnsi="Times New Roman" w:eastAsia="宋体" w:cs="Times New Roman"/>
                <w:b/>
                <w:bCs w:val="0"/>
                <w:color w:val="auto"/>
                <w:sz w:val="21"/>
                <w:szCs w:val="21"/>
                <w:highlight w:val="none"/>
                <w:lang w:val="en-US" w:eastAsia="zh-CN"/>
              </w:rPr>
              <w:t>4-1 项目焊接系数表及污染治理效率表</w:t>
            </w:r>
          </w:p>
          <w:tbl>
            <w:tblPr>
              <w:tblStyle w:val="20"/>
              <w:tblW w:w="4994"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5"/>
              <w:gridCol w:w="1158"/>
              <w:gridCol w:w="1080"/>
              <w:gridCol w:w="1140"/>
              <w:gridCol w:w="1305"/>
              <w:gridCol w:w="1005"/>
              <w:gridCol w:w="1110"/>
              <w:gridCol w:w="11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val="en-US" w:eastAsia="zh-CN"/>
                    </w:rPr>
                    <w:t>工段名称</w:t>
                  </w:r>
                </w:p>
              </w:tc>
              <w:tc>
                <w:tcPr>
                  <w:tcW w:w="666"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原料名称</w:t>
                  </w:r>
                </w:p>
              </w:tc>
              <w:tc>
                <w:tcPr>
                  <w:tcW w:w="621"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工艺名称</w:t>
                  </w:r>
                </w:p>
              </w:tc>
              <w:tc>
                <w:tcPr>
                  <w:tcW w:w="656"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规模等级</w:t>
                  </w:r>
                </w:p>
              </w:tc>
              <w:tc>
                <w:tcPr>
                  <w:tcW w:w="751"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污染物类别</w:t>
                  </w:r>
                </w:p>
              </w:tc>
              <w:tc>
                <w:tcPr>
                  <w:tcW w:w="578"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污染物指标</w:t>
                  </w:r>
                </w:p>
              </w:tc>
              <w:tc>
                <w:tcPr>
                  <w:tcW w:w="639"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单位</w:t>
                  </w:r>
                </w:p>
              </w:tc>
              <w:tc>
                <w:tcPr>
                  <w:tcW w:w="639"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val="en-US" w:eastAsia="zh-CN"/>
                    </w:rPr>
                    <w:t>产污系数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焊接</w:t>
                  </w:r>
                </w:p>
              </w:tc>
              <w:tc>
                <w:tcPr>
                  <w:tcW w:w="666"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无铅焊料</w:t>
                  </w:r>
                </w:p>
              </w:tc>
              <w:tc>
                <w:tcPr>
                  <w:tcW w:w="621"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波峰焊</w:t>
                  </w:r>
                </w:p>
              </w:tc>
              <w:tc>
                <w:tcPr>
                  <w:tcW w:w="656"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所有</w:t>
                  </w:r>
                </w:p>
              </w:tc>
              <w:tc>
                <w:tcPr>
                  <w:tcW w:w="751"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废气</w:t>
                  </w:r>
                </w:p>
              </w:tc>
              <w:tc>
                <w:tcPr>
                  <w:tcW w:w="578" w:type="pct"/>
                  <w:tcBorders>
                    <w:tl2br w:val="nil"/>
                    <w:tr2bl w:val="nil"/>
                  </w:tcBorders>
                  <w:noWrap w:val="0"/>
                  <w:vAlign w:val="center"/>
                </w:tcPr>
                <w:p>
                  <w:pPr>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颗粒物</w:t>
                  </w:r>
                </w:p>
              </w:tc>
              <w:tc>
                <w:tcPr>
                  <w:tcW w:w="639"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eastAsia" w:ascii="Times New Roman" w:hAnsi="Times New Roman" w:eastAsia="宋体" w:cs="宋体"/>
                      <w:color w:val="auto"/>
                      <w:kern w:val="0"/>
                      <w:sz w:val="21"/>
                      <w:szCs w:val="24"/>
                      <w:highlight w:val="none"/>
                      <w:lang w:val="en-US" w:eastAsia="zh-CN" w:bidi="ar"/>
                    </w:rPr>
                    <w:t>克</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宋体" w:cs="宋体"/>
                      <w:color w:val="auto"/>
                      <w:kern w:val="0"/>
                      <w:sz w:val="21"/>
                      <w:szCs w:val="24"/>
                      <w:highlight w:val="none"/>
                      <w:lang w:val="en-US" w:eastAsia="zh-CN" w:bidi="ar"/>
                    </w:rPr>
                    <w:t>千克</w:t>
                  </w:r>
                  <w:r>
                    <w:rPr>
                      <w:rFonts w:hint="default" w:ascii="Times New Roman" w:hAnsi="Times New Roman" w:eastAsia="宋体" w:cs="Times New Roman"/>
                      <w:color w:val="auto"/>
                      <w:kern w:val="0"/>
                      <w:sz w:val="21"/>
                      <w:szCs w:val="24"/>
                      <w:highlight w:val="none"/>
                      <w:lang w:val="en-US" w:eastAsia="zh-CN" w:bidi="ar"/>
                    </w:rPr>
                    <w:t>-</w:t>
                  </w:r>
                  <w:r>
                    <w:rPr>
                      <w:rFonts w:hint="eastAsia" w:ascii="Times New Roman" w:hAnsi="Times New Roman" w:eastAsia="宋体" w:cs="宋体"/>
                      <w:color w:val="auto"/>
                      <w:kern w:val="0"/>
                      <w:sz w:val="21"/>
                      <w:szCs w:val="24"/>
                      <w:highlight w:val="none"/>
                      <w:lang w:val="en-US" w:eastAsia="zh-CN" w:bidi="ar"/>
                    </w:rPr>
                    <w:t>焊料</w:t>
                  </w:r>
                </w:p>
              </w:tc>
              <w:tc>
                <w:tcPr>
                  <w:tcW w:w="639"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bCs/>
                      <w:color w:val="auto"/>
                      <w:sz w:val="21"/>
                      <w:highlight w:val="none"/>
                      <w:vertAlign w:val="baseline"/>
                      <w:lang w:eastAsia="zh-CN"/>
                    </w:rPr>
                  </w:pPr>
                  <w:r>
                    <w:rPr>
                      <w:rFonts w:hint="default" w:ascii="Times New Roman" w:hAnsi="Times New Roman" w:eastAsia="宋体" w:cs="Times New Roman"/>
                      <w:color w:val="auto"/>
                      <w:kern w:val="0"/>
                      <w:sz w:val="21"/>
                      <w:szCs w:val="24"/>
                      <w:highlight w:val="none"/>
                      <w:lang w:val="en-US" w:eastAsia="zh-CN" w:bidi="ar"/>
                    </w:rPr>
                    <w:t>4.134×10</w:t>
                  </w:r>
                  <w:r>
                    <w:rPr>
                      <w:rFonts w:hint="default" w:ascii="Times New Roman" w:hAnsi="Times New Roman" w:eastAsia="宋体" w:cs="Times New Roman"/>
                      <w:color w:val="auto"/>
                      <w:kern w:val="0"/>
                      <w:sz w:val="21"/>
                      <w:szCs w:val="16"/>
                      <w:highlight w:val="none"/>
                      <w:vertAlign w:val="superscript"/>
                      <w:lang w:val="en-US" w:eastAsia="zh-CN" w:bidi="ar"/>
                    </w:rPr>
                    <w:t>-1</w:t>
                  </w:r>
                </w:p>
              </w:tc>
            </w:tr>
          </w:tbl>
          <w:p>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eastAsia="zh-CN"/>
              </w:rPr>
              <w:t>本项目</w:t>
            </w:r>
            <w:r>
              <w:rPr>
                <w:rFonts w:hint="default" w:ascii="Times New Roman" w:hAnsi="Times New Roman" w:eastAsia="宋体" w:cs="Times New Roman"/>
                <w:b w:val="0"/>
                <w:bCs/>
                <w:color w:val="auto"/>
                <w:sz w:val="24"/>
                <w:highlight w:val="none"/>
                <w:lang w:eastAsia="zh-CN"/>
              </w:rPr>
              <w:t>原料为无铅焊料</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颗粒物产生系数为</w:t>
            </w:r>
            <w:r>
              <w:rPr>
                <w:rFonts w:hint="eastAsia" w:ascii="Times New Roman" w:hAnsi="Times New Roman" w:eastAsia="宋体" w:cs="Times New Roman"/>
                <w:b w:val="0"/>
                <w:bCs/>
                <w:color w:val="auto"/>
                <w:sz w:val="24"/>
                <w:highlight w:val="none"/>
                <w:lang w:val="en-US" w:eastAsia="zh-CN"/>
              </w:rPr>
              <w:t>0.4134</w:t>
            </w:r>
            <w:r>
              <w:rPr>
                <w:rFonts w:hint="default" w:ascii="Times New Roman" w:hAnsi="Times New Roman" w:eastAsia="宋体" w:cs="Times New Roman"/>
                <w:b w:val="0"/>
                <w:bCs/>
                <w:color w:val="auto"/>
                <w:sz w:val="24"/>
                <w:highlight w:val="none"/>
                <w:lang w:eastAsia="zh-CN"/>
              </w:rPr>
              <w:t>g/kg</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本项目锡</w:t>
            </w:r>
            <w:r>
              <w:rPr>
                <w:rFonts w:hint="eastAsia" w:ascii="Times New Roman" w:hAnsi="Times New Roman" w:eastAsia="宋体" w:cs="Times New Roman"/>
                <w:b w:val="0"/>
                <w:bCs/>
                <w:color w:val="auto"/>
                <w:sz w:val="24"/>
                <w:highlight w:val="none"/>
                <w:lang w:eastAsia="zh-CN"/>
              </w:rPr>
              <w:t>条</w:t>
            </w:r>
            <w:r>
              <w:rPr>
                <w:rFonts w:hint="default" w:ascii="Times New Roman" w:hAnsi="Times New Roman" w:eastAsia="宋体" w:cs="Times New Roman"/>
                <w:b w:val="0"/>
                <w:bCs/>
                <w:color w:val="auto"/>
                <w:sz w:val="24"/>
                <w:highlight w:val="none"/>
                <w:lang w:eastAsia="zh-CN"/>
              </w:rPr>
              <w:t>总用量为</w:t>
            </w:r>
            <w:r>
              <w:rPr>
                <w:rFonts w:hint="eastAsia" w:cs="Times New Roman"/>
                <w:b w:val="0"/>
                <w:bCs/>
                <w:color w:val="auto"/>
                <w:sz w:val="24"/>
                <w:highlight w:val="none"/>
                <w:lang w:val="en-US" w:eastAsia="zh-CN"/>
              </w:rPr>
              <w:t>1.2t</w:t>
            </w:r>
            <w:r>
              <w:rPr>
                <w:rFonts w:hint="default" w:ascii="Times New Roman" w:hAnsi="Times New Roman" w:eastAsia="宋体" w:cs="Times New Roman"/>
                <w:b w:val="0"/>
                <w:bCs/>
                <w:color w:val="auto"/>
                <w:sz w:val="24"/>
                <w:highlight w:val="none"/>
                <w:lang w:eastAsia="zh-CN"/>
              </w:rPr>
              <w:t>/a</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则</w:t>
            </w:r>
            <w:r>
              <w:rPr>
                <w:rFonts w:hint="eastAsia" w:ascii="Times New Roman" w:hAnsi="Times New Roman" w:eastAsia="宋体" w:cs="Times New Roman"/>
                <w:b w:val="0"/>
                <w:bCs/>
                <w:color w:val="auto"/>
                <w:sz w:val="24"/>
                <w:highlight w:val="none"/>
                <w:lang w:eastAsia="zh-CN"/>
              </w:rPr>
              <w:t>颗粒物产生量</w:t>
            </w:r>
            <w:r>
              <w:rPr>
                <w:rFonts w:hint="default" w:ascii="Times New Roman" w:hAnsi="Times New Roman" w:eastAsia="宋体" w:cs="Times New Roman"/>
                <w:b w:val="0"/>
                <w:bCs/>
                <w:color w:val="auto"/>
                <w:sz w:val="24"/>
                <w:highlight w:val="none"/>
                <w:lang w:eastAsia="zh-CN"/>
              </w:rPr>
              <w:t>为</w:t>
            </w:r>
            <w:r>
              <w:rPr>
                <w:rFonts w:hint="eastAsia" w:cs="Times New Roman"/>
                <w:b w:val="0"/>
                <w:bCs/>
                <w:color w:val="auto"/>
                <w:sz w:val="24"/>
                <w:highlight w:val="none"/>
                <w:lang w:val="en-US" w:eastAsia="zh-CN"/>
              </w:rPr>
              <w:t>0.4961kg</w:t>
            </w:r>
            <w:r>
              <w:rPr>
                <w:rFonts w:hint="default" w:ascii="Times New Roman" w:hAnsi="Times New Roman" w:eastAsia="宋体" w:cs="Times New Roman"/>
                <w:b w:val="0"/>
                <w:bCs/>
                <w:color w:val="auto"/>
                <w:sz w:val="24"/>
                <w:highlight w:val="none"/>
                <w:lang w:eastAsia="zh-CN"/>
              </w:rPr>
              <w:t>/a</w:t>
            </w:r>
            <w:r>
              <w:rPr>
                <w:rFonts w:hint="eastAsia" w:ascii="Times New Roman" w:hAnsi="Times New Roman" w:eastAsia="宋体" w:cs="Times New Roman"/>
                <w:b w:val="0"/>
                <w:bCs/>
                <w:color w:val="auto"/>
                <w:sz w:val="24"/>
                <w:highlight w:val="none"/>
                <w:lang w:eastAsia="zh-CN"/>
              </w:rPr>
              <w:t>；项目焊接烟尘中产生锡及其化合物，参照《焊接技术手册》(王文翰主编)，其含量约占烟尘总量的7.18%，则本项目锡及其化合物的产生量为</w:t>
            </w:r>
            <w:r>
              <w:rPr>
                <w:rFonts w:hint="eastAsia" w:ascii="Times New Roman" w:hAnsi="Times New Roman" w:eastAsia="宋体" w:cs="Times New Roman"/>
                <w:b w:val="0"/>
                <w:bCs/>
                <w:color w:val="auto"/>
                <w:sz w:val="24"/>
                <w:highlight w:val="none"/>
                <w:lang w:val="en-US" w:eastAsia="zh-CN"/>
              </w:rPr>
              <w:t>0.0</w:t>
            </w:r>
            <w:r>
              <w:rPr>
                <w:rFonts w:hint="eastAsia" w:cs="Times New Roman"/>
                <w:b w:val="0"/>
                <w:bCs/>
                <w:color w:val="auto"/>
                <w:sz w:val="24"/>
                <w:highlight w:val="none"/>
                <w:lang w:val="en-US" w:eastAsia="zh-CN"/>
              </w:rPr>
              <w:t>3562kg</w:t>
            </w:r>
            <w:r>
              <w:rPr>
                <w:rFonts w:hint="eastAsia" w:ascii="Times New Roman" w:hAnsi="Times New Roman" w:eastAsia="宋体" w:cs="Times New Roman"/>
                <w:b w:val="0"/>
                <w:bCs/>
                <w:color w:val="auto"/>
                <w:sz w:val="24"/>
                <w:highlight w:val="none"/>
                <w:lang w:val="en-US" w:eastAsia="zh-CN"/>
              </w:rPr>
              <w:t>/a；项目使用焊锡过程中助焊剂，</w:t>
            </w:r>
            <w:r>
              <w:rPr>
                <w:rFonts w:hint="eastAsia" w:ascii="Times New Roman" w:hAnsi="Times New Roman" w:eastAsia="宋体" w:cs="Times New Roman"/>
                <w:b w:val="0"/>
                <w:bCs/>
                <w:color w:val="auto"/>
                <w:sz w:val="24"/>
                <w:highlight w:val="none"/>
                <w:lang w:eastAsia="zh-CN"/>
              </w:rPr>
              <w:t>助焊剂会产生</w:t>
            </w:r>
            <w:r>
              <w:rPr>
                <w:rFonts w:hint="default" w:ascii="Times New Roman" w:hAnsi="Times New Roman" w:eastAsia="宋体" w:cs="Times New Roman"/>
                <w:b w:val="0"/>
                <w:bCs/>
                <w:color w:val="auto"/>
                <w:sz w:val="24"/>
                <w:highlight w:val="none"/>
                <w:lang w:eastAsia="zh-CN"/>
              </w:rPr>
              <w:t>挥发性有机物</w:t>
            </w:r>
            <w:r>
              <w:rPr>
                <w:rFonts w:hint="eastAsia" w:ascii="Times New Roman" w:hAnsi="Times New Roman" w:eastAsia="宋体" w:cs="Times New Roman"/>
                <w:b w:val="0"/>
                <w:bCs/>
                <w:color w:val="auto"/>
                <w:sz w:val="24"/>
                <w:highlight w:val="none"/>
                <w:lang w:eastAsia="zh-CN"/>
              </w:rPr>
              <w:t>，根据项目使用助焊剂</w:t>
            </w:r>
            <w:r>
              <w:rPr>
                <w:rFonts w:hint="eastAsia" w:cs="Times New Roman"/>
                <w:b w:val="0"/>
                <w:bCs/>
                <w:color w:val="auto"/>
                <w:sz w:val="24"/>
                <w:highlight w:val="none"/>
                <w:lang w:val="en-US" w:eastAsia="zh-CN"/>
              </w:rPr>
              <w:t>产品说明书</w:t>
            </w:r>
            <w:r>
              <w:rPr>
                <w:rFonts w:hint="eastAsia" w:ascii="Times New Roman" w:hAnsi="Times New Roman" w:eastAsia="宋体" w:cs="Times New Roman"/>
                <w:b w:val="0"/>
                <w:bCs/>
                <w:color w:val="auto"/>
                <w:sz w:val="24"/>
                <w:highlight w:val="none"/>
                <w:lang w:eastAsia="zh-CN"/>
              </w:rPr>
              <w:t>显示，项目使用的助焊剂按</w:t>
            </w:r>
            <w:r>
              <w:rPr>
                <w:rFonts w:hint="eastAsia" w:cs="Times New Roman"/>
                <w:b w:val="0"/>
                <w:bCs/>
                <w:color w:val="auto"/>
                <w:sz w:val="24"/>
                <w:highlight w:val="none"/>
                <w:lang w:val="en-US" w:eastAsia="zh-CN"/>
              </w:rPr>
              <w:t>97.9</w:t>
            </w:r>
            <w:r>
              <w:rPr>
                <w:rFonts w:hint="eastAsia" w:ascii="Times New Roman" w:hAnsi="Times New Roman" w:eastAsia="宋体" w:cs="Times New Roman"/>
                <w:b w:val="0"/>
                <w:bCs/>
                <w:color w:val="auto"/>
                <w:sz w:val="24"/>
                <w:highlight w:val="none"/>
                <w:lang w:val="en-US" w:eastAsia="zh-CN"/>
              </w:rPr>
              <w:t>%挥发量计</w:t>
            </w:r>
            <w:r>
              <w:rPr>
                <w:rFonts w:hint="eastAsia" w:cs="Times New Roman"/>
                <w:b w:val="0"/>
                <w:bCs/>
                <w:color w:val="auto"/>
                <w:sz w:val="24"/>
                <w:highlight w:val="none"/>
                <w:lang w:val="en-US" w:eastAsia="zh-CN"/>
              </w:rPr>
              <w:t>（其中异丙醇95%）</w:t>
            </w:r>
            <w:r>
              <w:rPr>
                <w:rFonts w:hint="eastAsia" w:ascii="Times New Roman" w:hAnsi="Times New Roman" w:eastAsia="宋体" w:cs="Times New Roman"/>
                <w:b w:val="0"/>
                <w:bCs/>
                <w:color w:val="auto"/>
                <w:sz w:val="24"/>
                <w:highlight w:val="none"/>
                <w:lang w:val="en-US" w:eastAsia="zh-CN"/>
              </w:rPr>
              <w:t>，助焊剂总用量为</w:t>
            </w:r>
            <w:r>
              <w:rPr>
                <w:rFonts w:hint="eastAsia" w:cs="Times New Roman"/>
                <w:b w:val="0"/>
                <w:bCs/>
                <w:color w:val="auto"/>
                <w:sz w:val="24"/>
                <w:highlight w:val="none"/>
                <w:lang w:val="en-US" w:eastAsia="zh-CN"/>
              </w:rPr>
              <w:t>1.25t</w:t>
            </w:r>
            <w:r>
              <w:rPr>
                <w:rFonts w:hint="eastAsia" w:ascii="Times New Roman" w:hAnsi="Times New Roman" w:eastAsia="宋体" w:cs="Times New Roman"/>
                <w:b w:val="0"/>
                <w:bCs/>
                <w:color w:val="auto"/>
                <w:sz w:val="24"/>
                <w:highlight w:val="none"/>
                <w:lang w:val="en-US" w:eastAsia="zh-CN"/>
              </w:rPr>
              <w:t>/a，</w:t>
            </w:r>
            <w:r>
              <w:rPr>
                <w:rFonts w:hint="default" w:ascii="Times New Roman" w:hAnsi="Times New Roman" w:eastAsia="宋体" w:cs="Times New Roman"/>
                <w:b w:val="0"/>
                <w:bCs/>
                <w:color w:val="auto"/>
                <w:sz w:val="24"/>
                <w:highlight w:val="none"/>
                <w:lang w:eastAsia="zh-CN"/>
              </w:rPr>
              <w:t>VOCs产生量为</w:t>
            </w:r>
            <w:r>
              <w:rPr>
                <w:rFonts w:hint="eastAsia" w:cs="Times New Roman"/>
                <w:b w:val="0"/>
                <w:bCs/>
                <w:color w:val="auto"/>
                <w:sz w:val="24"/>
                <w:highlight w:val="none"/>
                <w:lang w:val="en-US" w:eastAsia="zh-CN"/>
              </w:rPr>
              <w:t>1.224</w:t>
            </w:r>
            <w:r>
              <w:rPr>
                <w:rFonts w:hint="eastAsia"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其中异丙醇为1.1875</w:t>
            </w:r>
            <w:r>
              <w:rPr>
                <w:rFonts w:hint="eastAsia"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cs="Times New Roman"/>
                <w:b w:val="0"/>
                <w:bCs/>
                <w:color w:val="auto"/>
                <w:sz w:val="24"/>
                <w:highlight w:val="none"/>
                <w:lang w:val="en-US" w:eastAsia="zh-CN"/>
              </w:rPr>
              <w:t>综上，焊锡废气中颗粒物产生量</w:t>
            </w:r>
            <w:r>
              <w:rPr>
                <w:rFonts w:hint="eastAsia" w:ascii="Times New Roman" w:hAnsi="Times New Roman" w:cs="Times New Roman"/>
                <w:b w:val="0"/>
                <w:bCs/>
                <w:color w:val="auto"/>
                <w:sz w:val="24"/>
                <w:highlight w:val="none"/>
                <w:lang w:val="en-US" w:eastAsia="zh-CN"/>
              </w:rPr>
              <w:t>0.4961kg</w:t>
            </w:r>
            <w:r>
              <w:rPr>
                <w:rFonts w:hint="default" w:ascii="Times New Roman" w:hAnsi="Times New Roman" w:eastAsia="宋体" w:cs="Times New Roman"/>
                <w:b w:val="0"/>
                <w:bCs/>
                <w:color w:val="auto"/>
                <w:sz w:val="24"/>
                <w:highlight w:val="none"/>
                <w:lang w:eastAsia="zh-CN"/>
              </w:rPr>
              <w:t>/a</w:t>
            </w:r>
            <w:r>
              <w:rPr>
                <w:rFonts w:hint="default" w:ascii="Times New Roman" w:hAnsi="Times New Roman" w:cs="Times New Roman"/>
                <w:b w:val="0"/>
                <w:bCs/>
                <w:color w:val="auto"/>
                <w:sz w:val="24"/>
                <w:highlight w:val="none"/>
                <w:lang w:val="en-US" w:eastAsia="zh-CN"/>
              </w:rPr>
              <w:t>，产生速率为0.</w:t>
            </w:r>
            <w:r>
              <w:rPr>
                <w:rFonts w:hint="eastAsia" w:ascii="Times New Roman" w:hAnsi="Times New Roman" w:cs="Times New Roman"/>
                <w:b w:val="0"/>
                <w:bCs/>
                <w:color w:val="auto"/>
                <w:sz w:val="24"/>
                <w:highlight w:val="none"/>
                <w:lang w:val="en-US" w:eastAsia="zh-CN"/>
              </w:rPr>
              <w:t>0002481</w:t>
            </w:r>
            <w:r>
              <w:rPr>
                <w:rFonts w:hint="default" w:ascii="Times New Roman" w:hAnsi="Times New Roman" w:cs="Times New Roman"/>
                <w:b w:val="0"/>
                <w:bCs/>
                <w:color w:val="auto"/>
                <w:sz w:val="24"/>
                <w:highlight w:val="none"/>
                <w:lang w:val="en-US" w:eastAsia="zh-CN"/>
              </w:rPr>
              <w:t>kg/h；锡及其化合物产生量</w:t>
            </w:r>
            <w:r>
              <w:rPr>
                <w:rFonts w:hint="eastAsia" w:ascii="Times New Roman" w:hAnsi="Times New Roman" w:cs="Times New Roman"/>
                <w:b w:val="0"/>
                <w:bCs/>
                <w:color w:val="auto"/>
                <w:sz w:val="24"/>
                <w:highlight w:val="none"/>
                <w:lang w:val="en-US" w:eastAsia="zh-CN"/>
              </w:rPr>
              <w:t>0.03562kg</w:t>
            </w:r>
            <w:r>
              <w:rPr>
                <w:rFonts w:hint="default" w:ascii="Times New Roman" w:hAnsi="Times New Roman" w:eastAsia="宋体" w:cs="Times New Roman"/>
                <w:b w:val="0"/>
                <w:bCs/>
                <w:color w:val="auto"/>
                <w:sz w:val="24"/>
                <w:highlight w:val="none"/>
                <w:lang w:val="en-US" w:eastAsia="zh-CN"/>
              </w:rPr>
              <w:t>/a</w:t>
            </w:r>
            <w:r>
              <w:rPr>
                <w:rFonts w:hint="default" w:ascii="Times New Roman" w:hAnsi="Times New Roman" w:cs="Times New Roman"/>
                <w:b w:val="0"/>
                <w:bCs/>
                <w:color w:val="auto"/>
                <w:sz w:val="24"/>
                <w:highlight w:val="none"/>
                <w:lang w:val="en-US" w:eastAsia="zh-CN"/>
              </w:rPr>
              <w:t>，产生速率为</w:t>
            </w:r>
            <w:r>
              <w:rPr>
                <w:rFonts w:hint="eastAsia" w:ascii="Times New Roman" w:hAnsi="Times New Roman" w:cs="Times New Roman"/>
                <w:b w:val="0"/>
                <w:bCs/>
                <w:color w:val="auto"/>
                <w:sz w:val="24"/>
                <w:highlight w:val="none"/>
                <w:lang w:val="en-US" w:eastAsia="zh-CN"/>
              </w:rPr>
              <w:t>0.00001781</w:t>
            </w:r>
            <w:r>
              <w:rPr>
                <w:rFonts w:hint="default" w:ascii="Times New Roman" w:hAnsi="Times New Roman" w:cs="Times New Roman"/>
                <w:b w:val="0"/>
                <w:bCs/>
                <w:color w:val="auto"/>
                <w:sz w:val="24"/>
                <w:highlight w:val="none"/>
                <w:lang w:val="en-US" w:eastAsia="zh-CN"/>
              </w:rPr>
              <w:t>kg/h；VOCs产生量</w:t>
            </w:r>
            <w:r>
              <w:rPr>
                <w:rFonts w:hint="eastAsia" w:ascii="Times New Roman" w:hAnsi="Times New Roman" w:cs="Times New Roman"/>
                <w:b w:val="0"/>
                <w:bCs/>
                <w:color w:val="auto"/>
                <w:sz w:val="24"/>
                <w:highlight w:val="none"/>
                <w:lang w:val="en-US" w:eastAsia="zh-CN"/>
              </w:rPr>
              <w:t>1.224</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/a</w:t>
            </w:r>
            <w:r>
              <w:rPr>
                <w:rFonts w:hint="default"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val="en-US" w:eastAsia="zh-CN"/>
              </w:rPr>
              <w:t>其中异丙醇为</w:t>
            </w:r>
            <w:r>
              <w:rPr>
                <w:rFonts w:hint="eastAsia" w:ascii="Times New Roman" w:hAnsi="Times New Roman" w:cs="Times New Roman"/>
                <w:b w:val="0"/>
                <w:bCs/>
                <w:color w:val="auto"/>
                <w:sz w:val="24"/>
                <w:highlight w:val="none"/>
                <w:lang w:val="en-US" w:eastAsia="zh-CN"/>
              </w:rPr>
              <w:t>1.1875</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/a</w:t>
            </w:r>
            <w:r>
              <w:rPr>
                <w:rFonts w:hint="default"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val="en-US" w:eastAsia="zh-CN"/>
              </w:rPr>
              <w:t>，产生速率为</w:t>
            </w:r>
            <w:r>
              <w:rPr>
                <w:rFonts w:hint="eastAsia" w:ascii="Times New Roman" w:hAnsi="Times New Roman" w:cs="Times New Roman"/>
                <w:b w:val="0"/>
                <w:bCs/>
                <w:color w:val="auto"/>
                <w:sz w:val="24"/>
                <w:highlight w:val="none"/>
                <w:lang w:val="en-US" w:eastAsia="zh-CN"/>
              </w:rPr>
              <w:t>0.612</w:t>
            </w:r>
            <w:r>
              <w:rPr>
                <w:rFonts w:hint="default" w:ascii="Times New Roman" w:hAnsi="Times New Roman" w:cs="Times New Roman"/>
                <w:b w:val="0"/>
                <w:bCs/>
                <w:color w:val="auto"/>
                <w:sz w:val="24"/>
                <w:highlight w:val="none"/>
                <w:lang w:val="en-US" w:eastAsia="zh-CN"/>
              </w:rPr>
              <w:t>kg/h</w:t>
            </w:r>
            <w:r>
              <w:rPr>
                <w:rFonts w:hint="default"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val="en-US" w:eastAsia="zh-CN"/>
              </w:rPr>
              <w:t>其中异丙醇</w:t>
            </w:r>
            <w:r>
              <w:rPr>
                <w:rFonts w:hint="eastAsia" w:ascii="Times New Roman" w:hAnsi="Times New Roman" w:cs="Times New Roman"/>
                <w:b w:val="0"/>
                <w:bCs/>
                <w:color w:val="auto"/>
                <w:sz w:val="24"/>
                <w:highlight w:val="none"/>
                <w:lang w:val="en-US" w:eastAsia="zh-CN"/>
              </w:rPr>
              <w:t>产生速率</w:t>
            </w:r>
            <w:r>
              <w:rPr>
                <w:rFonts w:hint="default" w:ascii="Times New Roman" w:hAnsi="Times New Roman"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0.5938</w:t>
            </w:r>
            <w:r>
              <w:rPr>
                <w:rFonts w:hint="default" w:ascii="Times New Roman" w:hAnsi="Times New Roman" w:cs="Times New Roman"/>
                <w:b w:val="0"/>
                <w:bCs/>
                <w:color w:val="auto"/>
                <w:sz w:val="24"/>
                <w:highlight w:val="none"/>
                <w:lang w:val="en-US" w:eastAsia="zh-CN"/>
              </w:rPr>
              <w:t>kg/h</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val="en-US" w:eastAsia="zh-CN"/>
              </w:rPr>
              <w:t>。</w:t>
            </w:r>
          </w:p>
          <w:p>
            <w:pPr>
              <w:adjustRightInd w:val="0"/>
              <w:snapToGrid w:val="0"/>
              <w:spacing w:line="360" w:lineRule="auto"/>
              <w:ind w:firstLine="482" w:firstLineChars="200"/>
              <w:rPr>
                <w:rFonts w:hint="eastAsia" w:ascii="Times New Roman" w:hAnsi="Times New Roman" w:eastAsia="宋体" w:cs="Times New Roman"/>
                <w:b/>
                <w:bCs w:val="0"/>
                <w:color w:val="auto"/>
                <w:spacing w:val="-10"/>
                <w:sz w:val="24"/>
                <w:highlight w:val="none"/>
                <w:lang w:val="en-US" w:eastAsia="zh-CN"/>
              </w:rPr>
            </w:pPr>
            <w:r>
              <w:rPr>
                <w:rFonts w:hint="eastAsia" w:cs="Times New Roman"/>
                <w:b/>
                <w:bCs w:val="0"/>
                <w:color w:val="auto"/>
                <w:sz w:val="24"/>
                <w:highlight w:val="none"/>
                <w:lang w:eastAsia="zh-CN"/>
              </w:rPr>
              <w:t>（</w:t>
            </w:r>
            <w:r>
              <w:rPr>
                <w:rFonts w:hint="eastAsia" w:cs="Times New Roman"/>
                <w:b/>
                <w:bCs w:val="0"/>
                <w:color w:val="auto"/>
                <w:sz w:val="24"/>
                <w:highlight w:val="none"/>
                <w:lang w:val="en-US" w:eastAsia="zh-CN"/>
              </w:rPr>
              <w:t>3</w:t>
            </w:r>
            <w:r>
              <w:rPr>
                <w:rFonts w:hint="eastAsia" w:cs="Times New Roman"/>
                <w:b/>
                <w:bCs w:val="0"/>
                <w:color w:val="auto"/>
                <w:sz w:val="24"/>
                <w:highlight w:val="none"/>
                <w:lang w:eastAsia="zh-CN"/>
              </w:rPr>
              <w:t>）</w:t>
            </w:r>
            <w:r>
              <w:rPr>
                <w:rFonts w:hint="eastAsia" w:ascii="Times New Roman" w:hAnsi="Times New Roman" w:cs="Times New Roman"/>
                <w:b/>
                <w:bCs w:val="0"/>
                <w:color w:val="auto"/>
                <w:spacing w:val="-10"/>
                <w:sz w:val="24"/>
                <w:highlight w:val="none"/>
                <w:lang w:val="en-US" w:eastAsia="zh-CN"/>
              </w:rPr>
              <w:t>浸</w:t>
            </w:r>
            <w:r>
              <w:rPr>
                <w:rFonts w:hint="eastAsia" w:cs="Times New Roman"/>
                <w:b/>
                <w:bCs w:val="0"/>
                <w:color w:val="auto"/>
                <w:spacing w:val="-10"/>
                <w:sz w:val="24"/>
                <w:highlight w:val="none"/>
                <w:lang w:val="en-US" w:eastAsia="zh-CN"/>
              </w:rPr>
              <w:t>漆、烘干</w:t>
            </w:r>
            <w:r>
              <w:rPr>
                <w:rFonts w:hint="eastAsia" w:ascii="Times New Roman" w:hAnsi="Times New Roman" w:cs="Times New Roman"/>
                <w:b/>
                <w:bCs w:val="0"/>
                <w:color w:val="auto"/>
                <w:spacing w:val="-10"/>
                <w:sz w:val="24"/>
                <w:highlight w:val="none"/>
                <w:lang w:val="en-US" w:eastAsia="zh-CN"/>
              </w:rPr>
              <w:t>废气</w:t>
            </w:r>
          </w:p>
          <w:p>
            <w:pPr>
              <w:spacing w:line="360" w:lineRule="auto"/>
              <w:ind w:firstLine="440"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cs="Times New Roman"/>
                <w:b w:val="0"/>
                <w:bCs/>
                <w:color w:val="auto"/>
                <w:spacing w:val="-10"/>
                <w:sz w:val="24"/>
                <w:highlight w:val="none"/>
                <w:lang w:eastAsia="zh-CN"/>
              </w:rPr>
              <w:t>项目浸</w:t>
            </w:r>
            <w:r>
              <w:rPr>
                <w:rFonts w:hint="eastAsia" w:cs="Times New Roman"/>
                <w:b w:val="0"/>
                <w:bCs/>
                <w:color w:val="auto"/>
                <w:spacing w:val="-10"/>
                <w:sz w:val="24"/>
                <w:highlight w:val="none"/>
                <w:lang w:val="en-US" w:eastAsia="zh-CN"/>
              </w:rPr>
              <w:t>漆工序</w:t>
            </w:r>
            <w:r>
              <w:rPr>
                <w:rFonts w:hint="default" w:ascii="Times New Roman" w:hAnsi="Times New Roman" w:cs="Times New Roman"/>
                <w:b w:val="0"/>
                <w:bCs/>
                <w:color w:val="auto"/>
                <w:spacing w:val="-10"/>
                <w:sz w:val="24"/>
                <w:highlight w:val="none"/>
                <w:lang w:eastAsia="zh-CN"/>
              </w:rPr>
              <w:t>和烘干工序使用</w:t>
            </w:r>
            <w:r>
              <w:rPr>
                <w:rFonts w:hint="eastAsia" w:ascii="Times New Roman" w:hAnsi="Times New Roman" w:cs="Times New Roman"/>
                <w:b w:val="0"/>
                <w:bCs/>
                <w:color w:val="auto"/>
                <w:spacing w:val="-10"/>
                <w:sz w:val="24"/>
                <w:highlight w:val="none"/>
                <w:lang w:val="en-US" w:eastAsia="zh-CN"/>
              </w:rPr>
              <w:t>绝缘漆和稀释剂</w:t>
            </w:r>
            <w:r>
              <w:rPr>
                <w:rFonts w:hint="default" w:ascii="Times New Roman" w:hAnsi="Times New Roman" w:cs="Times New Roman"/>
                <w:b w:val="0"/>
                <w:bCs/>
                <w:color w:val="auto"/>
                <w:spacing w:val="-10"/>
                <w:sz w:val="24"/>
                <w:highlight w:val="none"/>
                <w:lang w:eastAsia="zh-CN"/>
              </w:rPr>
              <w:t>，根据</w:t>
            </w:r>
            <w:r>
              <w:rPr>
                <w:rFonts w:hint="eastAsia" w:ascii="Times New Roman" w:hAnsi="Times New Roman" w:cs="Times New Roman"/>
                <w:b w:val="0"/>
                <w:bCs/>
                <w:color w:val="auto"/>
                <w:spacing w:val="-10"/>
                <w:sz w:val="24"/>
                <w:highlight w:val="none"/>
                <w:lang w:eastAsia="zh-CN"/>
              </w:rPr>
              <w:t>成分报告</w:t>
            </w:r>
            <w:r>
              <w:rPr>
                <w:rFonts w:hint="default" w:ascii="Times New Roman" w:hAnsi="Times New Roman" w:cs="Times New Roman"/>
                <w:b w:val="0"/>
                <w:bCs/>
                <w:color w:val="auto"/>
                <w:spacing w:val="-10"/>
                <w:sz w:val="24"/>
                <w:highlight w:val="none"/>
                <w:lang w:eastAsia="zh-CN"/>
              </w:rPr>
              <w:t>，</w:t>
            </w:r>
            <w:r>
              <w:rPr>
                <w:rFonts w:hint="eastAsia" w:ascii="Times New Roman" w:hAnsi="Times New Roman" w:cs="Times New Roman"/>
                <w:b w:val="0"/>
                <w:bCs/>
                <w:color w:val="auto"/>
                <w:spacing w:val="-10"/>
                <w:sz w:val="24"/>
                <w:highlight w:val="none"/>
                <w:lang w:val="en-US" w:eastAsia="zh-CN"/>
              </w:rPr>
              <w:t>绝缘</w:t>
            </w:r>
            <w:r>
              <w:rPr>
                <w:rFonts w:hint="default" w:ascii="Times New Roman" w:hAnsi="Times New Roman" w:cs="Times New Roman"/>
                <w:b w:val="0"/>
                <w:bCs/>
                <w:color w:val="auto"/>
                <w:spacing w:val="-10"/>
                <w:sz w:val="24"/>
                <w:highlight w:val="none"/>
                <w:lang w:eastAsia="zh-CN"/>
              </w:rPr>
              <w:t>漆中</w:t>
            </w:r>
            <w:r>
              <w:rPr>
                <w:rFonts w:hint="eastAsia" w:ascii="Times New Roman" w:hAnsi="Times New Roman" w:cs="Times New Roman"/>
                <w:b w:val="0"/>
                <w:bCs/>
                <w:color w:val="auto"/>
                <w:spacing w:val="-10"/>
                <w:sz w:val="24"/>
                <w:highlight w:val="none"/>
                <w:lang w:val="en-US" w:eastAsia="zh-CN"/>
              </w:rPr>
              <w:t>VOCs含量为263g/l</w:t>
            </w:r>
            <w:r>
              <w:rPr>
                <w:rFonts w:hint="default" w:ascii="Times New Roman" w:hAnsi="Times New Roman" w:cs="Times New Roman"/>
                <w:b w:val="0"/>
                <w:bCs/>
                <w:color w:val="auto"/>
                <w:spacing w:val="-10"/>
                <w:sz w:val="24"/>
                <w:highlight w:val="none"/>
                <w:lang w:eastAsia="zh-CN"/>
              </w:rPr>
              <w:t>，</w:t>
            </w:r>
            <w:r>
              <w:rPr>
                <w:rFonts w:hint="eastAsia" w:ascii="Times New Roman" w:hAnsi="Times New Roman" w:cs="Times New Roman"/>
                <w:b w:val="0"/>
                <w:bCs/>
                <w:color w:val="auto"/>
                <w:spacing w:val="-10"/>
                <w:sz w:val="24"/>
                <w:highlight w:val="none"/>
                <w:lang w:val="en-US" w:eastAsia="zh-CN"/>
              </w:rPr>
              <w:t>稀释剂</w:t>
            </w:r>
            <w:r>
              <w:rPr>
                <w:rFonts w:hint="default" w:ascii="Times New Roman" w:hAnsi="Times New Roman" w:cs="Times New Roman"/>
                <w:b w:val="0"/>
                <w:bCs/>
                <w:color w:val="auto"/>
                <w:spacing w:val="-10"/>
                <w:sz w:val="24"/>
                <w:highlight w:val="none"/>
                <w:lang w:eastAsia="zh-CN"/>
              </w:rPr>
              <w:t>挥发性组分为100%（其中二甲苯</w:t>
            </w:r>
            <w:r>
              <w:rPr>
                <w:rFonts w:hint="eastAsia" w:ascii="Times New Roman" w:hAnsi="Times New Roman" w:cs="Times New Roman"/>
                <w:b w:val="0"/>
                <w:bCs/>
                <w:color w:val="auto"/>
                <w:spacing w:val="-10"/>
                <w:sz w:val="24"/>
                <w:highlight w:val="none"/>
                <w:lang w:val="en-US" w:eastAsia="zh-CN"/>
              </w:rPr>
              <w:t>35</w:t>
            </w:r>
            <w:r>
              <w:rPr>
                <w:rFonts w:hint="default" w:ascii="Times New Roman" w:hAnsi="Times New Roman" w:cs="Times New Roman"/>
                <w:b w:val="0"/>
                <w:bCs/>
                <w:color w:val="auto"/>
                <w:spacing w:val="-10"/>
                <w:sz w:val="24"/>
                <w:highlight w:val="none"/>
                <w:lang w:eastAsia="zh-CN"/>
              </w:rPr>
              <w:t>%）。项目</w:t>
            </w:r>
            <w:r>
              <w:rPr>
                <w:rFonts w:hint="eastAsia" w:ascii="Times New Roman" w:hAnsi="Times New Roman" w:cs="Times New Roman"/>
                <w:b w:val="0"/>
                <w:bCs/>
                <w:color w:val="auto"/>
                <w:spacing w:val="-10"/>
                <w:sz w:val="24"/>
                <w:highlight w:val="none"/>
                <w:lang w:eastAsia="zh-CN"/>
              </w:rPr>
              <w:t>绝缘漆</w:t>
            </w:r>
            <w:r>
              <w:rPr>
                <w:rFonts w:hint="default" w:ascii="Times New Roman" w:hAnsi="Times New Roman" w:cs="Times New Roman"/>
                <w:b w:val="0"/>
                <w:bCs/>
                <w:color w:val="auto"/>
                <w:spacing w:val="-10"/>
                <w:sz w:val="24"/>
                <w:highlight w:val="none"/>
                <w:lang w:eastAsia="zh-CN"/>
              </w:rPr>
              <w:t>年用量为</w:t>
            </w:r>
            <w:r>
              <w:rPr>
                <w:rFonts w:hint="eastAsia" w:cs="Times New Roman"/>
                <w:b w:val="0"/>
                <w:bCs/>
                <w:color w:val="auto"/>
                <w:spacing w:val="-10"/>
                <w:sz w:val="24"/>
                <w:highlight w:val="none"/>
                <w:lang w:val="en-US" w:eastAsia="zh-CN"/>
              </w:rPr>
              <w:t>3.3</w:t>
            </w:r>
            <w:r>
              <w:rPr>
                <w:rFonts w:hint="default" w:ascii="Times New Roman" w:hAnsi="Times New Roman" w:cs="Times New Roman"/>
                <w:b w:val="0"/>
                <w:bCs/>
                <w:color w:val="auto"/>
                <w:spacing w:val="-10"/>
                <w:sz w:val="24"/>
                <w:highlight w:val="none"/>
                <w:lang w:eastAsia="zh-CN"/>
              </w:rPr>
              <w:t>t/a</w:t>
            </w:r>
            <w:r>
              <w:rPr>
                <w:rFonts w:hint="eastAsia" w:ascii="Times New Roman" w:hAnsi="Times New Roman" w:cs="Times New Roman"/>
                <w:b w:val="0"/>
                <w:bCs/>
                <w:color w:val="auto"/>
                <w:spacing w:val="-10"/>
                <w:sz w:val="24"/>
                <w:highlight w:val="none"/>
                <w:lang w:eastAsia="zh-CN"/>
              </w:rPr>
              <w:t>（绝缘漆的密度为</w:t>
            </w:r>
            <w:r>
              <w:rPr>
                <w:rFonts w:hint="eastAsia" w:ascii="Times New Roman" w:hAnsi="Times New Roman" w:cs="Times New Roman"/>
                <w:b w:val="0"/>
                <w:bCs/>
                <w:color w:val="auto"/>
                <w:spacing w:val="-10"/>
                <w:sz w:val="24"/>
                <w:highlight w:val="none"/>
                <w:lang w:val="en-US" w:eastAsia="zh-CN"/>
              </w:rPr>
              <w:t>0.95kg/l，折合用量为</w:t>
            </w:r>
            <w:r>
              <w:rPr>
                <w:rFonts w:hint="eastAsia" w:cs="Times New Roman"/>
                <w:b w:val="0"/>
                <w:bCs/>
                <w:color w:val="auto"/>
                <w:spacing w:val="-10"/>
                <w:sz w:val="24"/>
                <w:highlight w:val="none"/>
                <w:lang w:val="en-US" w:eastAsia="zh-CN"/>
              </w:rPr>
              <w:t>3473.684</w:t>
            </w:r>
            <w:r>
              <w:rPr>
                <w:rFonts w:hint="eastAsia" w:ascii="Times New Roman" w:hAnsi="Times New Roman" w:cs="Times New Roman"/>
                <w:b w:val="0"/>
                <w:bCs/>
                <w:color w:val="auto"/>
                <w:spacing w:val="-10"/>
                <w:sz w:val="24"/>
                <w:highlight w:val="none"/>
                <w:lang w:val="en-US" w:eastAsia="zh-CN"/>
              </w:rPr>
              <w:t>L</w:t>
            </w:r>
            <w:r>
              <w:rPr>
                <w:rFonts w:hint="eastAsia" w:ascii="Times New Roman" w:hAnsi="Times New Roman" w:cs="Times New Roman"/>
                <w:b w:val="0"/>
                <w:bCs/>
                <w:color w:val="auto"/>
                <w:spacing w:val="-10"/>
                <w:sz w:val="24"/>
                <w:highlight w:val="none"/>
                <w:lang w:eastAsia="zh-CN"/>
              </w:rPr>
              <w:t>）</w:t>
            </w:r>
            <w:r>
              <w:rPr>
                <w:rFonts w:hint="default" w:ascii="Times New Roman" w:hAnsi="Times New Roman" w:cs="Times New Roman"/>
                <w:b w:val="0"/>
                <w:bCs/>
                <w:color w:val="auto"/>
                <w:spacing w:val="-10"/>
                <w:sz w:val="24"/>
                <w:highlight w:val="none"/>
                <w:lang w:eastAsia="zh-CN"/>
              </w:rPr>
              <w:t>，</w:t>
            </w:r>
            <w:r>
              <w:rPr>
                <w:rFonts w:hint="eastAsia" w:ascii="Times New Roman" w:hAnsi="Times New Roman" w:cs="Times New Roman"/>
                <w:b w:val="0"/>
                <w:bCs/>
                <w:color w:val="auto"/>
                <w:spacing w:val="-10"/>
                <w:sz w:val="24"/>
                <w:highlight w:val="none"/>
                <w:lang w:eastAsia="zh-CN"/>
              </w:rPr>
              <w:t>稀释剂</w:t>
            </w:r>
            <w:r>
              <w:rPr>
                <w:rFonts w:hint="default" w:ascii="Times New Roman" w:hAnsi="Times New Roman" w:cs="Times New Roman"/>
                <w:b w:val="0"/>
                <w:bCs/>
                <w:color w:val="auto"/>
                <w:spacing w:val="-10"/>
                <w:sz w:val="24"/>
                <w:highlight w:val="none"/>
                <w:lang w:eastAsia="zh-CN"/>
              </w:rPr>
              <w:t>年用量为</w:t>
            </w:r>
            <w:r>
              <w:rPr>
                <w:rFonts w:hint="eastAsia" w:cs="Times New Roman"/>
                <w:b w:val="0"/>
                <w:bCs/>
                <w:color w:val="auto"/>
                <w:spacing w:val="-10"/>
                <w:sz w:val="24"/>
                <w:highlight w:val="none"/>
                <w:lang w:val="en-US" w:eastAsia="zh-CN"/>
              </w:rPr>
              <w:t>1.1</w:t>
            </w:r>
            <w:r>
              <w:rPr>
                <w:rFonts w:hint="default" w:ascii="Times New Roman" w:hAnsi="Times New Roman" w:cs="Times New Roman"/>
                <w:b w:val="0"/>
                <w:bCs/>
                <w:color w:val="auto"/>
                <w:spacing w:val="-10"/>
                <w:sz w:val="24"/>
                <w:highlight w:val="none"/>
                <w:lang w:eastAsia="zh-CN"/>
              </w:rPr>
              <w:t>t/a，则浸漆</w:t>
            </w:r>
            <w:r>
              <w:rPr>
                <w:rFonts w:hint="eastAsia" w:cs="Times New Roman"/>
                <w:b w:val="0"/>
                <w:bCs/>
                <w:color w:val="auto"/>
                <w:spacing w:val="-10"/>
                <w:sz w:val="24"/>
                <w:highlight w:val="none"/>
                <w:lang w:eastAsia="zh-CN"/>
              </w:rPr>
              <w:t>、</w:t>
            </w:r>
            <w:r>
              <w:rPr>
                <w:rFonts w:hint="default" w:ascii="Times New Roman" w:hAnsi="Times New Roman" w:cs="Times New Roman"/>
                <w:b w:val="0"/>
                <w:bCs/>
                <w:color w:val="auto"/>
                <w:spacing w:val="-10"/>
                <w:sz w:val="24"/>
                <w:highlight w:val="none"/>
                <w:lang w:eastAsia="zh-CN"/>
              </w:rPr>
              <w:t>烘干工序</w:t>
            </w:r>
            <w:r>
              <w:rPr>
                <w:rFonts w:hint="eastAsia" w:ascii="Times New Roman" w:hAnsi="Times New Roman" w:cs="Times New Roman"/>
                <w:b w:val="0"/>
                <w:bCs/>
                <w:color w:val="auto"/>
                <w:spacing w:val="-10"/>
                <w:sz w:val="24"/>
                <w:highlight w:val="none"/>
                <w:lang w:val="en-US" w:eastAsia="zh-CN"/>
              </w:rPr>
              <w:t>VOCs</w:t>
            </w:r>
            <w:r>
              <w:rPr>
                <w:rFonts w:hint="default" w:ascii="Times New Roman" w:hAnsi="Times New Roman" w:cs="Times New Roman"/>
                <w:b w:val="0"/>
                <w:bCs/>
                <w:color w:val="auto"/>
                <w:spacing w:val="-10"/>
                <w:sz w:val="24"/>
                <w:highlight w:val="none"/>
                <w:lang w:eastAsia="zh-CN"/>
              </w:rPr>
              <w:t>产生量为</w:t>
            </w:r>
            <w:r>
              <w:rPr>
                <w:rFonts w:hint="eastAsia" w:cs="Times New Roman"/>
                <w:b w:val="0"/>
                <w:bCs/>
                <w:color w:val="auto"/>
                <w:spacing w:val="-10"/>
                <w:sz w:val="24"/>
                <w:highlight w:val="none"/>
                <w:lang w:val="en-US" w:eastAsia="zh-CN"/>
              </w:rPr>
              <w:t>2.014</w:t>
            </w:r>
            <w:r>
              <w:rPr>
                <w:rFonts w:hint="default" w:ascii="Times New Roman" w:hAnsi="Times New Roman" w:cs="Times New Roman"/>
                <w:b w:val="0"/>
                <w:bCs/>
                <w:color w:val="auto"/>
                <w:spacing w:val="-10"/>
                <w:sz w:val="24"/>
                <w:highlight w:val="none"/>
                <w:lang w:eastAsia="zh-CN"/>
              </w:rPr>
              <w:t>t/a（其中二甲苯</w:t>
            </w:r>
            <w:r>
              <w:rPr>
                <w:rFonts w:hint="eastAsia" w:ascii="Times New Roman" w:hAnsi="Times New Roman" w:cs="Times New Roman"/>
                <w:b w:val="0"/>
                <w:bCs/>
                <w:color w:val="auto"/>
                <w:spacing w:val="-10"/>
                <w:sz w:val="24"/>
                <w:highlight w:val="none"/>
                <w:lang w:val="en-US" w:eastAsia="zh-CN"/>
              </w:rPr>
              <w:t>0.</w:t>
            </w:r>
            <w:r>
              <w:rPr>
                <w:rFonts w:hint="eastAsia" w:cs="Times New Roman"/>
                <w:b w:val="0"/>
                <w:bCs/>
                <w:color w:val="auto"/>
                <w:spacing w:val="-10"/>
                <w:sz w:val="24"/>
                <w:highlight w:val="none"/>
                <w:lang w:val="en-US" w:eastAsia="zh-CN"/>
              </w:rPr>
              <w:t>385</w:t>
            </w:r>
            <w:r>
              <w:rPr>
                <w:rFonts w:hint="default" w:ascii="Times New Roman" w:hAnsi="Times New Roman" w:cs="Times New Roman"/>
                <w:b w:val="0"/>
                <w:bCs/>
                <w:color w:val="auto"/>
                <w:spacing w:val="-10"/>
                <w:sz w:val="24"/>
                <w:highlight w:val="none"/>
                <w:lang w:eastAsia="zh-CN"/>
              </w:rPr>
              <w:t>t/a）。</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cs="Times New Roman"/>
                <w:b w:val="0"/>
                <w:bCs/>
                <w:color w:val="auto"/>
                <w:sz w:val="24"/>
                <w:highlight w:val="none"/>
                <w:lang w:val="en-US" w:eastAsia="zh-CN"/>
              </w:rPr>
              <w:t>综上，浸漆、烘干废气中VO</w:t>
            </w:r>
            <w:r>
              <w:rPr>
                <w:rFonts w:hint="default" w:ascii="Times New Roman" w:hAnsi="Times New Roman" w:cs="Times New Roman"/>
                <w:b w:val="0"/>
                <w:bCs/>
                <w:color w:val="auto"/>
                <w:sz w:val="24"/>
                <w:highlight w:val="none"/>
                <w:lang w:val="en-US" w:eastAsia="zh-CN"/>
              </w:rPr>
              <w:t>Cs产生量</w:t>
            </w:r>
            <w:r>
              <w:rPr>
                <w:rFonts w:hint="eastAsia" w:ascii="Times New Roman" w:hAnsi="Times New Roman" w:cs="Times New Roman"/>
                <w:b w:val="0"/>
                <w:bCs/>
                <w:color w:val="auto"/>
                <w:sz w:val="24"/>
                <w:highlight w:val="none"/>
                <w:lang w:val="en-US" w:eastAsia="zh-CN"/>
              </w:rPr>
              <w:t>2.014</w:t>
            </w:r>
            <w:r>
              <w:rPr>
                <w:rFonts w:hint="default" w:ascii="Times New Roman" w:hAnsi="Times New Roman" w:cs="Times New Roman"/>
                <w:b w:val="0"/>
                <w:bCs/>
                <w:color w:val="auto"/>
                <w:spacing w:val="-10"/>
                <w:sz w:val="24"/>
                <w:highlight w:val="none"/>
                <w:lang w:eastAsia="zh-CN"/>
              </w:rPr>
              <w:t>t/a</w:t>
            </w:r>
            <w:r>
              <w:rPr>
                <w:rFonts w:hint="default" w:ascii="Times New Roman" w:hAnsi="Times New Roman" w:cs="Times New Roman"/>
                <w:b w:val="0"/>
                <w:bCs/>
                <w:color w:val="auto"/>
                <w:sz w:val="24"/>
                <w:highlight w:val="none"/>
                <w:lang w:val="en-US" w:eastAsia="zh-CN"/>
              </w:rPr>
              <w:t>，产生速率为</w:t>
            </w:r>
            <w:r>
              <w:rPr>
                <w:rFonts w:hint="eastAsia" w:ascii="Times New Roman" w:hAnsi="Times New Roman" w:cs="Times New Roman"/>
                <w:b w:val="0"/>
                <w:bCs/>
                <w:color w:val="auto"/>
                <w:sz w:val="24"/>
                <w:highlight w:val="none"/>
                <w:lang w:val="en-US" w:eastAsia="zh-CN"/>
              </w:rPr>
              <w:t>1.007</w:t>
            </w:r>
            <w:r>
              <w:rPr>
                <w:rFonts w:hint="default" w:ascii="Times New Roman" w:hAnsi="Times New Roman" w:cs="Times New Roman"/>
                <w:b w:val="0"/>
                <w:bCs/>
                <w:color w:val="auto"/>
                <w:sz w:val="24"/>
                <w:highlight w:val="none"/>
                <w:lang w:val="en-US" w:eastAsia="zh-CN"/>
              </w:rPr>
              <w:t>kg/h；其中二甲苯产生量</w:t>
            </w:r>
            <w:r>
              <w:rPr>
                <w:rFonts w:hint="default" w:ascii="Times New Roman" w:hAnsi="Times New Roman" w:cs="Times New Roman"/>
                <w:b w:val="0"/>
                <w:bCs/>
                <w:color w:val="auto"/>
                <w:spacing w:val="-10"/>
                <w:sz w:val="24"/>
                <w:highlight w:val="none"/>
                <w:lang w:val="en-US" w:eastAsia="zh-CN"/>
              </w:rPr>
              <w:t>0.3</w:t>
            </w:r>
            <w:r>
              <w:rPr>
                <w:rFonts w:hint="eastAsia" w:ascii="Times New Roman" w:hAnsi="Times New Roman" w:cs="Times New Roman"/>
                <w:b w:val="0"/>
                <w:bCs/>
                <w:color w:val="auto"/>
                <w:spacing w:val="-10"/>
                <w:sz w:val="24"/>
                <w:highlight w:val="none"/>
                <w:lang w:val="en-US" w:eastAsia="zh-CN"/>
              </w:rPr>
              <w:t>85</w:t>
            </w:r>
            <w:r>
              <w:rPr>
                <w:rFonts w:hint="default" w:ascii="Times New Roman" w:hAnsi="Times New Roman" w:cs="Times New Roman"/>
                <w:b w:val="0"/>
                <w:bCs/>
                <w:color w:val="auto"/>
                <w:spacing w:val="-10"/>
                <w:sz w:val="24"/>
                <w:highlight w:val="none"/>
                <w:lang w:eastAsia="zh-CN"/>
              </w:rPr>
              <w:t>t/a</w:t>
            </w:r>
            <w:r>
              <w:rPr>
                <w:rFonts w:hint="default" w:ascii="Times New Roman" w:hAnsi="Times New Roman" w:cs="Times New Roman"/>
                <w:b w:val="0"/>
                <w:bCs/>
                <w:color w:val="auto"/>
                <w:sz w:val="24"/>
                <w:highlight w:val="none"/>
                <w:lang w:val="en-US" w:eastAsia="zh-CN"/>
              </w:rPr>
              <w:t>，产生速率为0.</w:t>
            </w:r>
            <w:r>
              <w:rPr>
                <w:rFonts w:hint="eastAsia" w:ascii="Times New Roman" w:hAnsi="Times New Roman" w:cs="Times New Roman"/>
                <w:b w:val="0"/>
                <w:bCs/>
                <w:color w:val="auto"/>
                <w:sz w:val="24"/>
                <w:highlight w:val="none"/>
                <w:lang w:val="en-US" w:eastAsia="zh-CN"/>
              </w:rPr>
              <w:t>1925</w:t>
            </w:r>
            <w:r>
              <w:rPr>
                <w:rFonts w:hint="default" w:ascii="Times New Roman" w:hAnsi="Times New Roman" w:cs="Times New Roman"/>
                <w:b w:val="0"/>
                <w:bCs/>
                <w:color w:val="auto"/>
                <w:sz w:val="24"/>
                <w:highlight w:val="none"/>
                <w:lang w:val="en-US" w:eastAsia="zh-CN"/>
              </w:rPr>
              <w:t>kg/h</w:t>
            </w:r>
            <w:r>
              <w:rPr>
                <w:rFonts w:hint="eastAsia" w:ascii="Times New Roman" w:hAnsi="Times New Roman" w:cs="Times New Roman"/>
                <w:b w:val="0"/>
                <w:bCs/>
                <w:color w:val="auto"/>
                <w:sz w:val="24"/>
                <w:highlight w:val="none"/>
                <w:lang w:val="en-US" w:eastAsia="zh-CN"/>
              </w:rPr>
              <w:t>。</w:t>
            </w:r>
          </w:p>
          <w:p>
            <w:pPr>
              <w:spacing w:line="360" w:lineRule="auto"/>
              <w:ind w:firstLine="482" w:firstLineChars="200"/>
              <w:rPr>
                <w:rFonts w:hint="default" w:ascii="Times New Roman" w:hAnsi="Times New Roman" w:cs="Times New Roman"/>
                <w:b/>
                <w:bCs w:val="0"/>
                <w:color w:val="auto"/>
                <w:sz w:val="24"/>
                <w:highlight w:val="none"/>
                <w:lang w:eastAsia="zh-CN"/>
              </w:rPr>
            </w:pPr>
            <w:r>
              <w:rPr>
                <w:rFonts w:hint="eastAsia" w:cs="Times New Roman"/>
                <w:b/>
                <w:bCs w:val="0"/>
                <w:color w:val="auto"/>
                <w:sz w:val="24"/>
                <w:highlight w:val="none"/>
                <w:lang w:eastAsia="zh-CN"/>
              </w:rPr>
              <w:t>（</w:t>
            </w:r>
            <w:r>
              <w:rPr>
                <w:rFonts w:hint="eastAsia" w:cs="Times New Roman"/>
                <w:b/>
                <w:bCs w:val="0"/>
                <w:color w:val="auto"/>
                <w:sz w:val="24"/>
                <w:highlight w:val="none"/>
                <w:lang w:val="en-US" w:eastAsia="zh-CN"/>
              </w:rPr>
              <w:t>4</w:t>
            </w:r>
            <w:r>
              <w:rPr>
                <w:rFonts w:hint="eastAsia" w:cs="Times New Roman"/>
                <w:b/>
                <w:bCs w:val="0"/>
                <w:color w:val="auto"/>
                <w:sz w:val="24"/>
                <w:highlight w:val="none"/>
                <w:lang w:eastAsia="zh-CN"/>
              </w:rPr>
              <w:t>）</w:t>
            </w:r>
            <w:r>
              <w:rPr>
                <w:rFonts w:hint="eastAsia" w:cs="Times New Roman"/>
                <w:b/>
                <w:bCs w:val="0"/>
                <w:color w:val="auto"/>
                <w:spacing w:val="-10"/>
                <w:sz w:val="24"/>
                <w:highlight w:val="none"/>
                <w:lang w:val="en-US" w:eastAsia="zh-CN"/>
              </w:rPr>
              <w:t>激光打标</w:t>
            </w:r>
            <w:r>
              <w:rPr>
                <w:rFonts w:hint="eastAsia" w:ascii="Times New Roman" w:hAnsi="Times New Roman" w:cs="Times New Roman"/>
                <w:b/>
                <w:bCs w:val="0"/>
                <w:color w:val="auto"/>
                <w:spacing w:val="-10"/>
                <w:sz w:val="24"/>
                <w:highlight w:val="none"/>
                <w:lang w:val="en-US" w:eastAsia="zh-CN"/>
              </w:rPr>
              <w:t>废气</w:t>
            </w:r>
          </w:p>
          <w:p>
            <w:pPr>
              <w:spacing w:line="360" w:lineRule="auto"/>
              <w:ind w:firstLine="480" w:firstLineChars="200"/>
              <w:rPr>
                <w:rFonts w:hint="eastAsia" w:cs="Times New Roman"/>
                <w:b/>
                <w:bCs w:val="0"/>
                <w:color w:val="auto"/>
                <w:sz w:val="24"/>
                <w:highlight w:val="none"/>
                <w:lang w:val="en-US" w:eastAsia="zh-CN"/>
              </w:rPr>
            </w:pPr>
            <w:r>
              <w:rPr>
                <w:rFonts w:hint="eastAsia" w:cs="Times New Roman"/>
                <w:b w:val="0"/>
                <w:bCs/>
                <w:color w:val="auto"/>
                <w:sz w:val="24"/>
                <w:highlight w:val="none"/>
                <w:lang w:val="en-US" w:eastAsia="zh-CN"/>
              </w:rPr>
              <w:t>项目包装入库工序中涉及到激光打标过程，基本原理是，由激光发生器生成高能量的连续激光光束，聚焦后的激光作用于承印材料，使表面材料瞬间熔融，甚至气化，通过控制激光在材料表面的路径，从而形成需要的图文标记。由于激光打标位置较小，使极少量骨架外层熔化，产生少量的颗粒物、</w:t>
            </w:r>
            <w:r>
              <w:rPr>
                <w:rFonts w:hint="default" w:ascii="Times New Roman" w:hAnsi="Times New Roman" w:eastAsia="宋体" w:cs="Times New Roman"/>
                <w:b w:val="0"/>
                <w:bCs/>
                <w:color w:val="auto"/>
                <w:sz w:val="24"/>
                <w:highlight w:val="none"/>
                <w:lang w:eastAsia="zh-CN"/>
              </w:rPr>
              <w:t>VOCs</w:t>
            </w:r>
            <w:r>
              <w:rPr>
                <w:rFonts w:hint="eastAsia" w:cs="Times New Roman"/>
                <w:b w:val="0"/>
                <w:bCs/>
                <w:color w:val="auto"/>
                <w:sz w:val="24"/>
                <w:highlight w:val="none"/>
                <w:lang w:val="en-US" w:eastAsia="zh-CN"/>
              </w:rPr>
              <w:t>等污染物</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但本项目产生的废气量极小，无需设置处理措施，故本次环评不进行定量分析。</w:t>
            </w:r>
          </w:p>
          <w:p>
            <w:pPr>
              <w:spacing w:line="360" w:lineRule="auto"/>
              <w:ind w:firstLine="482" w:firstLineChars="200"/>
              <w:rPr>
                <w:rFonts w:hint="eastAsia" w:ascii="Times New Roman" w:hAnsi="Times New Roman" w:eastAsia="宋体" w:cs="Times New Roman"/>
                <w:b w:val="0"/>
                <w:bCs/>
                <w:color w:val="auto"/>
                <w:sz w:val="24"/>
                <w:highlight w:val="none"/>
                <w:lang w:eastAsia="zh-CN"/>
              </w:rPr>
            </w:pPr>
            <w:r>
              <w:rPr>
                <w:rFonts w:hint="eastAsia" w:cs="Times New Roman"/>
                <w:b/>
                <w:bCs w:val="0"/>
                <w:color w:val="auto"/>
                <w:sz w:val="24"/>
                <w:highlight w:val="none"/>
                <w:lang w:val="en-US" w:eastAsia="zh-CN"/>
              </w:rPr>
              <w:t>因此，本项目各工序污染物产生情况如下：</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val="en-US" w:eastAsia="zh-CN"/>
              </w:rPr>
            </w:pPr>
            <w:r>
              <w:rPr>
                <w:rFonts w:hint="eastAsia" w:cs="Times New Roman"/>
                <w:b w:val="0"/>
                <w:bCs/>
                <w:color w:val="auto"/>
                <w:sz w:val="24"/>
                <w:highlight w:val="none"/>
                <w:lang w:val="en-US" w:eastAsia="zh-CN"/>
              </w:rPr>
              <w:t>颗粒物产生量为</w:t>
            </w:r>
            <w:r>
              <w:rPr>
                <w:rFonts w:hint="eastAsia" w:ascii="Times New Roman" w:hAnsi="Times New Roman" w:cs="Times New Roman"/>
                <w:b w:val="0"/>
                <w:bCs/>
                <w:color w:val="auto"/>
                <w:sz w:val="24"/>
                <w:highlight w:val="none"/>
                <w:lang w:val="en-US" w:eastAsia="zh-CN"/>
              </w:rPr>
              <w:t>0.4961kg</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lang w:val="en-US" w:eastAsia="zh-CN"/>
              </w:rPr>
              <w:t>产生速率为0.</w:t>
            </w:r>
            <w:r>
              <w:rPr>
                <w:rFonts w:hint="eastAsia" w:ascii="Times New Roman" w:hAnsi="Times New Roman" w:cs="Times New Roman"/>
                <w:b w:val="0"/>
                <w:bCs/>
                <w:color w:val="auto"/>
                <w:sz w:val="24"/>
                <w:highlight w:val="none"/>
                <w:lang w:val="en-US" w:eastAsia="zh-CN"/>
              </w:rPr>
              <w:t>0002481</w:t>
            </w:r>
            <w:r>
              <w:rPr>
                <w:rFonts w:hint="default" w:ascii="Times New Roman" w:hAnsi="Times New Roman" w:cs="Times New Roman"/>
                <w:b w:val="0"/>
                <w:bCs/>
                <w:color w:val="auto"/>
                <w:sz w:val="24"/>
                <w:highlight w:val="none"/>
                <w:lang w:val="en-US" w:eastAsia="zh-CN"/>
              </w:rPr>
              <w:t>kg/h</w:t>
            </w:r>
            <w:r>
              <w:rPr>
                <w:rFonts w:hint="eastAsia" w:cs="Times New Roman"/>
                <w:b w:val="0"/>
                <w:bCs/>
                <w:color w:val="auto"/>
                <w:sz w:val="24"/>
                <w:highlight w:val="none"/>
                <w:lang w:val="en-US" w:eastAsia="zh-CN"/>
              </w:rPr>
              <w:t>；</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val="en-US" w:eastAsia="zh-CN"/>
              </w:rPr>
            </w:pPr>
            <w:r>
              <w:rPr>
                <w:rFonts w:hint="default" w:ascii="Times New Roman" w:hAnsi="Times New Roman" w:cs="Times New Roman"/>
                <w:b w:val="0"/>
                <w:bCs/>
                <w:color w:val="auto"/>
                <w:sz w:val="24"/>
                <w:highlight w:val="none"/>
                <w:lang w:val="en-US" w:eastAsia="zh-CN"/>
              </w:rPr>
              <w:t>锡及其化合物产生量</w:t>
            </w:r>
            <w:r>
              <w:rPr>
                <w:rFonts w:hint="eastAsia" w:ascii="Times New Roman" w:hAnsi="Times New Roman" w:cs="Times New Roman"/>
                <w:b w:val="0"/>
                <w:bCs/>
                <w:color w:val="auto"/>
                <w:sz w:val="24"/>
                <w:highlight w:val="none"/>
                <w:lang w:val="en-US" w:eastAsia="zh-CN"/>
              </w:rPr>
              <w:t>0.03562kg</w:t>
            </w:r>
            <w:r>
              <w:rPr>
                <w:rFonts w:hint="default" w:ascii="Times New Roman" w:hAnsi="Times New Roman" w:eastAsia="宋体" w:cs="Times New Roman"/>
                <w:b w:val="0"/>
                <w:bCs/>
                <w:color w:val="auto"/>
                <w:sz w:val="24"/>
                <w:highlight w:val="none"/>
                <w:lang w:val="en-US" w:eastAsia="zh-CN"/>
              </w:rPr>
              <w:t>/a</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0.00001781</w:t>
            </w:r>
            <w:r>
              <w:rPr>
                <w:rFonts w:hint="default" w:ascii="Times New Roman" w:hAnsi="Times New Roman" w:cs="Times New Roman"/>
                <w:b w:val="0"/>
                <w:bCs/>
                <w:color w:val="auto"/>
                <w:sz w:val="24"/>
                <w:highlight w:val="none"/>
                <w:lang w:val="en-US" w:eastAsia="zh-CN"/>
              </w:rPr>
              <w:t>kg/h</w:t>
            </w:r>
            <w:r>
              <w:rPr>
                <w:rFonts w:hint="eastAsia" w:cs="Times New Roman"/>
                <w:b w:val="0"/>
                <w:bCs/>
                <w:color w:val="auto"/>
                <w:sz w:val="24"/>
                <w:highlight w:val="none"/>
                <w:lang w:val="en-US" w:eastAsia="zh-CN"/>
              </w:rPr>
              <w:t>；</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eastAsia="zh-CN"/>
              </w:rPr>
            </w:pPr>
            <w:r>
              <w:rPr>
                <w:rFonts w:hint="default" w:ascii="Times New Roman" w:hAnsi="Times New Roman" w:cs="Times New Roman"/>
                <w:b w:val="0"/>
                <w:bCs/>
                <w:color w:val="auto"/>
                <w:sz w:val="24"/>
                <w:highlight w:val="none"/>
                <w:lang w:val="en-US" w:eastAsia="zh-CN"/>
              </w:rPr>
              <w:t>异丙醇产生</w:t>
            </w:r>
            <w:r>
              <w:rPr>
                <w:rFonts w:hint="eastAsia" w:cs="Times New Roman"/>
                <w:b w:val="0"/>
                <w:bCs/>
                <w:color w:val="auto"/>
                <w:sz w:val="24"/>
                <w:highlight w:val="none"/>
                <w:lang w:val="en-US" w:eastAsia="zh-CN"/>
              </w:rPr>
              <w:t>量</w:t>
            </w:r>
            <w:r>
              <w:rPr>
                <w:rFonts w:hint="default" w:ascii="Times New Roman" w:hAnsi="Times New Roman"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1.1875</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eastAsia="zh-CN"/>
              </w:rPr>
              <w:t>，</w:t>
            </w:r>
            <w:r>
              <w:rPr>
                <w:rFonts w:hint="eastAsia" w:ascii="Times New Roman" w:hAnsi="Times New Roman" w:cs="Times New Roman"/>
                <w:b w:val="0"/>
                <w:bCs/>
                <w:color w:val="auto"/>
                <w:sz w:val="24"/>
                <w:highlight w:val="none"/>
                <w:lang w:val="en-US" w:eastAsia="zh-CN"/>
              </w:rPr>
              <w:t>产生速率</w:t>
            </w:r>
            <w:r>
              <w:rPr>
                <w:rFonts w:hint="default" w:ascii="Times New Roman" w:hAnsi="Times New Roman"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0.5938</w:t>
            </w:r>
            <w:r>
              <w:rPr>
                <w:rFonts w:hint="default" w:ascii="Times New Roman" w:hAnsi="Times New Roman" w:cs="Times New Roman"/>
                <w:b w:val="0"/>
                <w:bCs/>
                <w:color w:val="auto"/>
                <w:sz w:val="24"/>
                <w:highlight w:val="none"/>
                <w:lang w:val="en-US" w:eastAsia="zh-CN"/>
              </w:rPr>
              <w:t>kg/h</w:t>
            </w:r>
            <w:r>
              <w:rPr>
                <w:rFonts w:hint="eastAsia" w:cs="Times New Roman"/>
                <w:b w:val="0"/>
                <w:bCs/>
                <w:color w:val="auto"/>
                <w:sz w:val="24"/>
                <w:highlight w:val="none"/>
                <w:vertAlign w:val="baseline"/>
                <w:lang w:eastAsia="zh-CN"/>
              </w:rPr>
              <w:t>；</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eastAsia="zh-CN"/>
              </w:rPr>
            </w:pPr>
            <w:r>
              <w:rPr>
                <w:rFonts w:hint="default" w:ascii="Times New Roman" w:hAnsi="Times New Roman" w:cs="Times New Roman"/>
                <w:b w:val="0"/>
                <w:bCs/>
                <w:color w:val="auto"/>
                <w:sz w:val="24"/>
                <w:highlight w:val="none"/>
                <w:lang w:val="en-US" w:eastAsia="zh-CN"/>
              </w:rPr>
              <w:t>二甲苯产生量</w:t>
            </w:r>
            <w:r>
              <w:rPr>
                <w:rFonts w:hint="eastAsia" w:cs="Times New Roman"/>
                <w:b w:val="0"/>
                <w:bCs/>
                <w:color w:val="auto"/>
                <w:sz w:val="24"/>
                <w:highlight w:val="none"/>
                <w:lang w:val="en-US" w:eastAsia="zh-CN"/>
              </w:rPr>
              <w:t>为</w:t>
            </w:r>
            <w:r>
              <w:rPr>
                <w:rFonts w:hint="default" w:ascii="Times New Roman" w:hAnsi="Times New Roman" w:cs="Times New Roman"/>
                <w:b w:val="0"/>
                <w:bCs/>
                <w:color w:val="auto"/>
                <w:spacing w:val="-10"/>
                <w:sz w:val="24"/>
                <w:highlight w:val="none"/>
                <w:lang w:val="en-US" w:eastAsia="zh-CN"/>
              </w:rPr>
              <w:t>0.3</w:t>
            </w:r>
            <w:r>
              <w:rPr>
                <w:rFonts w:hint="eastAsia" w:ascii="Times New Roman" w:hAnsi="Times New Roman" w:cs="Times New Roman"/>
                <w:b w:val="0"/>
                <w:bCs/>
                <w:color w:val="auto"/>
                <w:spacing w:val="-10"/>
                <w:sz w:val="24"/>
                <w:highlight w:val="none"/>
                <w:lang w:val="en-US" w:eastAsia="zh-CN"/>
              </w:rPr>
              <w:t>85</w:t>
            </w:r>
            <w:r>
              <w:rPr>
                <w:rFonts w:hint="default" w:ascii="Times New Roman" w:hAnsi="Times New Roman" w:cs="Times New Roman"/>
                <w:b w:val="0"/>
                <w:bCs/>
                <w:color w:val="auto"/>
                <w:spacing w:val="-10"/>
                <w:sz w:val="24"/>
                <w:highlight w:val="none"/>
                <w:lang w:eastAsia="zh-CN"/>
              </w:rPr>
              <w:t>t/a</w:t>
            </w:r>
            <w:r>
              <w:rPr>
                <w:rFonts w:hint="eastAsia" w:cs="Times New Roman"/>
                <w:b w:val="0"/>
                <w:bCs/>
                <w:color w:val="auto"/>
                <w:spacing w:val="-10"/>
                <w:sz w:val="24"/>
                <w:highlight w:val="none"/>
                <w:lang w:eastAsia="zh-CN"/>
              </w:rPr>
              <w:t>，</w:t>
            </w:r>
            <w:r>
              <w:rPr>
                <w:rFonts w:hint="default" w:ascii="Times New Roman" w:hAnsi="Times New Roman" w:cs="Times New Roman"/>
                <w:b w:val="0"/>
                <w:bCs/>
                <w:color w:val="auto"/>
                <w:sz w:val="24"/>
                <w:highlight w:val="none"/>
                <w:lang w:val="en-US" w:eastAsia="zh-CN"/>
              </w:rPr>
              <w:t>产生速率为0.</w:t>
            </w:r>
            <w:r>
              <w:rPr>
                <w:rFonts w:hint="eastAsia" w:ascii="Times New Roman" w:hAnsi="Times New Roman" w:cs="Times New Roman"/>
                <w:b w:val="0"/>
                <w:bCs/>
                <w:color w:val="auto"/>
                <w:sz w:val="24"/>
                <w:highlight w:val="none"/>
                <w:lang w:val="en-US" w:eastAsia="zh-CN"/>
              </w:rPr>
              <w:t>1925</w:t>
            </w:r>
            <w:r>
              <w:rPr>
                <w:rFonts w:hint="default" w:ascii="Times New Roman" w:hAnsi="Times New Roman" w:cs="Times New Roman"/>
                <w:b w:val="0"/>
                <w:bCs/>
                <w:color w:val="auto"/>
                <w:sz w:val="24"/>
                <w:highlight w:val="none"/>
                <w:lang w:val="en-US" w:eastAsia="zh-CN"/>
              </w:rPr>
              <w:t>kg/h</w:t>
            </w:r>
            <w:r>
              <w:rPr>
                <w:rFonts w:hint="eastAsia" w:cs="Times New Roman"/>
                <w:color w:val="auto"/>
                <w:kern w:val="2"/>
                <w:sz w:val="24"/>
                <w:szCs w:val="24"/>
                <w:highlight w:val="none"/>
                <w:vertAlign w:val="baseline"/>
                <w:lang w:val="en-US" w:eastAsia="zh-CN" w:bidi="ar-SA"/>
              </w:rPr>
              <w:t>；</w:t>
            </w:r>
          </w:p>
          <w:p>
            <w:pPr>
              <w:spacing w:line="360" w:lineRule="auto"/>
              <w:ind w:firstLine="480" w:firstLineChars="200"/>
              <w:rPr>
                <w:rFonts w:hint="eastAsia" w:cs="Times New Roman"/>
                <w:b/>
                <w:bCs w:val="0"/>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挥发性有机物</w:t>
            </w:r>
            <w:r>
              <w:rPr>
                <w:rFonts w:hint="default" w:ascii="Times New Roman" w:hAnsi="Times New Roman" w:cs="Times New Roman"/>
                <w:b w:val="0"/>
                <w:bCs/>
                <w:color w:val="auto"/>
                <w:sz w:val="24"/>
                <w:highlight w:val="none"/>
                <w:lang w:val="en-US" w:eastAsia="zh-CN"/>
              </w:rPr>
              <w:t>VOCs产生量</w:t>
            </w:r>
            <w:r>
              <w:rPr>
                <w:rFonts w:hint="eastAsia"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1.224</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val="en-US" w:eastAsia="zh-CN"/>
              </w:rPr>
              <w:t>+</w:t>
            </w:r>
            <w:r>
              <w:rPr>
                <w:rFonts w:hint="eastAsia" w:ascii="Times New Roman" w:hAnsi="Times New Roman" w:cs="Times New Roman"/>
                <w:b w:val="0"/>
                <w:bCs/>
                <w:color w:val="auto"/>
                <w:sz w:val="24"/>
                <w:highlight w:val="none"/>
                <w:lang w:val="en-US" w:eastAsia="zh-CN"/>
              </w:rPr>
              <w:t>2.014</w:t>
            </w:r>
            <w:r>
              <w:rPr>
                <w:rFonts w:hint="default" w:ascii="Times New Roman" w:hAnsi="Times New Roman" w:cs="Times New Roman"/>
                <w:b w:val="0"/>
                <w:bCs/>
                <w:color w:val="auto"/>
                <w:spacing w:val="-10"/>
                <w:sz w:val="24"/>
                <w:highlight w:val="none"/>
                <w:lang w:eastAsia="zh-CN"/>
              </w:rPr>
              <w:t>t/a</w:t>
            </w:r>
            <w:r>
              <w:rPr>
                <w:rFonts w:hint="eastAsia" w:cs="Times New Roman"/>
                <w:b w:val="0"/>
                <w:bCs/>
                <w:color w:val="auto"/>
                <w:spacing w:val="-10"/>
                <w:sz w:val="24"/>
                <w:highlight w:val="none"/>
                <w:lang w:val="en-US" w:eastAsia="zh-CN"/>
              </w:rPr>
              <w:t>=3.238</w:t>
            </w:r>
            <w:r>
              <w:rPr>
                <w:rFonts w:hint="default" w:ascii="Times New Roman" w:hAnsi="Times New Roman" w:cs="Times New Roman"/>
                <w:b w:val="0"/>
                <w:bCs/>
                <w:color w:val="auto"/>
                <w:spacing w:val="-10"/>
                <w:sz w:val="24"/>
                <w:highlight w:val="none"/>
                <w:lang w:eastAsia="zh-CN"/>
              </w:rPr>
              <w:t>t/a</w:t>
            </w:r>
            <w:r>
              <w:rPr>
                <w:rFonts w:hint="eastAsia" w:cs="Times New Roman"/>
                <w:b w:val="0"/>
                <w:bCs/>
                <w:color w:val="auto"/>
                <w:spacing w:val="-10"/>
                <w:sz w:val="24"/>
                <w:highlight w:val="none"/>
                <w:lang w:eastAsia="zh-CN"/>
              </w:rPr>
              <w:t>，</w:t>
            </w:r>
            <w:r>
              <w:rPr>
                <w:rFonts w:hint="default" w:ascii="Times New Roman" w:hAnsi="Times New Roman" w:cs="Times New Roman"/>
                <w:b w:val="0"/>
                <w:bCs/>
                <w:color w:val="auto"/>
                <w:sz w:val="24"/>
                <w:highlight w:val="none"/>
                <w:lang w:val="en-US" w:eastAsia="zh-CN"/>
              </w:rPr>
              <w:t>产生速率为</w:t>
            </w:r>
            <w:r>
              <w:rPr>
                <w:rFonts w:hint="eastAsia" w:cs="Times New Roman"/>
                <w:b w:val="0"/>
                <w:bCs/>
                <w:color w:val="auto"/>
                <w:spacing w:val="-10"/>
                <w:sz w:val="24"/>
                <w:highlight w:val="none"/>
                <w:lang w:val="en-US" w:eastAsia="zh-CN"/>
              </w:rPr>
              <w:t>1.619</w:t>
            </w:r>
            <w:r>
              <w:rPr>
                <w:rFonts w:hint="default" w:ascii="Times New Roman" w:hAnsi="Times New Roman" w:cs="Times New Roman"/>
                <w:b w:val="0"/>
                <w:bCs/>
                <w:color w:val="auto"/>
                <w:sz w:val="24"/>
                <w:highlight w:val="none"/>
                <w:lang w:val="en-US" w:eastAsia="zh-CN"/>
              </w:rPr>
              <w:t>kg/h</w:t>
            </w:r>
            <w:r>
              <w:rPr>
                <w:rFonts w:hint="eastAsia" w:cs="Times New Roman"/>
                <w:b w:val="0"/>
                <w:bCs/>
                <w:color w:val="auto"/>
                <w:sz w:val="24"/>
                <w:highlight w:val="none"/>
                <w:lang w:val="en-US" w:eastAsia="zh-CN"/>
              </w:rPr>
              <w:t>。</w:t>
            </w:r>
          </w:p>
          <w:p>
            <w:pPr>
              <w:spacing w:line="360" w:lineRule="auto"/>
              <w:ind w:firstLine="482" w:firstLineChars="200"/>
              <w:rPr>
                <w:rFonts w:hint="eastAsia" w:ascii="Times New Roman" w:hAnsi="Times New Roman"/>
                <w:bCs/>
                <w:color w:val="auto"/>
                <w:kern w:val="0"/>
                <w:sz w:val="24"/>
                <w:highlight w:val="none"/>
              </w:rPr>
            </w:pPr>
            <w:r>
              <w:rPr>
                <w:rFonts w:hint="eastAsia" w:cs="Times New Roman"/>
                <w:b/>
                <w:bCs w:val="0"/>
                <w:color w:val="auto"/>
                <w:sz w:val="24"/>
                <w:highlight w:val="none"/>
                <w:lang w:val="en-US" w:eastAsia="zh-CN"/>
              </w:rPr>
              <w:t>2、治理措施：</w:t>
            </w:r>
          </w:p>
          <w:p>
            <w:pPr>
              <w:spacing w:line="360" w:lineRule="auto"/>
              <w:ind w:firstLine="480" w:firstLineChars="200"/>
              <w:rPr>
                <w:rFonts w:hint="eastAsia" w:cs="Times New Roman"/>
                <w:b/>
                <w:bCs w:val="0"/>
                <w:color w:val="auto"/>
                <w:sz w:val="24"/>
                <w:highlight w:val="none"/>
                <w:lang w:val="en-US" w:eastAsia="zh-CN"/>
              </w:rPr>
            </w:pPr>
            <w:r>
              <w:rPr>
                <w:rFonts w:hint="eastAsia" w:ascii="Times New Roman" w:hAnsi="Times New Roman"/>
                <w:bCs/>
                <w:color w:val="auto"/>
                <w:kern w:val="0"/>
                <w:sz w:val="24"/>
                <w:highlight w:val="none"/>
              </w:rPr>
              <w:t>本项目</w:t>
            </w:r>
            <w:r>
              <w:rPr>
                <w:rFonts w:hint="eastAsia"/>
                <w:bCs/>
                <w:color w:val="auto"/>
                <w:kern w:val="0"/>
                <w:sz w:val="24"/>
                <w:highlight w:val="none"/>
                <w:lang w:val="en-US" w:eastAsia="zh-CN"/>
              </w:rPr>
              <w:t>激光脱皮区域、</w:t>
            </w:r>
            <w:r>
              <w:rPr>
                <w:rFonts w:hint="eastAsia" w:ascii="Times New Roman" w:hAnsi="Times New Roman"/>
                <w:bCs/>
                <w:color w:val="auto"/>
                <w:kern w:val="0"/>
                <w:sz w:val="24"/>
                <w:highlight w:val="none"/>
              </w:rPr>
              <w:t>焊锡</w:t>
            </w:r>
            <w:r>
              <w:rPr>
                <w:rFonts w:hint="eastAsia"/>
                <w:bCs/>
                <w:color w:val="auto"/>
                <w:kern w:val="0"/>
                <w:sz w:val="24"/>
                <w:highlight w:val="none"/>
                <w:lang w:val="en-US" w:eastAsia="zh-CN"/>
              </w:rPr>
              <w:t>区域分别</w:t>
            </w:r>
            <w:r>
              <w:rPr>
                <w:rFonts w:hint="eastAsia" w:ascii="Times New Roman" w:hAnsi="Times New Roman"/>
                <w:bCs/>
                <w:color w:val="auto"/>
                <w:kern w:val="0"/>
                <w:sz w:val="24"/>
                <w:highlight w:val="none"/>
                <w:lang w:eastAsia="zh-CN"/>
              </w:rPr>
              <w:t>设置</w:t>
            </w:r>
            <w:r>
              <w:rPr>
                <w:rFonts w:hint="eastAsia"/>
                <w:bCs/>
                <w:color w:val="auto"/>
                <w:kern w:val="0"/>
                <w:sz w:val="24"/>
                <w:highlight w:val="none"/>
                <w:lang w:val="en-US" w:eastAsia="zh-CN"/>
              </w:rPr>
              <w:t>侧吸罩集气罩、上吸式集气罩</w:t>
            </w:r>
            <w:r>
              <w:rPr>
                <w:rFonts w:hint="eastAsia" w:ascii="Times New Roman" w:hAnsi="Times New Roman"/>
                <w:bCs/>
                <w:color w:val="auto"/>
                <w:kern w:val="0"/>
                <w:sz w:val="24"/>
                <w:highlight w:val="none"/>
              </w:rPr>
              <w:t>，</w:t>
            </w:r>
            <w:r>
              <w:rPr>
                <w:rFonts w:hint="eastAsia"/>
                <w:bCs/>
                <w:color w:val="auto"/>
                <w:kern w:val="0"/>
                <w:sz w:val="24"/>
                <w:highlight w:val="none"/>
                <w:lang w:val="en-US" w:eastAsia="zh-CN"/>
              </w:rPr>
              <w:t>浸漆、烘干设备生产过程全程密闭，设置集气管负压抽风</w:t>
            </w:r>
            <w:r>
              <w:rPr>
                <w:rFonts w:hint="eastAsia" w:ascii="Times New Roman" w:hAnsi="Times New Roman"/>
                <w:bCs/>
                <w:color w:val="auto"/>
                <w:kern w:val="0"/>
                <w:sz w:val="24"/>
                <w:highlight w:val="none"/>
              </w:rPr>
              <w:t>；</w:t>
            </w:r>
            <w:r>
              <w:rPr>
                <w:rFonts w:hint="eastAsia"/>
                <w:bCs/>
                <w:color w:val="auto"/>
                <w:kern w:val="0"/>
                <w:sz w:val="24"/>
                <w:highlight w:val="none"/>
                <w:lang w:val="en-US" w:eastAsia="zh-CN"/>
              </w:rPr>
              <w:t>集气罩</w:t>
            </w:r>
            <w:r>
              <w:rPr>
                <w:rFonts w:hint="eastAsia"/>
                <w:bCs/>
                <w:color w:val="auto"/>
                <w:kern w:val="0"/>
                <w:sz w:val="24"/>
                <w:highlight w:val="none"/>
                <w:lang w:eastAsia="zh-CN"/>
              </w:rPr>
              <w:t>（</w:t>
            </w:r>
            <w:r>
              <w:rPr>
                <w:rFonts w:hint="eastAsia" w:ascii="Times New Roman" w:hAnsi="Times New Roman"/>
                <w:bCs/>
                <w:color w:val="auto"/>
                <w:kern w:val="0"/>
                <w:sz w:val="24"/>
                <w:highlight w:val="none"/>
              </w:rPr>
              <w:t>收集率</w:t>
            </w:r>
            <w:r>
              <w:rPr>
                <w:rFonts w:hint="eastAsia"/>
                <w:bCs/>
                <w:color w:val="auto"/>
                <w:kern w:val="0"/>
                <w:sz w:val="24"/>
                <w:highlight w:val="none"/>
                <w:lang w:val="en-US" w:eastAsia="zh-CN"/>
              </w:rPr>
              <w:t>按</w:t>
            </w:r>
            <w:r>
              <w:rPr>
                <w:rFonts w:hint="eastAsia" w:ascii="Times New Roman" w:hAnsi="Times New Roman"/>
                <w:bCs/>
                <w:color w:val="auto"/>
                <w:kern w:val="0"/>
                <w:sz w:val="24"/>
                <w:highlight w:val="none"/>
                <w:lang w:val="en-US" w:eastAsia="zh-CN"/>
              </w:rPr>
              <w:t>9</w:t>
            </w:r>
            <w:r>
              <w:rPr>
                <w:rFonts w:hint="eastAsia"/>
                <w:bCs/>
                <w:color w:val="auto"/>
                <w:kern w:val="0"/>
                <w:sz w:val="24"/>
                <w:highlight w:val="none"/>
                <w:lang w:val="en-US" w:eastAsia="zh-CN"/>
              </w:rPr>
              <w:t>0</w:t>
            </w:r>
            <w:r>
              <w:rPr>
                <w:rFonts w:hint="eastAsia" w:ascii="Times New Roman" w:hAnsi="Times New Roman"/>
                <w:bCs/>
                <w:color w:val="auto"/>
                <w:kern w:val="0"/>
                <w:sz w:val="24"/>
                <w:highlight w:val="none"/>
              </w:rPr>
              <w:t>%</w:t>
            </w:r>
            <w:r>
              <w:rPr>
                <w:rFonts w:hint="eastAsia"/>
                <w:bCs/>
                <w:color w:val="auto"/>
                <w:kern w:val="0"/>
                <w:sz w:val="24"/>
                <w:highlight w:val="none"/>
                <w:lang w:val="en-US" w:eastAsia="zh-CN"/>
              </w:rPr>
              <w:t>计</w:t>
            </w:r>
            <w:r>
              <w:rPr>
                <w:rFonts w:hint="eastAsia"/>
                <w:bCs/>
                <w:color w:val="auto"/>
                <w:kern w:val="0"/>
                <w:sz w:val="24"/>
                <w:highlight w:val="none"/>
                <w:lang w:eastAsia="zh-CN"/>
              </w:rPr>
              <w:t>），</w:t>
            </w:r>
            <w:r>
              <w:rPr>
                <w:rFonts w:hint="eastAsia"/>
                <w:bCs/>
                <w:color w:val="auto"/>
                <w:kern w:val="0"/>
                <w:sz w:val="24"/>
                <w:highlight w:val="none"/>
                <w:lang w:val="en-US" w:eastAsia="zh-CN"/>
              </w:rPr>
              <w:t>集气管</w:t>
            </w:r>
            <w:r>
              <w:rPr>
                <w:rFonts w:hint="eastAsia"/>
                <w:bCs/>
                <w:color w:val="auto"/>
                <w:kern w:val="0"/>
                <w:sz w:val="24"/>
                <w:highlight w:val="none"/>
                <w:lang w:eastAsia="zh-CN"/>
              </w:rPr>
              <w:t>（</w:t>
            </w:r>
            <w:r>
              <w:rPr>
                <w:rFonts w:hint="eastAsia"/>
                <w:bCs/>
                <w:color w:val="auto"/>
                <w:kern w:val="0"/>
                <w:sz w:val="24"/>
                <w:highlight w:val="none"/>
                <w:lang w:val="en-US" w:eastAsia="zh-CN"/>
              </w:rPr>
              <w:t>按</w:t>
            </w:r>
            <w:r>
              <w:rPr>
                <w:rFonts w:hint="eastAsia" w:ascii="Times New Roman" w:hAnsi="Times New Roman"/>
                <w:bCs/>
                <w:color w:val="auto"/>
                <w:kern w:val="0"/>
                <w:sz w:val="24"/>
                <w:highlight w:val="none"/>
              </w:rPr>
              <w:t>收集率</w:t>
            </w:r>
            <w:r>
              <w:rPr>
                <w:rFonts w:hint="eastAsia" w:ascii="Times New Roman" w:hAnsi="Times New Roman"/>
                <w:bCs/>
                <w:color w:val="auto"/>
                <w:kern w:val="0"/>
                <w:sz w:val="24"/>
                <w:highlight w:val="none"/>
                <w:lang w:val="en-US" w:eastAsia="zh-CN"/>
              </w:rPr>
              <w:t>9</w:t>
            </w:r>
            <w:r>
              <w:rPr>
                <w:rFonts w:hint="eastAsia"/>
                <w:bCs/>
                <w:color w:val="auto"/>
                <w:kern w:val="0"/>
                <w:sz w:val="24"/>
                <w:highlight w:val="none"/>
                <w:lang w:val="en-US" w:eastAsia="zh-CN"/>
              </w:rPr>
              <w:t>5</w:t>
            </w:r>
            <w:r>
              <w:rPr>
                <w:rFonts w:hint="eastAsia" w:ascii="Times New Roman" w:hAnsi="Times New Roman"/>
                <w:bCs/>
                <w:color w:val="auto"/>
                <w:kern w:val="0"/>
                <w:sz w:val="24"/>
                <w:highlight w:val="none"/>
              </w:rPr>
              <w:t>%</w:t>
            </w:r>
            <w:r>
              <w:rPr>
                <w:rFonts w:hint="eastAsia"/>
                <w:bCs/>
                <w:color w:val="auto"/>
                <w:kern w:val="0"/>
                <w:sz w:val="24"/>
                <w:highlight w:val="none"/>
                <w:lang w:val="en-US" w:eastAsia="zh-CN"/>
              </w:rPr>
              <w:t>计</w:t>
            </w:r>
            <w:r>
              <w:rPr>
                <w:rFonts w:hint="eastAsia"/>
                <w:bCs/>
                <w:color w:val="auto"/>
                <w:kern w:val="0"/>
                <w:sz w:val="24"/>
                <w:highlight w:val="none"/>
                <w:lang w:eastAsia="zh-CN"/>
              </w:rPr>
              <w:t>），</w:t>
            </w:r>
            <w:r>
              <w:rPr>
                <w:rFonts w:hint="eastAsia" w:ascii="Times New Roman" w:hAnsi="Times New Roman"/>
                <w:bCs/>
                <w:color w:val="auto"/>
                <w:kern w:val="0"/>
                <w:sz w:val="24"/>
                <w:highlight w:val="none"/>
              </w:rPr>
              <w:t>废气经过滤棉处理后汇集到两级活性炭吸附处理装置</w:t>
            </w:r>
            <w:r>
              <w:rPr>
                <w:rFonts w:hint="eastAsia"/>
                <w:bCs/>
                <w:color w:val="auto"/>
                <w:kern w:val="0"/>
                <w:sz w:val="24"/>
                <w:highlight w:val="none"/>
                <w:lang w:eastAsia="zh-CN"/>
              </w:rPr>
              <w:t>进行废气处理</w:t>
            </w:r>
            <w:r>
              <w:rPr>
                <w:rFonts w:hint="eastAsia" w:ascii="Times New Roman" w:hAnsi="Times New Roman"/>
                <w:bCs/>
                <w:color w:val="auto"/>
                <w:kern w:val="0"/>
                <w:sz w:val="24"/>
                <w:highlight w:val="none"/>
              </w:rPr>
              <w:t>，最后通过15m高排气筒（DA001）排放。</w:t>
            </w:r>
          </w:p>
          <w:p>
            <w:pPr>
              <w:spacing w:line="360" w:lineRule="auto"/>
              <w:ind w:firstLine="482" w:firstLineChars="200"/>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3、</w:t>
            </w:r>
            <w:r>
              <w:rPr>
                <w:rFonts w:hint="eastAsia" w:ascii="Times New Roman" w:hAnsi="Times New Roman" w:eastAsia="宋体" w:cs="Times New Roman"/>
                <w:b/>
                <w:bCs w:val="0"/>
                <w:color w:val="auto"/>
                <w:sz w:val="24"/>
                <w:highlight w:val="none"/>
                <w:lang w:val="en-US" w:eastAsia="zh-CN"/>
              </w:rPr>
              <w:t>风量核算：</w:t>
            </w:r>
          </w:p>
          <w:p>
            <w:pPr>
              <w:spacing w:line="360" w:lineRule="auto"/>
              <w:ind w:firstLine="480" w:firstLineChars="200"/>
              <w:rPr>
                <w:rFonts w:hint="default" w:ascii="Times New Roman" w:hAnsi="Times New Roman"/>
                <w:bCs/>
                <w:color w:val="auto"/>
                <w:kern w:val="0"/>
                <w:sz w:val="24"/>
                <w:highlight w:val="none"/>
              </w:rPr>
            </w:pPr>
            <w:r>
              <w:rPr>
                <w:rFonts w:hint="default" w:ascii="Times New Roman" w:hAnsi="Times New Roman"/>
                <w:bCs/>
                <w:color w:val="auto"/>
                <w:kern w:val="0"/>
                <w:sz w:val="24"/>
                <w:highlight w:val="none"/>
              </w:rPr>
              <w:t>根据《排风罩的分类及技术条件》(GB/T16758-2008) ，风量计算公</w:t>
            </w:r>
            <w:r>
              <w:rPr>
                <w:rFonts w:hint="eastAsia"/>
                <w:bCs/>
                <w:color w:val="auto"/>
                <w:kern w:val="0"/>
                <w:sz w:val="24"/>
                <w:highlight w:val="none"/>
                <w:lang w:val="en-US" w:eastAsia="zh-CN"/>
              </w:rPr>
              <w:t>式</w:t>
            </w:r>
            <w:r>
              <w:rPr>
                <w:rFonts w:hint="default" w:ascii="Times New Roman" w:hAnsi="Times New Roman"/>
                <w:bCs/>
                <w:color w:val="auto"/>
                <w:kern w:val="0"/>
                <w:sz w:val="24"/>
                <w:highlight w:val="none"/>
              </w:rPr>
              <w:t>如下：</w:t>
            </w:r>
          </w:p>
          <w:p>
            <w:pPr>
              <w:spacing w:line="360" w:lineRule="auto"/>
              <w:ind w:firstLine="480" w:firstLineChars="200"/>
              <w:jc w:val="center"/>
              <w:rPr>
                <w:rFonts w:hint="default" w:ascii="Times New Roman" w:hAnsi="Times New Roman"/>
                <w:bCs/>
                <w:color w:val="auto"/>
                <w:kern w:val="0"/>
                <w:sz w:val="24"/>
                <w:highlight w:val="none"/>
              </w:rPr>
            </w:pPr>
            <m:oMathPara>
              <m:oMath>
                <m:r>
                  <m:rPr>
                    <m:sty m:val="p"/>
                  </m:rPr>
                  <w:rPr>
                    <w:rFonts w:hint="default" w:ascii="Cambria Math" w:hAnsi="Cambria Math" w:cs="Times New Roman"/>
                    <w:color w:val="auto"/>
                    <w:kern w:val="0"/>
                    <w:sz w:val="24"/>
                    <w:szCs w:val="24"/>
                    <w:highlight w:val="none"/>
                    <w:lang w:val="en-US" w:eastAsia="zh-CN" w:bidi="ar-SA"/>
                  </w:rPr>
                  <m:t>Q=F</m:t>
                </m:r>
                <m:r>
                  <m:rPr>
                    <m:sty m:val="p"/>
                  </m:rPr>
                  <w:rPr>
                    <w:rFonts w:hint="default" w:ascii="Cambria Math" w:hAnsi="Cambria Math" w:cs="Cambria Math"/>
                    <w:color w:val="auto"/>
                    <w:kern w:val="0"/>
                    <w:sz w:val="24"/>
                    <w:szCs w:val="24"/>
                    <w:highlight w:val="none"/>
                    <w:lang w:val="en-US" w:eastAsia="zh-CN" w:bidi="ar-SA"/>
                  </w:rPr>
                  <m:t>∙</m:t>
                </m:r>
                <m:r>
                  <m:rPr>
                    <m:sty m:val="p"/>
                  </m:rPr>
                  <w:rPr>
                    <w:rFonts w:hint="default" w:ascii="Cambria Math" w:hAnsi="Cambria Math" w:cs="Times New Roman"/>
                    <w:color w:val="auto"/>
                    <w:kern w:val="0"/>
                    <w:sz w:val="24"/>
                    <w:szCs w:val="24"/>
                    <w:highlight w:val="none"/>
                    <w:lang w:val="en-US" w:eastAsia="zh-CN" w:bidi="ar-SA"/>
                  </w:rPr>
                  <m:t>V</m:t>
                </m:r>
              </m:oMath>
            </m:oMathPara>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F一罩口面积， 单位</w:t>
            </w:r>
            <w:r>
              <w:rPr>
                <w:rFonts w:hint="eastAsia" w:ascii="Times New Roman" w:hAnsi="Times New Roman" w:cs="Times New Roman"/>
                <w:bCs/>
                <w:color w:val="auto"/>
                <w:kern w:val="0"/>
                <w:sz w:val="24"/>
                <w:szCs w:val="24"/>
                <w:highlight w:val="none"/>
                <w:lang w:val="en-US" w:eastAsia="zh-CN" w:bidi="ar-SA"/>
              </w:rPr>
              <w:t>为</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2</w:t>
            </w:r>
            <w:r>
              <w:rPr>
                <w:rFonts w:hint="eastAsia" w:ascii="Times New Roman" w:hAnsi="Times New Roman" w:cs="Times New Roman"/>
                <w:bCs/>
                <w:color w:val="auto"/>
                <w:kern w:val="0"/>
                <w:sz w:val="24"/>
                <w:szCs w:val="24"/>
                <w:highlight w:val="none"/>
                <w:vertAlign w:val="baseline"/>
                <w:lang w:val="en-US" w:eastAsia="zh-CN" w:bidi="ar-SA"/>
              </w:rPr>
              <w:t>，平均面积为0.6</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2</w:t>
            </w:r>
            <w:r>
              <w:rPr>
                <w:rFonts w:hint="default" w:ascii="Times New Roman" w:hAnsi="Times New Roman" w:eastAsia="宋体" w:cs="Times New Roman"/>
                <w:bCs/>
                <w:color w:val="auto"/>
                <w:kern w:val="0"/>
                <w:sz w:val="24"/>
                <w:szCs w:val="24"/>
                <w:highlight w:val="none"/>
                <w:lang w:val="en-US" w:eastAsia="zh-CN" w:bidi="ar-SA"/>
              </w:rPr>
              <w:t>；</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V一罩口平均风速，单位m/s；本项目罩口平均风速取</w:t>
            </w:r>
            <w:r>
              <w:rPr>
                <w:rFonts w:hint="eastAsia" w:ascii="Times New Roman" w:hAnsi="Times New Roman" w:cs="Times New Roman"/>
                <w:bCs/>
                <w:color w:val="auto"/>
                <w:kern w:val="0"/>
                <w:sz w:val="24"/>
                <w:szCs w:val="24"/>
                <w:highlight w:val="none"/>
                <w:lang w:val="en-US" w:eastAsia="zh-CN" w:bidi="ar-SA"/>
              </w:rPr>
              <w:t>1.2</w:t>
            </w:r>
            <w:r>
              <w:rPr>
                <w:rFonts w:hint="default" w:ascii="Times New Roman" w:hAnsi="Times New Roman" w:eastAsia="宋体" w:cs="Times New Roman"/>
                <w:bCs/>
                <w:color w:val="auto"/>
                <w:kern w:val="0"/>
                <w:sz w:val="24"/>
                <w:szCs w:val="24"/>
                <w:highlight w:val="none"/>
                <w:lang w:val="en-US" w:eastAsia="zh-CN" w:bidi="ar-SA"/>
              </w:rPr>
              <w:t>m/s。</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Cs/>
                <w:color w:val="auto"/>
                <w:kern w:val="0"/>
                <w:sz w:val="24"/>
                <w:szCs w:val="24"/>
                <w:highlight w:val="none"/>
                <w:lang w:val="en-US" w:eastAsia="zh-CN" w:bidi="ar-SA"/>
              </w:rPr>
            </w:pPr>
            <w:r>
              <w:rPr>
                <w:rFonts w:hint="default" w:ascii="Times New Roman" w:hAnsi="Times New Roman" w:cs="Times New Roman"/>
                <w:bCs/>
                <w:color w:val="auto"/>
                <w:kern w:val="0"/>
                <w:sz w:val="24"/>
                <w:szCs w:val="24"/>
                <w:highlight w:val="none"/>
                <w:lang w:val="en-US" w:eastAsia="zh-CN" w:bidi="ar-SA"/>
              </w:rPr>
              <w:t>根据上式计算，</w:t>
            </w:r>
            <w:r>
              <w:rPr>
                <w:rFonts w:hint="default" w:ascii="Times New Roman" w:hAnsi="Times New Roman" w:eastAsia="宋体" w:cs="Times New Roman"/>
                <w:bCs/>
                <w:color w:val="auto"/>
                <w:kern w:val="0"/>
                <w:sz w:val="24"/>
                <w:szCs w:val="24"/>
                <w:highlight w:val="none"/>
                <w:lang w:val="en-US" w:eastAsia="zh-CN" w:bidi="ar-SA"/>
              </w:rPr>
              <w:t>Q=</w:t>
            </w:r>
            <w:r>
              <w:rPr>
                <w:rFonts w:hint="default" w:ascii="Times New Roman" w:hAnsi="Times New Roman" w:cs="Times New Roman"/>
                <w:bCs/>
                <w:color w:val="auto"/>
                <w:kern w:val="0"/>
                <w:sz w:val="24"/>
                <w:szCs w:val="24"/>
                <w:highlight w:val="none"/>
                <w:lang w:val="en-US" w:eastAsia="zh-CN" w:bidi="ar-SA"/>
              </w:rPr>
              <w:t>0.</w:t>
            </w:r>
            <w:r>
              <w:rPr>
                <w:rFonts w:hint="eastAsia" w:ascii="Times New Roman" w:hAnsi="Times New Roman" w:cs="Times New Roman"/>
                <w:bCs/>
                <w:color w:val="auto"/>
                <w:kern w:val="0"/>
                <w:sz w:val="24"/>
                <w:szCs w:val="24"/>
                <w:highlight w:val="none"/>
                <w:lang w:val="en-US" w:eastAsia="zh-CN" w:bidi="ar-SA"/>
              </w:rPr>
              <w:t>6×</w:t>
            </w:r>
            <w:r>
              <w:rPr>
                <w:rFonts w:hint="default" w:ascii="Times New Roman" w:hAnsi="Times New Roman" w:cs="Times New Roman"/>
                <w:bCs/>
                <w:color w:val="auto"/>
                <w:kern w:val="0"/>
                <w:sz w:val="24"/>
                <w:szCs w:val="24"/>
                <w:highlight w:val="none"/>
                <w:lang w:val="en-US" w:eastAsia="zh-CN" w:bidi="ar-SA"/>
              </w:rPr>
              <w:t>0.</w:t>
            </w:r>
            <w:r>
              <w:rPr>
                <w:rFonts w:hint="eastAsia" w:ascii="Times New Roman" w:hAnsi="Times New Roman" w:cs="Times New Roman"/>
                <w:bCs/>
                <w:color w:val="auto"/>
                <w:kern w:val="0"/>
                <w:sz w:val="24"/>
                <w:szCs w:val="24"/>
                <w:highlight w:val="none"/>
                <w:lang w:val="en-US" w:eastAsia="zh-CN" w:bidi="ar-SA"/>
              </w:rPr>
              <w:t>6×</w:t>
            </w:r>
            <w:r>
              <w:rPr>
                <w:rFonts w:hint="default" w:ascii="Times New Roman" w:hAnsi="Times New Roman" w:cs="Times New Roman"/>
                <w:bCs/>
                <w:color w:val="auto"/>
                <w:kern w:val="0"/>
                <w:sz w:val="24"/>
                <w:szCs w:val="24"/>
                <w:highlight w:val="none"/>
                <w:lang w:val="en-US" w:eastAsia="zh-CN" w:bidi="ar-SA"/>
              </w:rPr>
              <w:t>1.</w:t>
            </w:r>
            <w:r>
              <w:rPr>
                <w:rFonts w:hint="eastAsia" w:ascii="Times New Roman" w:hAnsi="Times New Roman" w:cs="Times New Roman"/>
                <w:bCs/>
                <w:color w:val="auto"/>
                <w:kern w:val="0"/>
                <w:sz w:val="24"/>
                <w:szCs w:val="24"/>
                <w:highlight w:val="none"/>
                <w:lang w:val="en-US" w:eastAsia="zh-CN" w:bidi="ar-SA"/>
              </w:rPr>
              <w:t>2×</w:t>
            </w:r>
            <w:r>
              <w:rPr>
                <w:rFonts w:hint="default" w:ascii="Times New Roman" w:hAnsi="Times New Roman" w:eastAsia="宋体" w:cs="Times New Roman"/>
                <w:bCs/>
                <w:color w:val="auto"/>
                <w:kern w:val="0"/>
                <w:sz w:val="24"/>
                <w:szCs w:val="24"/>
                <w:highlight w:val="none"/>
                <w:lang w:val="en-US" w:eastAsia="zh-CN" w:bidi="ar-SA"/>
              </w:rPr>
              <w:t>60</w:t>
            </w:r>
            <w:r>
              <w:rPr>
                <w:rFonts w:hint="eastAsia" w:ascii="Times New Roman" w:hAnsi="Times New Roman"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60=</w:t>
            </w:r>
            <w:r>
              <w:rPr>
                <w:rFonts w:hint="default" w:ascii="Times New Roman" w:hAnsi="Times New Roman" w:cs="Times New Roman"/>
                <w:bCs/>
                <w:color w:val="auto"/>
                <w:kern w:val="0"/>
                <w:sz w:val="24"/>
                <w:szCs w:val="24"/>
                <w:highlight w:val="none"/>
                <w:lang w:val="en-US" w:eastAsia="zh-CN" w:bidi="ar-SA"/>
              </w:rPr>
              <w:t>1</w:t>
            </w:r>
            <w:r>
              <w:rPr>
                <w:rFonts w:hint="eastAsia" w:ascii="Times New Roman" w:hAnsi="Times New Roman" w:cs="Times New Roman"/>
                <w:bCs/>
                <w:color w:val="auto"/>
                <w:kern w:val="0"/>
                <w:sz w:val="24"/>
                <w:szCs w:val="24"/>
                <w:highlight w:val="none"/>
                <w:lang w:val="en-US" w:eastAsia="zh-CN" w:bidi="ar-SA"/>
              </w:rPr>
              <w:t>555.2</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3</w:t>
            </w:r>
            <w:r>
              <w:rPr>
                <w:rFonts w:hint="default" w:ascii="Times New Roman" w:hAnsi="Times New Roman" w:eastAsia="宋体" w:cs="Times New Roman"/>
                <w:bCs/>
                <w:color w:val="auto"/>
                <w:kern w:val="0"/>
                <w:sz w:val="24"/>
                <w:szCs w:val="24"/>
                <w:highlight w:val="none"/>
                <w:lang w:val="en-US" w:eastAsia="zh-CN" w:bidi="ar-SA"/>
              </w:rPr>
              <w:t>/h。因此，</w:t>
            </w:r>
            <w:r>
              <w:rPr>
                <w:rFonts w:hint="default" w:ascii="Times New Roman" w:hAnsi="Times New Roman" w:cs="Times New Roman"/>
                <w:bCs/>
                <w:color w:val="auto"/>
                <w:kern w:val="0"/>
                <w:sz w:val="24"/>
                <w:szCs w:val="24"/>
                <w:highlight w:val="none"/>
                <w:lang w:val="en-US" w:eastAsia="zh-CN" w:bidi="ar-SA"/>
              </w:rPr>
              <w:t>本</w:t>
            </w:r>
            <w:r>
              <w:rPr>
                <w:rFonts w:hint="default" w:ascii="Times New Roman" w:hAnsi="Times New Roman" w:eastAsia="宋体" w:cs="Times New Roman"/>
                <w:bCs/>
                <w:color w:val="auto"/>
                <w:kern w:val="0"/>
                <w:sz w:val="24"/>
                <w:szCs w:val="24"/>
                <w:highlight w:val="none"/>
                <w:lang w:val="en-US" w:eastAsia="zh-CN" w:bidi="ar-SA"/>
              </w:rPr>
              <w:t>项目</w:t>
            </w:r>
            <w:r>
              <w:rPr>
                <w:rFonts w:hint="default" w:ascii="Times New Roman" w:hAnsi="Times New Roman" w:cs="Times New Roman"/>
                <w:bCs/>
                <w:color w:val="auto"/>
                <w:kern w:val="0"/>
                <w:sz w:val="24"/>
                <w:szCs w:val="24"/>
                <w:highlight w:val="none"/>
                <w:lang w:val="en-US" w:eastAsia="zh-CN" w:bidi="ar-SA"/>
              </w:rPr>
              <w:t>激光脱皮</w:t>
            </w:r>
            <w:r>
              <w:rPr>
                <w:rFonts w:hint="default" w:ascii="Times New Roman" w:hAnsi="Times New Roman" w:eastAsia="宋体" w:cs="Times New Roman"/>
                <w:bCs/>
                <w:color w:val="auto"/>
                <w:kern w:val="0"/>
                <w:sz w:val="24"/>
                <w:szCs w:val="24"/>
                <w:highlight w:val="none"/>
                <w:lang w:val="en-US" w:eastAsia="zh-CN" w:bidi="ar-SA"/>
              </w:rPr>
              <w:t>区域</w:t>
            </w:r>
            <w:r>
              <w:rPr>
                <w:rFonts w:hint="default" w:ascii="Times New Roman" w:hAnsi="Times New Roman" w:cs="Times New Roman"/>
                <w:bCs/>
                <w:color w:val="auto"/>
                <w:kern w:val="0"/>
                <w:sz w:val="24"/>
                <w:szCs w:val="24"/>
                <w:highlight w:val="none"/>
                <w:lang w:val="en-US" w:eastAsia="zh-CN" w:bidi="ar-SA"/>
              </w:rPr>
              <w:t>总共有2台激光脱皮机，需设置2个侧吸罩集气罩；</w:t>
            </w:r>
            <w:r>
              <w:rPr>
                <w:rFonts w:hint="default" w:ascii="Times New Roman" w:hAnsi="Times New Roman" w:eastAsia="宋体" w:cs="Times New Roman"/>
                <w:bCs/>
                <w:color w:val="auto"/>
                <w:kern w:val="0"/>
                <w:sz w:val="24"/>
                <w:szCs w:val="24"/>
                <w:highlight w:val="none"/>
                <w:lang w:val="en-US" w:eastAsia="zh-CN" w:bidi="ar-SA"/>
              </w:rPr>
              <w:t>焊锡区域</w:t>
            </w:r>
            <w:r>
              <w:rPr>
                <w:rFonts w:hint="default" w:ascii="Times New Roman" w:hAnsi="Times New Roman" w:cs="Times New Roman"/>
                <w:bCs/>
                <w:color w:val="auto"/>
                <w:kern w:val="0"/>
                <w:sz w:val="24"/>
                <w:szCs w:val="24"/>
                <w:highlight w:val="none"/>
                <w:lang w:val="en-US" w:eastAsia="zh-CN" w:bidi="ar-SA"/>
              </w:rPr>
              <w:t>总共有2台焊锡机，需设置2个上吸式集气罩</w:t>
            </w:r>
            <w:r>
              <w:rPr>
                <w:rFonts w:hint="eastAsia" w:ascii="Times New Roman" w:hAnsi="Times New Roman" w:cs="Times New Roman"/>
                <w:bCs/>
                <w:color w:val="auto"/>
                <w:kern w:val="0"/>
                <w:sz w:val="24"/>
                <w:szCs w:val="24"/>
                <w:highlight w:val="none"/>
                <w:lang w:val="en-US" w:eastAsia="zh-CN" w:bidi="ar-SA"/>
              </w:rPr>
              <w:t>。</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集气罩部分所需风量为6220.8</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3</w:t>
            </w:r>
            <w:r>
              <w:rPr>
                <w:rFonts w:hint="default" w:ascii="Times New Roman" w:hAnsi="Times New Roman" w:eastAsia="宋体" w:cs="Times New Roman"/>
                <w:bCs/>
                <w:color w:val="auto"/>
                <w:kern w:val="0"/>
                <w:sz w:val="24"/>
                <w:szCs w:val="24"/>
                <w:highlight w:val="none"/>
                <w:lang w:val="en-US" w:eastAsia="zh-CN" w:bidi="ar-SA"/>
              </w:rPr>
              <w:t>/h</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Cs/>
                <w:color w:val="auto"/>
                <w:kern w:val="0"/>
                <w:sz w:val="24"/>
                <w:szCs w:val="24"/>
                <w:highlight w:val="none"/>
                <w:vertAlign w:val="baseline"/>
                <w:lang w:val="en-US" w:eastAsia="zh-CN" w:bidi="ar-SA"/>
              </w:rPr>
            </w:pPr>
            <w:r>
              <w:rPr>
                <w:rFonts w:hint="default" w:ascii="Times New Roman" w:hAnsi="Times New Roman" w:cs="Times New Roman"/>
                <w:bCs/>
                <w:color w:val="auto"/>
                <w:kern w:val="0"/>
                <w:sz w:val="24"/>
                <w:szCs w:val="24"/>
                <w:highlight w:val="none"/>
                <w:lang w:val="en-US" w:eastAsia="zh-CN" w:bidi="ar-SA"/>
              </w:rPr>
              <w:t>浸漆</w:t>
            </w:r>
            <w:r>
              <w:rPr>
                <w:rFonts w:hint="default" w:ascii="Times New Roman" w:hAnsi="Times New Roman" w:eastAsia="宋体" w:cs="Times New Roman"/>
                <w:bCs/>
                <w:color w:val="auto"/>
                <w:kern w:val="0"/>
                <w:sz w:val="24"/>
                <w:szCs w:val="24"/>
                <w:highlight w:val="none"/>
                <w:lang w:val="en-US" w:eastAsia="zh-CN" w:bidi="ar-SA"/>
              </w:rPr>
              <w:t>区域</w:t>
            </w:r>
            <w:r>
              <w:rPr>
                <w:rFonts w:hint="default" w:ascii="Times New Roman" w:hAnsi="Times New Roman" w:cs="Times New Roman"/>
                <w:bCs/>
                <w:color w:val="auto"/>
                <w:kern w:val="0"/>
                <w:sz w:val="24"/>
                <w:szCs w:val="24"/>
                <w:highlight w:val="none"/>
                <w:lang w:val="en-US" w:eastAsia="zh-CN" w:bidi="ar-SA"/>
              </w:rPr>
              <w:t>总共有1</w:t>
            </w:r>
            <w:r>
              <w:rPr>
                <w:rFonts w:hint="eastAsia" w:ascii="Times New Roman" w:hAnsi="Times New Roman" w:cs="Times New Roman"/>
                <w:bCs/>
                <w:color w:val="auto"/>
                <w:kern w:val="0"/>
                <w:sz w:val="24"/>
                <w:szCs w:val="24"/>
                <w:highlight w:val="none"/>
                <w:lang w:val="en-US" w:eastAsia="zh-CN" w:bidi="ar-SA"/>
              </w:rPr>
              <w:t>套</w:t>
            </w:r>
            <w:r>
              <w:rPr>
                <w:rFonts w:hint="default" w:ascii="Times New Roman" w:hAnsi="Times New Roman" w:cs="Times New Roman"/>
                <w:bCs/>
                <w:color w:val="auto"/>
                <w:kern w:val="0"/>
                <w:sz w:val="24"/>
                <w:szCs w:val="24"/>
                <w:highlight w:val="none"/>
                <w:lang w:val="en-US" w:eastAsia="zh-CN" w:bidi="ar-SA"/>
              </w:rPr>
              <w:t>含浸机</w:t>
            </w:r>
            <w:r>
              <w:rPr>
                <w:rFonts w:hint="eastAsia" w:ascii="Times New Roman" w:hAnsi="Times New Roman" w:cs="Times New Roman"/>
                <w:bCs/>
                <w:color w:val="auto"/>
                <w:kern w:val="0"/>
                <w:sz w:val="24"/>
                <w:szCs w:val="24"/>
                <w:highlight w:val="none"/>
                <w:lang w:val="en-US" w:eastAsia="zh-CN" w:bidi="ar-SA"/>
              </w:rPr>
              <w:t>，工作台设备容积为0.288m</w:t>
            </w:r>
            <w:r>
              <w:rPr>
                <w:rFonts w:hint="eastAsia" w:ascii="Times New Roman" w:hAnsi="Times New Roman" w:cs="Times New Roman"/>
                <w:bCs/>
                <w:color w:val="auto"/>
                <w:kern w:val="0"/>
                <w:sz w:val="24"/>
                <w:szCs w:val="24"/>
                <w:highlight w:val="none"/>
                <w:vertAlign w:val="superscript"/>
                <w:lang w:val="en-US" w:eastAsia="zh-CN" w:bidi="ar-SA"/>
              </w:rPr>
              <w:t>3</w:t>
            </w:r>
            <w:r>
              <w:rPr>
                <w:rFonts w:hint="eastAsia" w:ascii="Times New Roman" w:hAnsi="Times New Roman" w:cs="Times New Roman"/>
                <w:bCs/>
                <w:color w:val="auto"/>
                <w:kern w:val="0"/>
                <w:sz w:val="24"/>
                <w:szCs w:val="24"/>
                <w:highlight w:val="none"/>
                <w:vertAlign w:val="baseline"/>
                <w:lang w:val="en-US" w:eastAsia="zh-CN" w:bidi="ar-SA"/>
              </w:rPr>
              <w:t>，集气管设置在真空装置的末端。</w:t>
            </w:r>
            <w:r>
              <w:rPr>
                <w:rFonts w:hint="eastAsia" w:ascii="Times New Roman" w:hAnsi="Times New Roman" w:eastAsia="宋体" w:cs="Times New Roman"/>
                <w:b w:val="0"/>
                <w:bCs/>
                <w:color w:val="auto"/>
                <w:sz w:val="24"/>
                <w:highlight w:val="none"/>
                <w:lang w:val="en-US" w:eastAsia="zh-CN"/>
              </w:rPr>
              <w:t>根据</w:t>
            </w:r>
            <w:r>
              <w:rPr>
                <w:rFonts w:hint="eastAsia" w:ascii="Times New Roman" w:hAnsi="Times New Roman" w:cs="Times New Roman"/>
                <w:b w:val="0"/>
                <w:bCs/>
                <w:color w:val="auto"/>
                <w:sz w:val="24"/>
                <w:highlight w:val="none"/>
                <w:lang w:val="en-US" w:eastAsia="zh-CN"/>
              </w:rPr>
              <w:t>厂家提供数据，本设备的抽风量为40</w:t>
            </w:r>
            <w:r>
              <w:rPr>
                <w:rFonts w:hint="eastAsia" w:ascii="Times New Roman" w:hAnsi="Times New Roman" w:eastAsia="宋体" w:cs="Times New Roman"/>
                <w:b w:val="0"/>
                <w:bCs/>
                <w:color w:val="auto"/>
                <w:sz w:val="24"/>
                <w:highlight w:val="none"/>
                <w:lang w:val="en-US" w:eastAsia="zh-CN"/>
              </w:rPr>
              <w:t>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lang w:val="en-US" w:eastAsia="zh-CN"/>
              </w:rPr>
              <w:t>/h</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浸漆部分所需风量为40</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3</w:t>
            </w:r>
            <w:r>
              <w:rPr>
                <w:rFonts w:hint="default" w:ascii="Times New Roman" w:hAnsi="Times New Roman" w:eastAsia="宋体" w:cs="Times New Roman"/>
                <w:bCs/>
                <w:color w:val="auto"/>
                <w:kern w:val="0"/>
                <w:sz w:val="24"/>
                <w:szCs w:val="24"/>
                <w:highlight w:val="none"/>
                <w:lang w:val="en-US" w:eastAsia="zh-CN" w:bidi="ar-SA"/>
              </w:rPr>
              <w:t>/h</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 w:val="0"/>
                <w:bCs/>
                <w:color w:val="auto"/>
                <w:sz w:val="24"/>
                <w:highlight w:val="none"/>
                <w:lang w:val="en-US" w:eastAsia="zh-CN"/>
              </w:rPr>
            </w:pPr>
            <w:r>
              <w:rPr>
                <w:rFonts w:hint="default" w:ascii="Times New Roman" w:hAnsi="Times New Roman" w:cs="Times New Roman"/>
                <w:bCs/>
                <w:color w:val="auto"/>
                <w:kern w:val="0"/>
                <w:sz w:val="24"/>
                <w:szCs w:val="24"/>
                <w:highlight w:val="none"/>
                <w:lang w:val="en-US" w:eastAsia="zh-CN" w:bidi="ar-SA"/>
              </w:rPr>
              <w:t>烘干</w:t>
            </w:r>
            <w:r>
              <w:rPr>
                <w:rFonts w:hint="default" w:ascii="Times New Roman" w:hAnsi="Times New Roman" w:eastAsia="宋体" w:cs="Times New Roman"/>
                <w:bCs/>
                <w:color w:val="auto"/>
                <w:kern w:val="0"/>
                <w:sz w:val="24"/>
                <w:szCs w:val="24"/>
                <w:highlight w:val="none"/>
                <w:lang w:val="en-US" w:eastAsia="zh-CN" w:bidi="ar-SA"/>
              </w:rPr>
              <w:t>区域</w:t>
            </w:r>
            <w:r>
              <w:rPr>
                <w:rFonts w:hint="default" w:ascii="Times New Roman" w:hAnsi="Times New Roman" w:cs="Times New Roman"/>
                <w:bCs/>
                <w:color w:val="auto"/>
                <w:kern w:val="0"/>
                <w:sz w:val="24"/>
                <w:szCs w:val="24"/>
                <w:highlight w:val="none"/>
                <w:lang w:val="en-US" w:eastAsia="zh-CN" w:bidi="ar-SA"/>
              </w:rPr>
              <w:t>总共有2台烤箱</w:t>
            </w:r>
            <w:r>
              <w:rPr>
                <w:rFonts w:hint="eastAsia" w:ascii="Times New Roman" w:hAnsi="Times New Roman" w:cs="Times New Roman"/>
                <w:bCs/>
                <w:color w:val="auto"/>
                <w:kern w:val="0"/>
                <w:sz w:val="24"/>
                <w:szCs w:val="24"/>
                <w:highlight w:val="none"/>
                <w:lang w:val="en-US" w:eastAsia="zh-CN" w:bidi="ar-SA"/>
              </w:rPr>
              <w:t>（一个双开门，一个单开门）</w:t>
            </w:r>
            <w:r>
              <w:rPr>
                <w:rFonts w:hint="default" w:ascii="Times New Roman" w:hAnsi="Times New Roman" w:cs="Times New Roman"/>
                <w:bCs/>
                <w:color w:val="auto"/>
                <w:kern w:val="0"/>
                <w:sz w:val="24"/>
                <w:szCs w:val="24"/>
                <w:highlight w:val="none"/>
                <w:lang w:val="en-US" w:eastAsia="zh-CN" w:bidi="ar-SA"/>
              </w:rPr>
              <w:t>，需设置2</w:t>
            </w:r>
            <w:r>
              <w:rPr>
                <w:rFonts w:hint="eastAsia" w:ascii="Times New Roman" w:hAnsi="Times New Roman" w:cs="Times New Roman"/>
                <w:bCs/>
                <w:color w:val="auto"/>
                <w:kern w:val="0"/>
                <w:sz w:val="24"/>
                <w:szCs w:val="24"/>
                <w:highlight w:val="none"/>
                <w:lang w:val="en-US" w:eastAsia="zh-CN" w:bidi="ar-SA"/>
              </w:rPr>
              <w:t>处</w:t>
            </w:r>
            <w:r>
              <w:rPr>
                <w:rFonts w:hint="default" w:ascii="Times New Roman" w:hAnsi="Times New Roman" w:cs="Times New Roman"/>
                <w:bCs/>
                <w:color w:val="auto"/>
                <w:kern w:val="0"/>
                <w:sz w:val="24"/>
                <w:szCs w:val="24"/>
                <w:highlight w:val="none"/>
                <w:lang w:val="en-US" w:eastAsia="zh-CN" w:bidi="ar-SA"/>
              </w:rPr>
              <w:t>集气管</w:t>
            </w:r>
            <w:r>
              <w:rPr>
                <w:rFonts w:hint="eastAsia" w:ascii="Times New Roman" w:hAnsi="Times New Roman" w:cs="Times New Roman"/>
                <w:bCs/>
                <w:color w:val="auto"/>
                <w:kern w:val="0"/>
                <w:sz w:val="24"/>
                <w:szCs w:val="24"/>
                <w:highlight w:val="none"/>
                <w:lang w:val="en-US" w:eastAsia="zh-CN" w:bidi="ar-SA"/>
              </w:rPr>
              <w:t>，双门烤箱设备容积为1.1m</w:t>
            </w:r>
            <w:r>
              <w:rPr>
                <w:rFonts w:hint="eastAsia" w:ascii="Times New Roman" w:hAnsi="Times New Roman" w:cs="Times New Roman"/>
                <w:bCs/>
                <w:color w:val="auto"/>
                <w:kern w:val="0"/>
                <w:sz w:val="24"/>
                <w:szCs w:val="24"/>
                <w:highlight w:val="none"/>
                <w:vertAlign w:val="superscript"/>
                <w:lang w:val="en-US" w:eastAsia="zh-CN" w:bidi="ar-SA"/>
              </w:rPr>
              <w:t>3</w:t>
            </w:r>
            <w:r>
              <w:rPr>
                <w:rFonts w:hint="eastAsia" w:ascii="Times New Roman" w:hAnsi="Times New Roman" w:cs="Times New Roman"/>
                <w:bCs/>
                <w:color w:val="auto"/>
                <w:kern w:val="0"/>
                <w:sz w:val="24"/>
                <w:szCs w:val="24"/>
                <w:highlight w:val="none"/>
                <w:vertAlign w:val="baseline"/>
                <w:lang w:val="en-US" w:eastAsia="zh-CN" w:bidi="ar-SA"/>
              </w:rPr>
              <w:t>，单门</w:t>
            </w:r>
            <w:r>
              <w:rPr>
                <w:rFonts w:hint="eastAsia" w:ascii="Times New Roman" w:hAnsi="Times New Roman" w:cs="Times New Roman"/>
                <w:bCs/>
                <w:color w:val="auto"/>
                <w:kern w:val="0"/>
                <w:sz w:val="24"/>
                <w:szCs w:val="24"/>
                <w:highlight w:val="none"/>
                <w:lang w:val="en-US" w:eastAsia="zh-CN" w:bidi="ar-SA"/>
              </w:rPr>
              <w:t>烤箱设备容积0.48m</w:t>
            </w:r>
            <w:r>
              <w:rPr>
                <w:rFonts w:hint="eastAsia" w:ascii="Times New Roman" w:hAnsi="Times New Roman" w:cs="Times New Roman"/>
                <w:bCs/>
                <w:color w:val="auto"/>
                <w:kern w:val="0"/>
                <w:sz w:val="24"/>
                <w:szCs w:val="24"/>
                <w:highlight w:val="none"/>
                <w:vertAlign w:val="superscript"/>
                <w:lang w:val="en-US" w:eastAsia="zh-CN" w:bidi="ar-SA"/>
              </w:rPr>
              <w:t>3</w:t>
            </w:r>
            <w:r>
              <w:rPr>
                <w:rFonts w:hint="eastAsia" w:ascii="Times New Roman" w:hAnsi="Times New Roman" w:cs="Times New Roman"/>
                <w:bCs/>
                <w:color w:val="auto"/>
                <w:kern w:val="0"/>
                <w:sz w:val="24"/>
                <w:szCs w:val="24"/>
                <w:highlight w:val="none"/>
                <w:vertAlign w:val="baseline"/>
                <w:lang w:val="en-US" w:eastAsia="zh-CN" w:bidi="ar-SA"/>
              </w:rPr>
              <w:t>，排气孔直径为0.04m</w:t>
            </w:r>
            <w:r>
              <w:rPr>
                <w:rFonts w:hint="eastAsia" w:ascii="Times New Roman" w:hAnsi="Times New Roman" w:cs="Times New Roman"/>
                <w:b w:val="0"/>
                <w:bCs/>
                <w:color w:val="auto"/>
                <w:sz w:val="24"/>
                <w:highlight w:val="none"/>
                <w:lang w:val="en-US" w:eastAsia="zh-CN"/>
              </w:rPr>
              <w:t>。</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排风量计算公示如下：</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 w:val="0"/>
                <w:bCs/>
                <w:color w:val="auto"/>
                <w:sz w:val="24"/>
                <w:highlight w:val="none"/>
                <w:lang w:val="en-US" w:eastAsia="zh-CN"/>
              </w:rPr>
            </w:pPr>
            <m:oMathPara>
              <m:oMath>
                <m:r>
                  <m:rPr>
                    <m:sty m:val="p"/>
                  </m:rPr>
                  <w:rPr>
                    <w:rFonts w:hint="default" w:ascii="Cambria Math" w:hAnsi="Cambria Math" w:cs="Times New Roman"/>
                    <w:color w:val="auto"/>
                    <w:kern w:val="0"/>
                    <w:sz w:val="24"/>
                    <w:szCs w:val="24"/>
                    <w:highlight w:val="none"/>
                    <w:lang w:val="en-US" w:eastAsia="zh-CN" w:bidi="ar-SA"/>
                  </w:rPr>
                  <m:t>Q=F</m:t>
                </m:r>
                <m:r>
                  <m:rPr>
                    <m:sty m:val="p"/>
                  </m:rPr>
                  <w:rPr>
                    <w:rFonts w:hint="default" w:ascii="Cambria Math" w:hAnsi="Cambria Math" w:cs="Cambria Math"/>
                    <w:color w:val="auto"/>
                    <w:kern w:val="0"/>
                    <w:sz w:val="24"/>
                    <w:szCs w:val="24"/>
                    <w:highlight w:val="none"/>
                    <w:lang w:val="en-US" w:eastAsia="zh-CN" w:bidi="ar-SA"/>
                  </w:rPr>
                  <m:t>∙</m:t>
                </m:r>
                <m:r>
                  <m:rPr>
                    <m:sty m:val="p"/>
                  </m:rPr>
                  <w:rPr>
                    <w:rFonts w:hint="default" w:ascii="Cambria Math" w:hAnsi="Cambria Math" w:cs="Times New Roman"/>
                    <w:color w:val="auto"/>
                    <w:kern w:val="0"/>
                    <w:sz w:val="24"/>
                    <w:szCs w:val="24"/>
                    <w:highlight w:val="none"/>
                    <w:lang w:val="en-US" w:eastAsia="zh-CN" w:bidi="ar-SA"/>
                  </w:rPr>
                  <m:t>V</m:t>
                </m:r>
              </m:oMath>
            </m:oMathPara>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F一</w:t>
            </w:r>
            <w:r>
              <w:rPr>
                <w:rFonts w:hint="eastAsia" w:ascii="Times New Roman" w:hAnsi="Times New Roman" w:eastAsia="宋体" w:cs="Times New Roman"/>
                <w:bCs/>
                <w:color w:val="auto"/>
                <w:kern w:val="0"/>
                <w:sz w:val="24"/>
                <w:szCs w:val="24"/>
                <w:highlight w:val="none"/>
                <w:lang w:val="en-US" w:eastAsia="zh-CN" w:bidi="ar-SA"/>
              </w:rPr>
              <w:t>截</w:t>
            </w:r>
            <w:r>
              <w:rPr>
                <w:rFonts w:hint="default" w:ascii="Times New Roman" w:hAnsi="Times New Roman" w:eastAsia="宋体" w:cs="Times New Roman"/>
                <w:bCs/>
                <w:color w:val="auto"/>
                <w:kern w:val="0"/>
                <w:sz w:val="24"/>
                <w:szCs w:val="24"/>
                <w:highlight w:val="none"/>
                <w:lang w:val="en-US" w:eastAsia="zh-CN" w:bidi="ar-SA"/>
              </w:rPr>
              <w:t>面积， 单位</w:t>
            </w:r>
            <w:r>
              <w:rPr>
                <w:rFonts w:hint="eastAsia" w:ascii="Times New Roman" w:hAnsi="Times New Roman" w:cs="Times New Roman"/>
                <w:bCs/>
                <w:color w:val="auto"/>
                <w:kern w:val="0"/>
                <w:sz w:val="24"/>
                <w:szCs w:val="24"/>
                <w:highlight w:val="none"/>
                <w:lang w:val="en-US" w:eastAsia="zh-CN" w:bidi="ar-SA"/>
              </w:rPr>
              <w:t>为</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2</w:t>
            </w:r>
            <w:r>
              <w:rPr>
                <w:rFonts w:hint="eastAsia" w:ascii="Times New Roman" w:hAnsi="Times New Roman" w:cs="Times New Roman"/>
                <w:bCs/>
                <w:color w:val="auto"/>
                <w:kern w:val="0"/>
                <w:sz w:val="24"/>
                <w:szCs w:val="24"/>
                <w:highlight w:val="none"/>
                <w:vertAlign w:val="baseline"/>
                <w:lang w:val="en-US" w:eastAsia="zh-CN" w:bidi="ar-SA"/>
              </w:rPr>
              <w:t>，平均截面积为0.005</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2</w:t>
            </w:r>
            <w:r>
              <w:rPr>
                <w:rFonts w:hint="default" w:ascii="Times New Roman" w:hAnsi="Times New Roman" w:eastAsia="宋体" w:cs="Times New Roman"/>
                <w:bCs/>
                <w:color w:val="auto"/>
                <w:kern w:val="0"/>
                <w:sz w:val="24"/>
                <w:szCs w:val="24"/>
                <w:highlight w:val="none"/>
                <w:lang w:val="en-US" w:eastAsia="zh-CN" w:bidi="ar-SA"/>
              </w:rPr>
              <w:t>；</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b w:val="0"/>
                <w:bCs/>
                <w:color w:val="auto"/>
                <w:sz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bidi="ar-SA"/>
              </w:rPr>
              <w:t>V一平均风速，单位m/s；本项目平均风速取</w:t>
            </w:r>
            <w:r>
              <w:rPr>
                <w:rFonts w:hint="eastAsia" w:ascii="Times New Roman" w:hAnsi="Times New Roman" w:cs="Times New Roman"/>
                <w:bCs/>
                <w:color w:val="auto"/>
                <w:kern w:val="0"/>
                <w:sz w:val="24"/>
                <w:szCs w:val="24"/>
                <w:highlight w:val="none"/>
                <w:lang w:val="en-US" w:eastAsia="zh-CN" w:bidi="ar-SA"/>
              </w:rPr>
              <w:t>1.2</w:t>
            </w:r>
            <w:r>
              <w:rPr>
                <w:rFonts w:hint="default" w:ascii="Times New Roman" w:hAnsi="Times New Roman" w:eastAsia="宋体" w:cs="Times New Roman"/>
                <w:bCs/>
                <w:color w:val="auto"/>
                <w:kern w:val="0"/>
                <w:sz w:val="24"/>
                <w:szCs w:val="24"/>
                <w:highlight w:val="none"/>
                <w:lang w:val="en-US" w:eastAsia="zh-CN" w:bidi="ar-SA"/>
              </w:rPr>
              <w:t>m/s。</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双开门烤箱的排风量</w:t>
            </w:r>
            <w:r>
              <w:rPr>
                <w:rFonts w:hint="eastAsia" w:ascii="Times New Roman" w:hAnsi="Times New Roman" w:eastAsia="宋体"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0.04</w:t>
            </w:r>
            <w:r>
              <w:rPr>
                <w:rFonts w:hint="eastAsia" w:ascii="Times New Roman" w:hAnsi="Times New Roman" w:eastAsia="宋体" w:cs="Times New Roman"/>
                <w:b w:val="0"/>
                <w:bCs/>
                <w:color w:val="auto"/>
                <w:sz w:val="24"/>
                <w:highlight w:val="none"/>
                <w:lang w:val="en-US" w:eastAsia="zh-CN"/>
              </w:rPr>
              <w:t>×</w:t>
            </w:r>
            <w:r>
              <w:rPr>
                <w:rFonts w:hint="eastAsia" w:ascii="Times New Roman" w:hAnsi="Times New Roman" w:cs="Times New Roman"/>
                <w:b w:val="0"/>
                <w:bCs/>
                <w:color w:val="auto"/>
                <w:sz w:val="24"/>
                <w:highlight w:val="none"/>
                <w:lang w:val="en-US" w:eastAsia="zh-CN"/>
              </w:rPr>
              <w:t>0.04</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Π</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1.2</w:t>
            </w:r>
            <w:r>
              <w:rPr>
                <w:rFonts w:hint="eastAsia" w:ascii="Times New Roman" w:hAnsi="Times New Roman" w:cs="Times New Roman"/>
                <w:b w:val="0"/>
                <w:bCs/>
                <w:color w:val="auto"/>
                <w:sz w:val="24"/>
                <w:highlight w:val="none"/>
                <w:lang w:val="en-US" w:eastAsia="zh-CN"/>
              </w:rPr>
              <w:t>=22</w:t>
            </w:r>
            <w:r>
              <w:rPr>
                <w:rFonts w:hint="eastAsia" w:ascii="Times New Roman" w:hAnsi="Times New Roman" w:eastAsia="宋体" w:cs="Times New Roman"/>
                <w:b w:val="0"/>
                <w:bCs/>
                <w:color w:val="auto"/>
                <w:sz w:val="24"/>
                <w:highlight w:val="none"/>
                <w:lang w:val="en-US" w:eastAsia="zh-CN"/>
              </w:rPr>
              <w:t>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lang w:val="en-US" w:eastAsia="zh-CN"/>
              </w:rPr>
              <w:t>/h</w:t>
            </w:r>
            <w:r>
              <w:rPr>
                <w:rFonts w:hint="eastAsia" w:ascii="Times New Roman" w:hAnsi="Times New Roman" w:cs="Times New Roman"/>
                <w:b w:val="0"/>
                <w:bCs/>
                <w:color w:val="auto"/>
                <w:sz w:val="24"/>
                <w:highlight w:val="none"/>
                <w:lang w:val="en-US" w:eastAsia="zh-CN"/>
              </w:rPr>
              <w:t>，单开门烤箱的排风量</w:t>
            </w:r>
            <w:r>
              <w:rPr>
                <w:rFonts w:hint="eastAsia" w:ascii="Times New Roman" w:hAnsi="Times New Roman" w:eastAsia="宋体" w:cs="Times New Roman"/>
                <w:b w:val="0"/>
                <w:bCs/>
                <w:color w:val="auto"/>
                <w:sz w:val="24"/>
                <w:highlight w:val="none"/>
                <w:lang w:val="en-US" w:eastAsia="zh-CN"/>
              </w:rPr>
              <w:t>为：</w:t>
            </w:r>
            <w:r>
              <w:rPr>
                <w:rFonts w:hint="eastAsia" w:ascii="Times New Roman" w:hAnsi="Times New Roman" w:cs="Times New Roman"/>
                <w:b w:val="0"/>
                <w:bCs/>
                <w:color w:val="auto"/>
                <w:sz w:val="24"/>
                <w:highlight w:val="none"/>
                <w:lang w:val="en-US" w:eastAsia="zh-CN"/>
              </w:rPr>
              <w:t>0.04</w:t>
            </w:r>
            <w:r>
              <w:rPr>
                <w:rFonts w:hint="eastAsia" w:ascii="Times New Roman" w:hAnsi="Times New Roman" w:eastAsia="宋体" w:cs="Times New Roman"/>
                <w:b w:val="0"/>
                <w:bCs/>
                <w:color w:val="auto"/>
                <w:sz w:val="24"/>
                <w:highlight w:val="none"/>
                <w:lang w:val="en-US" w:eastAsia="zh-CN"/>
              </w:rPr>
              <w:t>×</w:t>
            </w:r>
            <w:r>
              <w:rPr>
                <w:rFonts w:hint="eastAsia" w:ascii="Times New Roman" w:hAnsi="Times New Roman" w:cs="Times New Roman"/>
                <w:b w:val="0"/>
                <w:bCs/>
                <w:color w:val="auto"/>
                <w:sz w:val="24"/>
                <w:highlight w:val="none"/>
                <w:lang w:val="en-US" w:eastAsia="zh-CN"/>
              </w:rPr>
              <w:t>0.04</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Π</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1.2</w:t>
            </w:r>
            <w:r>
              <w:rPr>
                <w:rFonts w:hint="eastAsia" w:ascii="Times New Roman" w:hAnsi="Times New Roman" w:cs="Times New Roman"/>
                <w:b w:val="0"/>
                <w:bCs/>
                <w:color w:val="auto"/>
                <w:sz w:val="24"/>
                <w:highlight w:val="none"/>
                <w:lang w:val="en-US" w:eastAsia="zh-CN"/>
              </w:rPr>
              <w:t>=22</w:t>
            </w:r>
            <w:r>
              <w:rPr>
                <w:rFonts w:hint="eastAsia" w:ascii="Times New Roman" w:hAnsi="Times New Roman" w:eastAsia="宋体" w:cs="Times New Roman"/>
                <w:b w:val="0"/>
                <w:bCs/>
                <w:color w:val="auto"/>
                <w:sz w:val="24"/>
                <w:highlight w:val="none"/>
                <w:lang w:val="en-US" w:eastAsia="zh-CN"/>
              </w:rPr>
              <w:t>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lang w:val="en-US" w:eastAsia="zh-CN"/>
              </w:rPr>
              <w:t>/h</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Cs/>
                <w:color w:val="auto"/>
                <w:kern w:val="0"/>
                <w:sz w:val="24"/>
                <w:szCs w:val="24"/>
                <w:highlight w:val="none"/>
                <w:vertAlign w:val="baseline"/>
                <w:lang w:val="en-US" w:eastAsia="zh-CN" w:bidi="ar-SA"/>
              </w:rPr>
            </w:pPr>
            <w:r>
              <w:rPr>
                <w:rFonts w:hint="eastAsia" w:ascii="Times New Roman" w:hAnsi="Times New Roman" w:cs="Times New Roman"/>
                <w:bCs/>
                <w:color w:val="auto"/>
                <w:kern w:val="0"/>
                <w:sz w:val="24"/>
                <w:szCs w:val="24"/>
                <w:highlight w:val="none"/>
                <w:lang w:val="en-US" w:eastAsia="zh-CN" w:bidi="ar-SA"/>
              </w:rPr>
              <w:t>设备集气管部分所需风量为44</w:t>
            </w:r>
            <w:r>
              <w:rPr>
                <w:rFonts w:hint="default" w:ascii="Times New Roman" w:hAnsi="Times New Roman" w:eastAsia="宋体" w:cs="Times New Roman"/>
                <w:bCs/>
                <w:color w:val="auto"/>
                <w:kern w:val="0"/>
                <w:sz w:val="24"/>
                <w:szCs w:val="24"/>
                <w:highlight w:val="none"/>
                <w:lang w:val="en-US" w:eastAsia="zh-CN" w:bidi="ar-SA"/>
              </w:rPr>
              <w:t>m</w:t>
            </w:r>
            <w:r>
              <w:rPr>
                <w:rFonts w:hint="default" w:ascii="Times New Roman" w:hAnsi="Times New Roman" w:eastAsia="宋体" w:cs="Times New Roman"/>
                <w:bCs/>
                <w:color w:val="auto"/>
                <w:kern w:val="0"/>
                <w:sz w:val="24"/>
                <w:szCs w:val="24"/>
                <w:highlight w:val="none"/>
                <w:vertAlign w:val="superscript"/>
                <w:lang w:val="en-US" w:eastAsia="zh-CN" w:bidi="ar-SA"/>
              </w:rPr>
              <w:t>3</w:t>
            </w:r>
            <w:r>
              <w:rPr>
                <w:rFonts w:hint="default" w:ascii="Times New Roman" w:hAnsi="Times New Roman" w:eastAsia="宋体" w:cs="Times New Roman"/>
                <w:bCs/>
                <w:color w:val="auto"/>
                <w:kern w:val="0"/>
                <w:sz w:val="24"/>
                <w:szCs w:val="24"/>
                <w:highlight w:val="none"/>
                <w:lang w:val="en-US" w:eastAsia="zh-CN" w:bidi="ar-SA"/>
              </w:rPr>
              <w:t>/h</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cs="Times New Roman"/>
                <w:bCs/>
                <w:color w:val="auto"/>
                <w:kern w:val="0"/>
                <w:sz w:val="24"/>
                <w:szCs w:val="24"/>
                <w:highlight w:val="none"/>
                <w:vertAlign w:val="baseline"/>
                <w:lang w:val="en-US" w:eastAsia="zh-CN" w:bidi="ar-SA"/>
              </w:rPr>
              <w:t>综上，本项目所需总风量为：6304.8</w:t>
            </w:r>
            <w:r>
              <w:rPr>
                <w:rFonts w:hint="eastAsia" w:ascii="Times New Roman" w:hAnsi="Times New Roman" w:eastAsia="宋体" w:cs="Times New Roman"/>
                <w:b w:val="0"/>
                <w:bCs/>
                <w:color w:val="auto"/>
                <w:sz w:val="24"/>
                <w:highlight w:val="none"/>
                <w:lang w:val="en-US" w:eastAsia="zh-CN"/>
              </w:rPr>
              <w:t>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lang w:val="en-US" w:eastAsia="zh-CN"/>
              </w:rPr>
              <w:t>/h</w:t>
            </w:r>
            <w:r>
              <w:rPr>
                <w:rFonts w:hint="eastAsia" w:ascii="Times New Roman" w:hAnsi="Times New Roman" w:cs="Times New Roman"/>
                <w:b w:val="0"/>
                <w:bCs/>
                <w:color w:val="auto"/>
                <w:sz w:val="24"/>
                <w:highlight w:val="none"/>
                <w:lang w:val="en-US" w:eastAsia="zh-CN"/>
              </w:rPr>
              <w:t>，取10000</w:t>
            </w:r>
            <w:r>
              <w:rPr>
                <w:rFonts w:hint="eastAsia" w:ascii="Times New Roman" w:hAnsi="Times New Roman" w:eastAsia="宋体" w:cs="Times New Roman"/>
                <w:b w:val="0"/>
                <w:bCs/>
                <w:color w:val="auto"/>
                <w:sz w:val="24"/>
                <w:highlight w:val="none"/>
                <w:lang w:val="en-US" w:eastAsia="zh-CN"/>
              </w:rPr>
              <w:t>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lang w:val="en-US" w:eastAsia="zh-CN"/>
              </w:rPr>
              <w:t>/h</w:t>
            </w:r>
            <w:r>
              <w:rPr>
                <w:rFonts w:hint="eastAsia" w:ascii="Times New Roman" w:hAnsi="Times New Roman" w:cs="Times New Roman"/>
                <w:b w:val="0"/>
                <w:bCs/>
                <w:color w:val="auto"/>
                <w:sz w:val="24"/>
                <w:highlight w:val="none"/>
                <w:lang w:val="en-US" w:eastAsia="zh-CN"/>
              </w:rPr>
              <w:t>。</w:t>
            </w:r>
          </w:p>
          <w:p>
            <w:pPr>
              <w:spacing w:line="360" w:lineRule="auto"/>
              <w:ind w:firstLine="482" w:firstLineChars="200"/>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4、</w:t>
            </w:r>
            <w:r>
              <w:rPr>
                <w:rFonts w:hint="eastAsia" w:ascii="Times New Roman" w:hAnsi="Times New Roman" w:eastAsia="宋体" w:cs="Times New Roman"/>
                <w:b/>
                <w:bCs w:val="0"/>
                <w:color w:val="auto"/>
                <w:sz w:val="24"/>
                <w:highlight w:val="none"/>
                <w:lang w:val="en-US" w:eastAsia="zh-CN"/>
              </w:rPr>
              <w:t>排放情况</w:t>
            </w:r>
            <w:r>
              <w:rPr>
                <w:rFonts w:hint="eastAsia" w:cs="Times New Roman"/>
                <w:b/>
                <w:bCs w:val="0"/>
                <w:color w:val="auto"/>
                <w:sz w:val="24"/>
                <w:highlight w:val="none"/>
                <w:lang w:val="en-US" w:eastAsia="zh-CN"/>
              </w:rPr>
              <w:t>：</w:t>
            </w:r>
          </w:p>
          <w:p>
            <w:pPr>
              <w:spacing w:line="360" w:lineRule="auto"/>
              <w:ind w:firstLine="482" w:firstLineChars="200"/>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焊锡废气</w:t>
            </w:r>
            <w:r>
              <w:rPr>
                <w:rFonts w:hint="eastAsia" w:cs="Times New Roman"/>
                <w:b/>
                <w:bCs w:val="0"/>
                <w:color w:val="auto"/>
                <w:sz w:val="24"/>
                <w:highlight w:val="none"/>
                <w:lang w:val="en-US" w:eastAsia="zh-CN"/>
              </w:rPr>
              <w:t>和</w:t>
            </w:r>
            <w:r>
              <w:rPr>
                <w:rFonts w:hint="eastAsia" w:ascii="Times New Roman" w:hAnsi="Times New Roman" w:cs="Times New Roman"/>
                <w:b/>
                <w:bCs w:val="0"/>
                <w:color w:val="auto"/>
                <w:spacing w:val="-10"/>
                <w:sz w:val="24"/>
                <w:highlight w:val="none"/>
                <w:lang w:val="en-US" w:eastAsia="zh-CN"/>
              </w:rPr>
              <w:t>浸</w:t>
            </w:r>
            <w:r>
              <w:rPr>
                <w:rFonts w:hint="eastAsia" w:cs="Times New Roman"/>
                <w:b/>
                <w:bCs w:val="0"/>
                <w:color w:val="auto"/>
                <w:spacing w:val="-10"/>
                <w:sz w:val="24"/>
                <w:highlight w:val="none"/>
                <w:lang w:val="en-US" w:eastAsia="zh-CN"/>
              </w:rPr>
              <w:t>漆、烘干</w:t>
            </w:r>
            <w:r>
              <w:rPr>
                <w:rFonts w:hint="eastAsia" w:ascii="Times New Roman" w:hAnsi="Times New Roman" w:cs="Times New Roman"/>
                <w:b/>
                <w:bCs w:val="0"/>
                <w:color w:val="auto"/>
                <w:spacing w:val="-10"/>
                <w:sz w:val="24"/>
                <w:highlight w:val="none"/>
                <w:lang w:val="en-US" w:eastAsia="zh-CN"/>
              </w:rPr>
              <w:t>废气</w:t>
            </w:r>
          </w:p>
          <w:p>
            <w:pPr>
              <w:spacing w:line="360" w:lineRule="auto"/>
              <w:ind w:firstLine="480" w:firstLineChars="200"/>
              <w:rPr>
                <w:rFonts w:hint="eastAsia" w:cs="Times New Roman"/>
                <w:b/>
                <w:bCs w:val="0"/>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焊锡</w:t>
            </w:r>
            <w:r>
              <w:rPr>
                <w:rFonts w:hint="eastAsia" w:cs="Times New Roman"/>
                <w:b w:val="0"/>
                <w:bCs/>
                <w:color w:val="auto"/>
                <w:sz w:val="24"/>
                <w:highlight w:val="none"/>
                <w:lang w:val="en-US" w:eastAsia="zh-CN"/>
              </w:rPr>
              <w:t>废气通过设置集气罩收集，</w:t>
            </w:r>
            <w:r>
              <w:rPr>
                <w:rFonts w:hint="eastAsia" w:ascii="Times New Roman" w:hAnsi="Times New Roman" w:cs="Times New Roman"/>
                <w:b w:val="0"/>
                <w:bCs/>
                <w:color w:val="auto"/>
                <w:spacing w:val="-10"/>
                <w:sz w:val="24"/>
                <w:highlight w:val="none"/>
                <w:lang w:val="en-US" w:eastAsia="zh-CN"/>
              </w:rPr>
              <w:t>浸</w:t>
            </w:r>
            <w:r>
              <w:rPr>
                <w:rFonts w:hint="eastAsia" w:cs="Times New Roman"/>
                <w:b w:val="0"/>
                <w:bCs/>
                <w:color w:val="auto"/>
                <w:spacing w:val="-10"/>
                <w:sz w:val="24"/>
                <w:highlight w:val="none"/>
                <w:lang w:val="en-US" w:eastAsia="zh-CN"/>
              </w:rPr>
              <w:t>漆、烘干</w:t>
            </w:r>
            <w:r>
              <w:rPr>
                <w:rFonts w:hint="eastAsia" w:ascii="Times New Roman" w:hAnsi="Times New Roman" w:cs="Times New Roman"/>
                <w:b w:val="0"/>
                <w:bCs/>
                <w:color w:val="auto"/>
                <w:spacing w:val="-10"/>
                <w:sz w:val="24"/>
                <w:highlight w:val="none"/>
                <w:lang w:val="en-US" w:eastAsia="zh-CN"/>
              </w:rPr>
              <w:t>废气</w:t>
            </w:r>
            <w:r>
              <w:rPr>
                <w:rFonts w:hint="eastAsia" w:cs="Times New Roman"/>
                <w:b w:val="0"/>
                <w:bCs/>
                <w:color w:val="auto"/>
                <w:sz w:val="24"/>
                <w:highlight w:val="none"/>
                <w:lang w:val="en-US" w:eastAsia="zh-CN"/>
              </w:rPr>
              <w:t>通过封闭设备设置集气管收集，废气收集（集气罩收集效率为90%，集气管收集效率为95%）后经过滤棉处理后汇集到两级活性炭吸附处理装置（</w:t>
            </w:r>
            <w:r>
              <w:rPr>
                <w:rFonts w:hint="eastAsia" w:ascii="Times New Roman" w:hAnsi="Times New Roman" w:eastAsia="宋体" w:cs="Times New Roman"/>
                <w:b w:val="0"/>
                <w:bCs/>
                <w:color w:val="auto"/>
                <w:sz w:val="24"/>
                <w:highlight w:val="none"/>
                <w:lang w:eastAsia="zh-CN"/>
              </w:rPr>
              <w:t>颗粒物</w:t>
            </w:r>
            <w:r>
              <w:rPr>
                <w:rFonts w:hint="eastAsia"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eastAsia="zh-CN"/>
              </w:rPr>
              <w:t>锡及其化合物</w:t>
            </w:r>
            <w:r>
              <w:rPr>
                <w:rFonts w:hint="eastAsia" w:cs="Times New Roman"/>
                <w:b w:val="0"/>
                <w:bCs/>
                <w:color w:val="auto"/>
                <w:sz w:val="24"/>
                <w:highlight w:val="none"/>
                <w:lang w:val="en-US" w:eastAsia="zh-CN"/>
              </w:rPr>
              <w:t>的处理效率为50%，</w:t>
            </w:r>
            <w:r>
              <w:rPr>
                <w:rFonts w:hint="default" w:ascii="Times New Roman" w:hAnsi="Times New Roman" w:eastAsia="宋体" w:cs="Times New Roman"/>
                <w:b w:val="0"/>
                <w:bCs/>
                <w:color w:val="auto"/>
                <w:sz w:val="24"/>
                <w:highlight w:val="none"/>
                <w:lang w:eastAsia="zh-CN"/>
              </w:rPr>
              <w:t>VOCs</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异丙醇、二甲苯的处理效率为90%）进行废气处理，最后通过15m高排气筒（DA001）排放。</w:t>
            </w:r>
          </w:p>
          <w:p>
            <w:pPr>
              <w:spacing w:line="360" w:lineRule="auto"/>
              <w:ind w:firstLine="482" w:firstLineChars="200"/>
              <w:rPr>
                <w:rFonts w:hint="eastAsia" w:ascii="Times New Roman" w:hAnsi="Times New Roman" w:eastAsia="宋体" w:cs="Times New Roman"/>
                <w:b w:val="0"/>
                <w:bCs/>
                <w:color w:val="auto"/>
                <w:sz w:val="24"/>
                <w:highlight w:val="none"/>
                <w:lang w:eastAsia="zh-CN"/>
              </w:rPr>
            </w:pPr>
            <w:r>
              <w:rPr>
                <w:rFonts w:hint="eastAsia" w:cs="Times New Roman"/>
                <w:b/>
                <w:bCs w:val="0"/>
                <w:color w:val="auto"/>
                <w:sz w:val="24"/>
                <w:highlight w:val="none"/>
                <w:lang w:val="en-US" w:eastAsia="zh-CN"/>
              </w:rPr>
              <w:t>①</w:t>
            </w:r>
            <w:r>
              <w:rPr>
                <w:rFonts w:hint="eastAsia" w:ascii="Times New Roman" w:hAnsi="Times New Roman" w:eastAsia="宋体" w:cs="Times New Roman"/>
                <w:b/>
                <w:bCs w:val="0"/>
                <w:color w:val="auto"/>
                <w:sz w:val="24"/>
                <w:highlight w:val="none"/>
                <w:lang w:val="en-US" w:eastAsia="zh-CN"/>
              </w:rPr>
              <w:t>废气有组织</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val="en-US" w:eastAsia="zh-CN"/>
              </w:rPr>
            </w:pPr>
            <w:r>
              <w:rPr>
                <w:rFonts w:hint="eastAsia" w:ascii="Times New Roman" w:hAnsi="Times New Roman" w:eastAsia="宋体" w:cs="Times New Roman"/>
                <w:b w:val="0"/>
                <w:bCs/>
                <w:color w:val="auto"/>
                <w:sz w:val="24"/>
                <w:highlight w:val="none"/>
                <w:lang w:eastAsia="zh-CN"/>
              </w:rPr>
              <w:t>颗粒物</w:t>
            </w:r>
            <w:r>
              <w:rPr>
                <w:rFonts w:hint="default" w:ascii="Times New Roman" w:hAnsi="Times New Roman" w:eastAsia="宋体" w:cs="Times New Roman"/>
                <w:b w:val="0"/>
                <w:bCs/>
                <w:color w:val="auto"/>
                <w:sz w:val="24"/>
                <w:highlight w:val="none"/>
                <w:lang w:eastAsia="zh-CN"/>
              </w:rPr>
              <w:t>的排放量为</w:t>
            </w:r>
            <w:r>
              <w:rPr>
                <w:rFonts w:hint="eastAsia" w:cs="Times New Roman"/>
                <w:b w:val="0"/>
                <w:bCs/>
                <w:color w:val="auto"/>
                <w:sz w:val="24"/>
                <w:highlight w:val="none"/>
                <w:lang w:val="en-US" w:eastAsia="zh-CN"/>
              </w:rPr>
              <w:t>0.2232kg</w:t>
            </w:r>
            <w:r>
              <w:rPr>
                <w:rFonts w:hint="default" w:ascii="Times New Roman" w:hAnsi="Times New Roman" w:eastAsia="宋体" w:cs="Times New Roman"/>
                <w:b w:val="0"/>
                <w:bCs/>
                <w:color w:val="auto"/>
                <w:sz w:val="24"/>
                <w:highlight w:val="none"/>
                <w:lang w:eastAsia="zh-CN"/>
              </w:rPr>
              <w:t>/a，排放速率为</w:t>
            </w:r>
            <w:r>
              <w:rPr>
                <w:rFonts w:hint="eastAsia" w:cs="Times New Roman"/>
                <w:b w:val="0"/>
                <w:bCs/>
                <w:color w:val="auto"/>
                <w:sz w:val="24"/>
                <w:highlight w:val="none"/>
                <w:lang w:val="en-US" w:eastAsia="zh-CN"/>
              </w:rPr>
              <w:t>0.0001116</w:t>
            </w:r>
            <w:r>
              <w:rPr>
                <w:rFonts w:hint="default" w:ascii="Times New Roman" w:hAnsi="Times New Roman" w:eastAsia="宋体" w:cs="Times New Roman"/>
                <w:b w:val="0"/>
                <w:bCs/>
                <w:color w:val="auto"/>
                <w:sz w:val="24"/>
                <w:highlight w:val="none"/>
                <w:lang w:eastAsia="zh-CN"/>
              </w:rPr>
              <w:t>kg/h，排放浓度为</w:t>
            </w:r>
            <w:r>
              <w:rPr>
                <w:rFonts w:hint="eastAsia" w:cs="Times New Roman"/>
                <w:b w:val="0"/>
                <w:bCs/>
                <w:color w:val="auto"/>
                <w:sz w:val="24"/>
                <w:highlight w:val="none"/>
                <w:lang w:val="en-US" w:eastAsia="zh-CN"/>
              </w:rPr>
              <w:t>0.01116</w:t>
            </w:r>
            <w:r>
              <w:rPr>
                <w:rFonts w:hint="default" w:ascii="Times New Roman" w:hAnsi="Times New Roman" w:eastAsia="宋体" w:cs="Times New Roman"/>
                <w:b w:val="0"/>
                <w:bCs/>
                <w:color w:val="auto"/>
                <w:sz w:val="24"/>
                <w:highlight w:val="none"/>
                <w:lang w:eastAsia="zh-CN"/>
              </w:rPr>
              <w:t>mg/m</w:t>
            </w:r>
            <w:r>
              <w:rPr>
                <w:rFonts w:hint="default" w:ascii="Times New Roman" w:hAnsi="Times New Roman" w:eastAsia="宋体" w:cs="Times New Roman"/>
                <w:b w:val="0"/>
                <w:bCs/>
                <w:color w:val="auto"/>
                <w:sz w:val="24"/>
                <w:highlight w:val="none"/>
                <w:vertAlign w:val="superscript"/>
                <w:lang w:eastAsia="zh-CN"/>
              </w:rPr>
              <w:t>3</w:t>
            </w:r>
            <w:r>
              <w:rPr>
                <w:rFonts w:hint="eastAsia" w:ascii="Times New Roman" w:hAnsi="Times New Roman" w:eastAsia="宋体" w:cs="Times New Roman"/>
                <w:b w:val="0"/>
                <w:bCs/>
                <w:color w:val="auto"/>
                <w:sz w:val="24"/>
                <w:highlight w:val="none"/>
                <w:vertAlign w:val="baseline"/>
                <w:lang w:eastAsia="zh-CN"/>
              </w:rPr>
              <w:t>；</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val="en-US" w:eastAsia="zh-CN"/>
              </w:rPr>
            </w:pPr>
            <w:r>
              <w:rPr>
                <w:rFonts w:hint="eastAsia" w:ascii="Times New Roman" w:hAnsi="Times New Roman" w:eastAsia="宋体" w:cs="Times New Roman"/>
                <w:b w:val="0"/>
                <w:bCs/>
                <w:color w:val="auto"/>
                <w:sz w:val="24"/>
                <w:highlight w:val="none"/>
                <w:lang w:eastAsia="zh-CN"/>
              </w:rPr>
              <w:t>锡及其化合物的排放量为</w:t>
            </w:r>
            <w:r>
              <w:rPr>
                <w:rFonts w:hint="eastAsia" w:cs="Times New Roman"/>
                <w:b w:val="0"/>
                <w:bCs/>
                <w:color w:val="auto"/>
                <w:sz w:val="24"/>
                <w:highlight w:val="none"/>
                <w:lang w:val="en-US" w:eastAsia="zh-CN"/>
              </w:rPr>
              <w:t>0.01603kg</w:t>
            </w:r>
            <w:r>
              <w:rPr>
                <w:rFonts w:hint="eastAsia" w:ascii="Times New Roman" w:hAnsi="Times New Roman" w:eastAsia="宋体" w:cs="Times New Roman"/>
                <w:b w:val="0"/>
                <w:bCs/>
                <w:color w:val="auto"/>
                <w:sz w:val="24"/>
                <w:highlight w:val="none"/>
                <w:lang w:val="en-US" w:eastAsia="zh-CN"/>
              </w:rPr>
              <w:t>/a，排放速率为</w:t>
            </w:r>
            <w:r>
              <w:rPr>
                <w:rFonts w:hint="eastAsia" w:cs="Times New Roman"/>
                <w:b w:val="0"/>
                <w:bCs/>
                <w:color w:val="auto"/>
                <w:sz w:val="24"/>
                <w:highlight w:val="none"/>
                <w:lang w:val="en-US" w:eastAsia="zh-CN"/>
              </w:rPr>
              <w:t>0.000008015</w:t>
            </w:r>
            <w:r>
              <w:rPr>
                <w:rFonts w:hint="eastAsia" w:ascii="Times New Roman" w:hAnsi="Times New Roman" w:eastAsia="宋体" w:cs="Times New Roman"/>
                <w:b w:val="0"/>
                <w:bCs/>
                <w:color w:val="auto"/>
                <w:sz w:val="24"/>
                <w:highlight w:val="none"/>
                <w:lang w:val="en-US" w:eastAsia="zh-CN"/>
              </w:rPr>
              <w:t>kg/h，排放浓度为0.</w:t>
            </w:r>
            <w:r>
              <w:rPr>
                <w:rFonts w:hint="eastAsia" w:cs="Times New Roman"/>
                <w:b w:val="0"/>
                <w:bCs/>
                <w:color w:val="auto"/>
                <w:sz w:val="24"/>
                <w:highlight w:val="none"/>
                <w:lang w:val="en-US" w:eastAsia="zh-CN"/>
              </w:rPr>
              <w:t>0008015</w:t>
            </w:r>
            <w:r>
              <w:rPr>
                <w:rFonts w:hint="default" w:ascii="Times New Roman" w:hAnsi="Times New Roman" w:eastAsia="宋体" w:cs="Times New Roman"/>
                <w:b w:val="0"/>
                <w:bCs/>
                <w:color w:val="auto"/>
                <w:sz w:val="24"/>
                <w:highlight w:val="none"/>
                <w:lang w:eastAsia="zh-CN"/>
              </w:rPr>
              <w:t>mg/m</w:t>
            </w:r>
            <w:r>
              <w:rPr>
                <w:rFonts w:hint="default" w:ascii="Times New Roman" w:hAnsi="Times New Roman" w:eastAsia="宋体" w:cs="Times New Roman"/>
                <w:b w:val="0"/>
                <w:bCs/>
                <w:color w:val="auto"/>
                <w:sz w:val="24"/>
                <w:highlight w:val="none"/>
                <w:vertAlign w:val="superscript"/>
                <w:lang w:eastAsia="zh-CN"/>
              </w:rPr>
              <w:t>3</w:t>
            </w:r>
            <w:r>
              <w:rPr>
                <w:rFonts w:hint="eastAsia" w:ascii="Times New Roman" w:hAnsi="Times New Roman" w:eastAsia="宋体" w:cs="Times New Roman"/>
                <w:b w:val="0"/>
                <w:bCs/>
                <w:color w:val="auto"/>
                <w:sz w:val="24"/>
                <w:highlight w:val="none"/>
                <w:vertAlign w:val="baseline"/>
                <w:lang w:eastAsia="zh-CN"/>
              </w:rPr>
              <w:t>；</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eastAsia="zh-CN"/>
              </w:rPr>
            </w:pPr>
            <w:r>
              <w:rPr>
                <w:rFonts w:hint="eastAsia" w:cs="Times New Roman"/>
                <w:b w:val="0"/>
                <w:bCs/>
                <w:color w:val="auto"/>
                <w:sz w:val="24"/>
                <w:highlight w:val="none"/>
                <w:lang w:val="en-US" w:eastAsia="zh-CN"/>
              </w:rPr>
              <w:t>异丙醇</w:t>
            </w:r>
            <w:r>
              <w:rPr>
                <w:rFonts w:hint="eastAsia" w:ascii="Times New Roman" w:hAnsi="Times New Roman" w:eastAsia="宋体" w:cs="Times New Roman"/>
                <w:b w:val="0"/>
                <w:bCs/>
                <w:color w:val="auto"/>
                <w:sz w:val="24"/>
                <w:highlight w:val="none"/>
                <w:lang w:eastAsia="zh-CN"/>
              </w:rPr>
              <w:t>的排放量</w:t>
            </w:r>
            <w:r>
              <w:rPr>
                <w:rFonts w:hint="eastAsia" w:cs="Times New Roman"/>
                <w:b w:val="0"/>
                <w:bCs/>
                <w:color w:val="auto"/>
                <w:sz w:val="24"/>
                <w:highlight w:val="none"/>
                <w:lang w:val="en-US" w:eastAsia="zh-CN"/>
              </w:rPr>
              <w:t>为0.1069t</w:t>
            </w:r>
            <w:r>
              <w:rPr>
                <w:rFonts w:hint="default" w:ascii="Times New Roman" w:hAnsi="Times New Roman" w:eastAsia="宋体" w:cs="Times New Roman"/>
                <w:b w:val="0"/>
                <w:bCs/>
                <w:color w:val="auto"/>
                <w:sz w:val="24"/>
                <w:highlight w:val="none"/>
                <w:lang w:eastAsia="zh-CN"/>
              </w:rPr>
              <w:t>/a</w:t>
            </w:r>
            <w:r>
              <w:rPr>
                <w:rFonts w:hint="eastAsia"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排放速率0.</w:t>
            </w:r>
            <w:r>
              <w:rPr>
                <w:rFonts w:hint="eastAsia" w:cs="Times New Roman"/>
                <w:b w:val="0"/>
                <w:bCs/>
                <w:color w:val="auto"/>
                <w:sz w:val="24"/>
                <w:highlight w:val="none"/>
                <w:lang w:val="en-US" w:eastAsia="zh-CN"/>
              </w:rPr>
              <w:t>05345</w:t>
            </w:r>
            <w:r>
              <w:rPr>
                <w:rFonts w:hint="default" w:ascii="Times New Roman" w:hAnsi="Times New Roman" w:eastAsia="宋体" w:cs="Times New Roman"/>
                <w:b w:val="0"/>
                <w:bCs/>
                <w:color w:val="auto"/>
                <w:sz w:val="24"/>
                <w:highlight w:val="none"/>
                <w:lang w:eastAsia="zh-CN"/>
              </w:rPr>
              <w:t>kg/h</w:t>
            </w:r>
            <w:r>
              <w:rPr>
                <w:rFonts w:hint="eastAsia"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排放浓度</w:t>
            </w:r>
            <w:r>
              <w:rPr>
                <w:rFonts w:hint="eastAsia" w:cs="Times New Roman"/>
                <w:b w:val="0"/>
                <w:bCs/>
                <w:color w:val="auto"/>
                <w:sz w:val="24"/>
                <w:highlight w:val="none"/>
                <w:lang w:val="en-US" w:eastAsia="zh-CN"/>
              </w:rPr>
              <w:t>为5.35</w:t>
            </w:r>
            <w:r>
              <w:rPr>
                <w:rFonts w:hint="default" w:ascii="Times New Roman" w:hAnsi="Times New Roman" w:eastAsia="宋体" w:cs="Times New Roman"/>
                <w:b w:val="0"/>
                <w:bCs/>
                <w:color w:val="auto"/>
                <w:sz w:val="24"/>
                <w:highlight w:val="none"/>
                <w:lang w:eastAsia="zh-CN"/>
              </w:rPr>
              <w:t>mg/m</w:t>
            </w:r>
            <w:r>
              <w:rPr>
                <w:rFonts w:hint="default" w:ascii="Times New Roman" w:hAnsi="Times New Roman" w:eastAsia="宋体" w:cs="Times New Roman"/>
                <w:b w:val="0"/>
                <w:bCs/>
                <w:color w:val="auto"/>
                <w:sz w:val="24"/>
                <w:highlight w:val="none"/>
                <w:vertAlign w:val="superscript"/>
                <w:lang w:eastAsia="zh-CN"/>
              </w:rPr>
              <w:t>3</w:t>
            </w:r>
            <w:r>
              <w:rPr>
                <w:rFonts w:hint="eastAsia" w:cs="Times New Roman"/>
                <w:b w:val="0"/>
                <w:bCs/>
                <w:color w:val="auto"/>
                <w:sz w:val="24"/>
                <w:highlight w:val="none"/>
                <w:vertAlign w:val="baseline"/>
                <w:lang w:eastAsia="zh-CN"/>
              </w:rPr>
              <w:t>；</w:t>
            </w:r>
          </w:p>
          <w:p>
            <w:pPr>
              <w:spacing w:line="360" w:lineRule="auto"/>
              <w:ind w:firstLine="480" w:firstLineChars="200"/>
              <w:rPr>
                <w:rFonts w:hint="default" w:ascii="Times New Roman" w:hAnsi="Times New Roman" w:eastAsia="宋体" w:cs="Times New Roman"/>
                <w:b w:val="0"/>
                <w:bCs/>
                <w:color w:val="auto"/>
                <w:sz w:val="24"/>
                <w:highlight w:val="none"/>
                <w:vertAlign w:val="baseline"/>
                <w:lang w:eastAsia="zh-CN"/>
              </w:rPr>
            </w:pPr>
            <w:r>
              <w:rPr>
                <w:rFonts w:hint="eastAsia" w:ascii="Times New Roman" w:hAnsi="Times New Roman" w:eastAsia="宋体" w:cs="Times New Roman"/>
                <w:color w:val="auto"/>
                <w:kern w:val="2"/>
                <w:sz w:val="24"/>
                <w:szCs w:val="24"/>
                <w:highlight w:val="none"/>
                <w:lang w:val="en-US" w:eastAsia="zh-CN" w:bidi="ar-SA"/>
              </w:rPr>
              <w:t>二甲苯</w:t>
            </w:r>
            <w:r>
              <w:rPr>
                <w:rFonts w:hint="eastAsia" w:ascii="Times New Roman" w:hAnsi="Times New Roman" w:eastAsia="宋体" w:cs="Times New Roman"/>
                <w:b w:val="0"/>
                <w:bCs/>
                <w:color w:val="auto"/>
                <w:sz w:val="24"/>
                <w:highlight w:val="none"/>
                <w:lang w:eastAsia="zh-CN"/>
              </w:rPr>
              <w:t>的排放量</w:t>
            </w:r>
            <w:r>
              <w:rPr>
                <w:rFonts w:hint="eastAsia" w:cs="Times New Roman"/>
                <w:b w:val="0"/>
                <w:bCs/>
                <w:color w:val="auto"/>
                <w:sz w:val="24"/>
                <w:highlight w:val="none"/>
                <w:lang w:val="en-US" w:eastAsia="zh-CN"/>
              </w:rPr>
              <w:t>为</w:t>
            </w:r>
            <w:r>
              <w:rPr>
                <w:rFonts w:hint="eastAsia" w:ascii="Times New Roman" w:hAnsi="Times New Roman" w:eastAsia="宋体" w:cs="Times New Roman"/>
                <w:color w:val="auto"/>
                <w:kern w:val="2"/>
                <w:sz w:val="24"/>
                <w:szCs w:val="24"/>
                <w:highlight w:val="none"/>
                <w:lang w:val="en-US" w:eastAsia="zh-CN" w:bidi="ar-SA"/>
              </w:rPr>
              <w:t>0.</w:t>
            </w:r>
            <w:r>
              <w:rPr>
                <w:rFonts w:hint="eastAsia" w:cs="Times New Roman"/>
                <w:color w:val="auto"/>
                <w:kern w:val="2"/>
                <w:sz w:val="24"/>
                <w:szCs w:val="24"/>
                <w:highlight w:val="none"/>
                <w:lang w:val="en-US" w:eastAsia="zh-CN" w:bidi="ar-SA"/>
              </w:rPr>
              <w:t>03658</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b w:val="0"/>
                <w:bCs/>
                <w:color w:val="auto"/>
                <w:sz w:val="24"/>
                <w:highlight w:val="none"/>
                <w:lang w:val="en-US" w:eastAsia="zh-CN"/>
              </w:rPr>
              <w:t>排放速率</w:t>
            </w:r>
            <w:r>
              <w:rPr>
                <w:rFonts w:hint="eastAsia" w:cs="Times New Roman"/>
                <w:color w:val="auto"/>
                <w:kern w:val="2"/>
                <w:sz w:val="24"/>
                <w:szCs w:val="24"/>
                <w:highlight w:val="none"/>
                <w:lang w:val="en-US" w:eastAsia="zh-CN" w:bidi="ar-SA"/>
              </w:rPr>
              <w:t>0.01829</w:t>
            </w:r>
            <w:r>
              <w:rPr>
                <w:rFonts w:hint="eastAsia" w:ascii="Times New Roman" w:hAnsi="Times New Roman" w:eastAsia="宋体" w:cs="Times New Roman"/>
                <w:color w:val="auto"/>
                <w:kern w:val="2"/>
                <w:sz w:val="24"/>
                <w:szCs w:val="24"/>
                <w:highlight w:val="none"/>
                <w:lang w:val="en-US" w:eastAsia="zh-CN" w:bidi="ar-SA"/>
              </w:rPr>
              <w:t>kg/h</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b w:val="0"/>
                <w:bCs/>
                <w:color w:val="auto"/>
                <w:sz w:val="24"/>
                <w:highlight w:val="none"/>
                <w:lang w:val="en-US" w:eastAsia="zh-CN"/>
              </w:rPr>
              <w:t>排放浓度</w:t>
            </w:r>
            <w:r>
              <w:rPr>
                <w:rFonts w:hint="eastAsia" w:cs="Times New Roman"/>
                <w:b w:val="0"/>
                <w:bCs/>
                <w:color w:val="auto"/>
                <w:sz w:val="24"/>
                <w:highlight w:val="none"/>
                <w:lang w:val="en-US" w:eastAsia="zh-CN"/>
              </w:rPr>
              <w:t>为</w:t>
            </w:r>
            <w:r>
              <w:rPr>
                <w:rFonts w:hint="eastAsia" w:cs="Times New Roman"/>
                <w:color w:val="auto"/>
                <w:kern w:val="2"/>
                <w:sz w:val="24"/>
                <w:szCs w:val="24"/>
                <w:highlight w:val="none"/>
                <w:lang w:val="en-US" w:eastAsia="zh-CN" w:bidi="ar-SA"/>
              </w:rPr>
              <w:t>1.829</w:t>
            </w:r>
            <w:r>
              <w:rPr>
                <w:rFonts w:hint="eastAsia" w:ascii="Times New Roman" w:hAnsi="Times New Roman" w:eastAsia="宋体" w:cs="Times New Roman"/>
                <w:color w:val="auto"/>
                <w:kern w:val="2"/>
                <w:sz w:val="24"/>
                <w:szCs w:val="24"/>
                <w:highlight w:val="none"/>
                <w:lang w:val="en-US" w:eastAsia="zh-CN" w:bidi="ar-SA"/>
              </w:rPr>
              <w:t>mg/m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vertAlign w:val="baseline"/>
                <w:lang w:val="en-US" w:eastAsia="zh-CN" w:bidi="ar-SA"/>
              </w:rPr>
              <w:t>；</w:t>
            </w:r>
          </w:p>
          <w:p>
            <w:pPr>
              <w:spacing w:line="360" w:lineRule="auto"/>
              <w:ind w:firstLine="480" w:firstLineChars="200"/>
              <w:rPr>
                <w:rFonts w:hint="default"/>
                <w:color w:val="auto"/>
                <w:highlight w:val="none"/>
                <w:lang w:val="en-US" w:eastAsia="zh-CN"/>
              </w:rPr>
            </w:pPr>
            <w:r>
              <w:rPr>
                <w:rFonts w:hint="default" w:ascii="Times New Roman" w:hAnsi="Times New Roman" w:eastAsia="宋体" w:cs="Times New Roman"/>
                <w:b w:val="0"/>
                <w:bCs/>
                <w:color w:val="auto"/>
                <w:sz w:val="24"/>
                <w:highlight w:val="none"/>
                <w:lang w:eastAsia="zh-CN"/>
              </w:rPr>
              <w:t>挥发性有机物（VOCs）排放量为</w:t>
            </w:r>
            <w:r>
              <w:rPr>
                <w:rFonts w:hint="eastAsia" w:cs="Times New Roman"/>
                <w:color w:val="auto"/>
                <w:kern w:val="2"/>
                <w:sz w:val="24"/>
                <w:szCs w:val="24"/>
                <w:highlight w:val="none"/>
                <w:lang w:val="en-US" w:eastAsia="zh-CN" w:bidi="ar-SA"/>
              </w:rPr>
              <w:t>0.3015</w:t>
            </w:r>
            <w:r>
              <w:rPr>
                <w:rFonts w:hint="default" w:ascii="Times New Roman" w:hAnsi="Times New Roman" w:eastAsia="宋体" w:cs="Times New Roman"/>
                <w:b w:val="0"/>
                <w:bCs/>
                <w:color w:val="auto"/>
                <w:sz w:val="24"/>
                <w:highlight w:val="none"/>
                <w:lang w:eastAsia="zh-CN"/>
              </w:rPr>
              <w:t>t/a</w:t>
            </w:r>
            <w:r>
              <w:rPr>
                <w:rFonts w:hint="eastAsia"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排放速率</w:t>
            </w:r>
            <w:r>
              <w:rPr>
                <w:rFonts w:hint="eastAsia" w:cs="Times New Roman"/>
                <w:b w:val="0"/>
                <w:bCs/>
                <w:color w:val="auto"/>
                <w:sz w:val="24"/>
                <w:highlight w:val="none"/>
                <w:lang w:val="en-US" w:eastAsia="zh-CN"/>
              </w:rPr>
              <w:t>0.1508</w:t>
            </w:r>
            <w:r>
              <w:rPr>
                <w:rFonts w:hint="eastAsia" w:ascii="Times New Roman" w:hAnsi="Times New Roman" w:eastAsia="宋体" w:cs="Times New Roman"/>
                <w:color w:val="auto"/>
                <w:kern w:val="2"/>
                <w:sz w:val="24"/>
                <w:szCs w:val="24"/>
                <w:highlight w:val="none"/>
                <w:lang w:val="en-US" w:eastAsia="zh-CN" w:bidi="ar-SA"/>
              </w:rPr>
              <w:t>kg/h</w:t>
            </w:r>
            <w:r>
              <w:rPr>
                <w:rFonts w:hint="eastAsia"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排放浓度</w:t>
            </w:r>
            <w:r>
              <w:rPr>
                <w:rFonts w:hint="eastAsia" w:cs="Times New Roman"/>
                <w:b w:val="0"/>
                <w:bCs/>
                <w:color w:val="auto"/>
                <w:sz w:val="24"/>
                <w:highlight w:val="none"/>
                <w:lang w:val="en-US" w:eastAsia="zh-CN"/>
              </w:rPr>
              <w:t>为15.08</w:t>
            </w:r>
            <w:r>
              <w:rPr>
                <w:rFonts w:hint="eastAsia" w:ascii="Times New Roman" w:hAnsi="Times New Roman" w:eastAsia="宋体" w:cs="Times New Roman"/>
                <w:color w:val="auto"/>
                <w:kern w:val="2"/>
                <w:sz w:val="24"/>
                <w:szCs w:val="24"/>
                <w:highlight w:val="none"/>
                <w:lang w:val="en-US" w:eastAsia="zh-CN" w:bidi="ar-SA"/>
              </w:rPr>
              <w:t>mg/m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vertAlign w:val="baseline"/>
                <w:lang w:val="en-US" w:eastAsia="zh-CN" w:bidi="ar-SA"/>
              </w:rPr>
              <w:t>。</w:t>
            </w:r>
          </w:p>
          <w:p>
            <w:pPr>
              <w:spacing w:line="360" w:lineRule="auto"/>
              <w:ind w:firstLine="482" w:firstLineChars="200"/>
              <w:rPr>
                <w:rFonts w:hint="default" w:ascii="Times New Roman" w:hAnsi="Times New Roman" w:eastAsia="宋体" w:cs="Times New Roman"/>
                <w:b/>
                <w:bCs w:val="0"/>
                <w:color w:val="auto"/>
                <w:sz w:val="24"/>
                <w:highlight w:val="none"/>
                <w:lang w:eastAsia="zh-CN"/>
              </w:rPr>
            </w:pPr>
            <w:r>
              <w:rPr>
                <w:rFonts w:hint="eastAsia" w:ascii="Times New Roman" w:hAnsi="Times New Roman" w:eastAsia="宋体" w:cs="Times New Roman"/>
                <w:b/>
                <w:bCs w:val="0"/>
                <w:color w:val="auto"/>
                <w:sz w:val="24"/>
                <w:highlight w:val="none"/>
                <w:lang w:val="en-US" w:eastAsia="zh-CN"/>
              </w:rPr>
              <w:t>②废气</w:t>
            </w:r>
            <w:r>
              <w:rPr>
                <w:rFonts w:hint="default" w:ascii="Times New Roman" w:hAnsi="Times New Roman" w:eastAsia="宋体" w:cs="Times New Roman"/>
                <w:b/>
                <w:bCs w:val="0"/>
                <w:color w:val="auto"/>
                <w:sz w:val="24"/>
                <w:highlight w:val="none"/>
                <w:lang w:eastAsia="zh-CN"/>
              </w:rPr>
              <w:t>无组织</w:t>
            </w:r>
          </w:p>
          <w:p>
            <w:pPr>
              <w:spacing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eastAsia="zh-CN"/>
              </w:rPr>
              <w:t>颗粒物</w:t>
            </w:r>
            <w:r>
              <w:rPr>
                <w:rFonts w:hint="default" w:ascii="Times New Roman" w:hAnsi="Times New Roman" w:eastAsia="宋体" w:cs="Times New Roman"/>
                <w:b w:val="0"/>
                <w:bCs/>
                <w:color w:val="auto"/>
                <w:sz w:val="24"/>
                <w:highlight w:val="none"/>
                <w:lang w:eastAsia="zh-CN"/>
              </w:rPr>
              <w:t>的排放量为</w:t>
            </w:r>
            <w:r>
              <w:rPr>
                <w:rFonts w:hint="eastAsia" w:cs="Times New Roman"/>
                <w:b w:val="0"/>
                <w:bCs/>
                <w:color w:val="auto"/>
                <w:sz w:val="24"/>
                <w:highlight w:val="none"/>
                <w:lang w:val="en-US" w:eastAsia="zh-CN"/>
              </w:rPr>
              <w:t>0.04961kg</w:t>
            </w:r>
            <w:r>
              <w:rPr>
                <w:rFonts w:hint="default" w:ascii="Times New Roman" w:hAnsi="Times New Roman" w:eastAsia="宋体" w:cs="Times New Roman"/>
                <w:b w:val="0"/>
                <w:bCs/>
                <w:color w:val="auto"/>
                <w:sz w:val="24"/>
                <w:highlight w:val="none"/>
                <w:lang w:eastAsia="zh-CN"/>
              </w:rPr>
              <w:t>/a，排放速率</w:t>
            </w:r>
            <w:r>
              <w:rPr>
                <w:rFonts w:hint="eastAsia" w:ascii="Times New Roman" w:hAnsi="Times New Roman" w:eastAsia="宋体" w:cs="Times New Roman"/>
                <w:b w:val="0"/>
                <w:bCs/>
                <w:color w:val="auto"/>
                <w:sz w:val="24"/>
                <w:highlight w:val="none"/>
                <w:lang w:val="en-US" w:eastAsia="zh-CN"/>
              </w:rPr>
              <w:t>0.0</w:t>
            </w:r>
            <w:r>
              <w:rPr>
                <w:rFonts w:hint="eastAsia" w:cs="Times New Roman"/>
                <w:b w:val="0"/>
                <w:bCs/>
                <w:color w:val="auto"/>
                <w:sz w:val="24"/>
                <w:highlight w:val="none"/>
                <w:lang w:val="en-US" w:eastAsia="zh-CN"/>
              </w:rPr>
              <w:t>0002481k</w:t>
            </w:r>
            <w:r>
              <w:rPr>
                <w:rFonts w:hint="default" w:ascii="Times New Roman" w:hAnsi="Times New Roman" w:eastAsia="宋体" w:cs="Times New Roman"/>
                <w:b w:val="0"/>
                <w:bCs/>
                <w:color w:val="auto"/>
                <w:sz w:val="24"/>
                <w:highlight w:val="none"/>
                <w:lang w:eastAsia="zh-CN"/>
              </w:rPr>
              <w:t>g/h；</w:t>
            </w:r>
          </w:p>
          <w:p>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eastAsia="zh-CN"/>
              </w:rPr>
              <w:t>锡及其化合物排放量为</w:t>
            </w:r>
            <w:r>
              <w:rPr>
                <w:rFonts w:hint="eastAsia" w:ascii="Times New Roman" w:hAnsi="Times New Roman" w:eastAsia="宋体" w:cs="Times New Roman"/>
                <w:b w:val="0"/>
                <w:bCs/>
                <w:color w:val="auto"/>
                <w:sz w:val="24"/>
                <w:highlight w:val="none"/>
                <w:lang w:val="en-US" w:eastAsia="zh-CN"/>
              </w:rPr>
              <w:t>0.00</w:t>
            </w:r>
            <w:r>
              <w:rPr>
                <w:rFonts w:hint="eastAsia" w:cs="Times New Roman"/>
                <w:b w:val="0"/>
                <w:bCs/>
                <w:color w:val="auto"/>
                <w:sz w:val="24"/>
                <w:highlight w:val="none"/>
                <w:lang w:val="en-US" w:eastAsia="zh-CN"/>
              </w:rPr>
              <w:t>3562kg</w:t>
            </w:r>
            <w:r>
              <w:rPr>
                <w:rFonts w:hint="eastAsia" w:ascii="Times New Roman" w:hAnsi="Times New Roman" w:eastAsia="宋体" w:cs="Times New Roman"/>
                <w:b w:val="0"/>
                <w:bCs/>
                <w:color w:val="auto"/>
                <w:sz w:val="24"/>
                <w:highlight w:val="none"/>
                <w:lang w:val="en-US" w:eastAsia="zh-CN"/>
              </w:rPr>
              <w:t>/a，排放速率0.000</w:t>
            </w:r>
            <w:r>
              <w:rPr>
                <w:rFonts w:hint="eastAsia" w:cs="Times New Roman"/>
                <w:b w:val="0"/>
                <w:bCs/>
                <w:color w:val="auto"/>
                <w:sz w:val="24"/>
                <w:highlight w:val="none"/>
                <w:lang w:val="en-US" w:eastAsia="zh-CN"/>
              </w:rPr>
              <w:t>001781</w:t>
            </w:r>
            <w:r>
              <w:rPr>
                <w:rFonts w:hint="eastAsia" w:ascii="Times New Roman" w:hAnsi="Times New Roman" w:eastAsia="宋体" w:cs="Times New Roman"/>
                <w:b w:val="0"/>
                <w:bCs/>
                <w:color w:val="auto"/>
                <w:sz w:val="24"/>
                <w:highlight w:val="none"/>
                <w:lang w:val="en-US" w:eastAsia="zh-CN"/>
              </w:rPr>
              <w:t>kg/h；</w:t>
            </w:r>
          </w:p>
          <w:p>
            <w:pPr>
              <w:spacing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val="en-US" w:eastAsia="zh-CN"/>
              </w:rPr>
              <w:t>异丙醇</w:t>
            </w:r>
            <w:r>
              <w:rPr>
                <w:rFonts w:hint="default" w:ascii="Times New Roman" w:hAnsi="Times New Roman" w:eastAsia="宋体" w:cs="Times New Roman"/>
                <w:b w:val="0"/>
                <w:bCs/>
                <w:color w:val="auto"/>
                <w:sz w:val="24"/>
                <w:highlight w:val="none"/>
                <w:lang w:eastAsia="zh-CN"/>
              </w:rPr>
              <w:t>排放量</w:t>
            </w:r>
            <w:r>
              <w:rPr>
                <w:rFonts w:hint="eastAsia" w:cs="Times New Roman"/>
                <w:b w:val="0"/>
                <w:bCs/>
                <w:color w:val="auto"/>
                <w:sz w:val="24"/>
                <w:highlight w:val="none"/>
                <w:lang w:val="en-US" w:eastAsia="zh-CN"/>
              </w:rPr>
              <w:t>为0.1188</w:t>
            </w:r>
            <w:r>
              <w:rPr>
                <w:rFonts w:hint="default" w:ascii="Times New Roman" w:hAnsi="Times New Roman" w:eastAsia="宋体" w:cs="Times New Roman"/>
                <w:b w:val="0"/>
                <w:bCs/>
                <w:color w:val="auto"/>
                <w:sz w:val="24"/>
                <w:highlight w:val="none"/>
                <w:lang w:eastAsia="zh-CN"/>
              </w:rPr>
              <w:t>t/a，</w:t>
            </w:r>
            <w:r>
              <w:rPr>
                <w:rFonts w:hint="eastAsia" w:ascii="Times New Roman" w:hAnsi="Times New Roman" w:eastAsia="宋体" w:cs="Times New Roman"/>
                <w:b w:val="0"/>
                <w:bCs/>
                <w:color w:val="auto"/>
                <w:sz w:val="24"/>
                <w:highlight w:val="none"/>
                <w:lang w:val="en-US" w:eastAsia="zh-CN"/>
              </w:rPr>
              <w:t>排放速率0.</w:t>
            </w:r>
            <w:r>
              <w:rPr>
                <w:rFonts w:hint="eastAsia" w:cs="Times New Roman"/>
                <w:b w:val="0"/>
                <w:bCs/>
                <w:color w:val="auto"/>
                <w:sz w:val="24"/>
                <w:highlight w:val="none"/>
                <w:lang w:val="en-US" w:eastAsia="zh-CN"/>
              </w:rPr>
              <w:t>0594k</w:t>
            </w:r>
            <w:r>
              <w:rPr>
                <w:rFonts w:hint="default" w:ascii="Times New Roman" w:hAnsi="Times New Roman" w:eastAsia="宋体" w:cs="Times New Roman"/>
                <w:b w:val="0"/>
                <w:bCs/>
                <w:color w:val="auto"/>
                <w:sz w:val="24"/>
                <w:highlight w:val="none"/>
                <w:lang w:eastAsia="zh-CN"/>
              </w:rPr>
              <w:t>g/h</w:t>
            </w:r>
            <w:r>
              <w:rPr>
                <w:rFonts w:hint="eastAsia" w:cs="Times New Roman"/>
                <w:b w:val="0"/>
                <w:bCs/>
                <w:color w:val="auto"/>
                <w:sz w:val="24"/>
                <w:highlight w:val="none"/>
                <w:lang w:eastAsia="zh-CN"/>
              </w:rPr>
              <w:t>；</w:t>
            </w:r>
          </w:p>
          <w:p>
            <w:pPr>
              <w:spacing w:line="360" w:lineRule="auto"/>
              <w:ind w:firstLine="480" w:firstLineChars="200"/>
              <w:rPr>
                <w:rFonts w:hint="eastAsia" w:cs="Times New Roman"/>
                <w:b/>
                <w:bCs w:val="0"/>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二甲苯</w:t>
            </w:r>
            <w:r>
              <w:rPr>
                <w:rFonts w:hint="eastAsia" w:ascii="Times New Roman" w:hAnsi="Times New Roman" w:eastAsia="宋体" w:cs="Times New Roman"/>
                <w:b w:val="0"/>
                <w:bCs/>
                <w:color w:val="auto"/>
                <w:sz w:val="24"/>
                <w:highlight w:val="none"/>
                <w:lang w:eastAsia="zh-CN"/>
              </w:rPr>
              <w:t>的排放量</w:t>
            </w:r>
            <w:r>
              <w:rPr>
                <w:rFonts w:hint="eastAsia" w:ascii="Times New Roman" w:hAnsi="Times New Roman" w:eastAsia="宋体" w:cs="Times New Roman"/>
                <w:color w:val="auto"/>
                <w:kern w:val="2"/>
                <w:sz w:val="24"/>
                <w:szCs w:val="24"/>
                <w:highlight w:val="none"/>
                <w:lang w:val="en-US" w:eastAsia="zh-CN" w:bidi="ar-SA"/>
              </w:rPr>
              <w:t>0.</w:t>
            </w:r>
            <w:r>
              <w:rPr>
                <w:rFonts w:hint="eastAsia" w:cs="Times New Roman"/>
                <w:color w:val="auto"/>
                <w:kern w:val="2"/>
                <w:sz w:val="24"/>
                <w:szCs w:val="24"/>
                <w:highlight w:val="none"/>
                <w:lang w:val="en-US" w:eastAsia="zh-CN" w:bidi="ar-SA"/>
              </w:rPr>
              <w:t>01925</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b w:val="0"/>
                <w:bCs/>
                <w:color w:val="auto"/>
                <w:sz w:val="24"/>
                <w:highlight w:val="none"/>
                <w:lang w:val="en-US" w:eastAsia="zh-CN"/>
              </w:rPr>
              <w:t>排放速率</w:t>
            </w:r>
            <w:r>
              <w:rPr>
                <w:rFonts w:hint="eastAsia" w:ascii="Times New Roman" w:hAnsi="Times New Roman" w:eastAsia="宋体" w:cs="Times New Roman"/>
                <w:color w:val="auto"/>
                <w:kern w:val="2"/>
                <w:sz w:val="24"/>
                <w:szCs w:val="24"/>
                <w:highlight w:val="none"/>
                <w:lang w:val="en-US" w:eastAsia="zh-CN" w:bidi="ar-SA"/>
              </w:rPr>
              <w:t>0.0</w:t>
            </w:r>
            <w:r>
              <w:rPr>
                <w:rFonts w:hint="eastAsia" w:cs="Times New Roman"/>
                <w:color w:val="auto"/>
                <w:kern w:val="2"/>
                <w:sz w:val="24"/>
                <w:szCs w:val="24"/>
                <w:highlight w:val="none"/>
                <w:lang w:val="en-US" w:eastAsia="zh-CN" w:bidi="ar-SA"/>
              </w:rPr>
              <w:t>09625</w:t>
            </w:r>
            <w:r>
              <w:rPr>
                <w:rFonts w:hint="eastAsia" w:ascii="Times New Roman" w:hAnsi="Times New Roman" w:eastAsia="宋体" w:cs="Times New Roman"/>
                <w:color w:val="auto"/>
                <w:kern w:val="2"/>
                <w:sz w:val="24"/>
                <w:szCs w:val="24"/>
                <w:highlight w:val="none"/>
                <w:lang w:val="en-US" w:eastAsia="zh-CN" w:bidi="ar-SA"/>
              </w:rPr>
              <w:t>kg/h</w:t>
            </w:r>
            <w:r>
              <w:rPr>
                <w:rFonts w:hint="eastAsia" w:cs="Times New Roman"/>
                <w:color w:val="auto"/>
                <w:kern w:val="2"/>
                <w:sz w:val="24"/>
                <w:szCs w:val="24"/>
                <w:highlight w:val="none"/>
                <w:lang w:val="en-US" w:eastAsia="zh-CN" w:bidi="ar-SA"/>
              </w:rPr>
              <w:t>；</w:t>
            </w:r>
          </w:p>
          <w:p>
            <w:pPr>
              <w:spacing w:line="360" w:lineRule="auto"/>
              <w:ind w:firstLine="480" w:firstLineChars="200"/>
              <w:rPr>
                <w:rFonts w:hint="eastAsia" w:cs="Times New Roman"/>
                <w:b/>
                <w:bCs w:val="0"/>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挥发性有机物（VOCs）排放量</w:t>
            </w:r>
            <w:r>
              <w:rPr>
                <w:rFonts w:hint="eastAsia" w:cs="Times New Roman"/>
                <w:b w:val="0"/>
                <w:bCs/>
                <w:color w:val="auto"/>
                <w:sz w:val="24"/>
                <w:highlight w:val="none"/>
                <w:lang w:val="en-US" w:eastAsia="zh-CN"/>
              </w:rPr>
              <w:t>0.2231</w:t>
            </w:r>
            <w:r>
              <w:rPr>
                <w:rFonts w:hint="default" w:ascii="Times New Roman" w:hAnsi="Times New Roman" w:eastAsia="宋体" w:cs="Times New Roman"/>
                <w:b w:val="0"/>
                <w:bCs/>
                <w:color w:val="auto"/>
                <w:sz w:val="24"/>
                <w:highlight w:val="none"/>
                <w:lang w:eastAsia="zh-CN"/>
              </w:rPr>
              <w:t>t/a</w:t>
            </w:r>
            <w:r>
              <w:rPr>
                <w:rFonts w:hint="eastAsia"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排放速率</w:t>
            </w:r>
            <w:r>
              <w:rPr>
                <w:rFonts w:hint="eastAsia" w:cs="Times New Roman"/>
                <w:b w:val="0"/>
                <w:bCs/>
                <w:color w:val="auto"/>
                <w:sz w:val="24"/>
                <w:highlight w:val="none"/>
                <w:lang w:val="en-US" w:eastAsia="zh-CN"/>
              </w:rPr>
              <w:t>0.1116</w:t>
            </w:r>
            <w:r>
              <w:rPr>
                <w:rFonts w:hint="eastAsia" w:ascii="Times New Roman" w:hAnsi="Times New Roman" w:eastAsia="宋体" w:cs="Times New Roman"/>
                <w:color w:val="auto"/>
                <w:kern w:val="2"/>
                <w:sz w:val="24"/>
                <w:szCs w:val="24"/>
                <w:highlight w:val="none"/>
                <w:lang w:val="en-US" w:eastAsia="zh-CN" w:bidi="ar-SA"/>
              </w:rPr>
              <w:t>kg/h</w:t>
            </w:r>
            <w:r>
              <w:rPr>
                <w:rFonts w:hint="eastAsia" w:cs="Times New Roman"/>
                <w:color w:val="auto"/>
                <w:kern w:val="2"/>
                <w:sz w:val="24"/>
                <w:szCs w:val="24"/>
                <w:highlight w:val="none"/>
                <w:vertAlign w:val="baseli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rFonts w:hint="eastAsia"/>
                <w:color w:val="auto"/>
                <w:sz w:val="24"/>
                <w:szCs w:val="24"/>
                <w:highlight w:val="none"/>
                <w:shd w:val="clear" w:color="auto" w:fill="auto"/>
                <w:lang w:val="en-US" w:eastAsia="zh-CN"/>
              </w:rPr>
              <w:t>综上，</w:t>
            </w:r>
            <w:r>
              <w:rPr>
                <w:rFonts w:hint="eastAsia" w:ascii="Times New Roman" w:hAnsi="Times New Roman" w:eastAsia="宋体"/>
                <w:color w:val="auto"/>
                <w:sz w:val="24"/>
                <w:szCs w:val="24"/>
                <w:highlight w:val="none"/>
                <w:shd w:val="clear" w:color="auto" w:fill="auto"/>
              </w:rPr>
              <w:t>本项目的废气产生环节、污染物种类、排放形式及污染防治情况</w:t>
            </w:r>
            <w:r>
              <w:rPr>
                <w:rFonts w:hint="eastAsia" w:ascii="Times New Roman" w:hAnsi="Times New Roman" w:eastAsia="宋体"/>
                <w:color w:val="auto"/>
                <w:sz w:val="24"/>
                <w:szCs w:val="24"/>
                <w:highlight w:val="none"/>
                <w:shd w:val="clear" w:color="auto" w:fill="auto"/>
                <w:lang w:eastAsia="zh-CN"/>
              </w:rPr>
              <w:t>见下表</w:t>
            </w:r>
            <w:r>
              <w:rPr>
                <w:rFonts w:hint="eastAsia"/>
                <w:color w:val="auto"/>
                <w:sz w:val="24"/>
                <w:szCs w:val="24"/>
                <w:highlight w:val="none"/>
                <w:shd w:val="clear" w:color="auto" w:fill="auto"/>
                <w:lang w:eastAsia="zh-CN"/>
              </w:rPr>
              <w:t>。</w:t>
            </w:r>
          </w:p>
          <w:p>
            <w:pPr>
              <w:pStyle w:val="4"/>
              <w:keepNext/>
              <w:keepLines/>
              <w:pageBreakBefore w:val="0"/>
              <w:widowControl w:val="0"/>
              <w:kinsoku/>
              <w:wordWrap/>
              <w:overflowPunct/>
              <w:topLinePunct w:val="0"/>
              <w:autoSpaceDE/>
              <w:autoSpaceDN/>
              <w:bidi w:val="0"/>
              <w:adjustRightInd w:val="0"/>
              <w:snapToGrid/>
              <w:spacing w:before="0" w:after="0" w:line="240" w:lineRule="auto"/>
              <w:jc w:val="center"/>
              <w:textAlignment w:val="baseline"/>
              <w:rPr>
                <w:rFonts w:ascii="Times New Roman" w:hAnsi="Times New Roman" w:eastAsia="宋体"/>
                <w:b/>
                <w:color w:val="auto"/>
                <w:sz w:val="21"/>
                <w:szCs w:val="21"/>
                <w:highlight w:val="none"/>
                <w:shd w:val="clear" w:color="auto" w:fil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highlight w:val="none"/>
                <w:lang w:eastAsia="zh-CN"/>
              </w:rPr>
            </w:pPr>
          </w:p>
        </w:tc>
      </w:tr>
    </w:tbl>
    <w:p>
      <w:pP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br w:type="page"/>
      </w:r>
    </w:p>
    <w:p>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napToGrid w:val="0"/>
          <w:color w:val="auto"/>
          <w:sz w:val="30"/>
          <w:szCs w:val="30"/>
          <w:highlight w:val="none"/>
          <w:lang w:val="en-US" w:eastAsia="zh-CN"/>
        </w:rPr>
      </w:pPr>
      <w:r>
        <w:rPr>
          <w:rFonts w:hint="eastAsia"/>
          <w:b/>
          <w:bCs/>
          <w:color w:val="auto"/>
          <w:sz w:val="24"/>
          <w:szCs w:val="24"/>
          <w:highlight w:val="none"/>
          <w:shd w:val="clear" w:color="auto" w:fill="auto"/>
          <w:lang w:val="en-US" w:eastAsia="zh-CN"/>
        </w:rPr>
        <w:t xml:space="preserve">表4-2  </w:t>
      </w:r>
      <w:r>
        <w:rPr>
          <w:rFonts w:hint="eastAsia" w:ascii="Times New Roman" w:hAnsi="Times New Roman" w:eastAsia="宋体"/>
          <w:b/>
          <w:bCs/>
          <w:color w:val="auto"/>
          <w:sz w:val="24"/>
          <w:szCs w:val="24"/>
          <w:highlight w:val="none"/>
          <w:shd w:val="clear" w:color="auto" w:fill="auto"/>
        </w:rPr>
        <w:t>废气产生环节、污染物种类、排放形式及污染防治情况</w:t>
      </w:r>
      <w:r>
        <w:rPr>
          <w:rFonts w:hint="eastAsia" w:ascii="Times New Roman" w:hAnsi="Times New Roman" w:eastAsia="宋体"/>
          <w:b/>
          <w:bCs/>
          <w:color w:val="auto"/>
          <w:sz w:val="24"/>
          <w:szCs w:val="24"/>
          <w:highlight w:val="none"/>
          <w:shd w:val="clear" w:color="auto" w:fill="auto"/>
          <w:lang w:val="en-US" w:eastAsia="zh-CN"/>
        </w:rPr>
        <w:t>表</w:t>
      </w:r>
    </w:p>
    <w:tbl>
      <w:tblPr>
        <w:tblStyle w:val="20"/>
        <w:tblW w:w="4584"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70"/>
        <w:gridCol w:w="1350"/>
        <w:gridCol w:w="975"/>
        <w:gridCol w:w="406"/>
        <w:gridCol w:w="407"/>
        <w:gridCol w:w="603"/>
        <w:gridCol w:w="534"/>
        <w:gridCol w:w="1365"/>
        <w:gridCol w:w="1470"/>
        <w:gridCol w:w="945"/>
        <w:gridCol w:w="915"/>
        <w:gridCol w:w="930"/>
        <w:gridCol w:w="7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dxa"/>
            <w:vMerge w:val="restart"/>
            <w:tcBorders>
              <w:tl2br w:val="nil"/>
              <w:tr2bl w:val="nil"/>
            </w:tcBorders>
            <w:vAlign w:val="center"/>
          </w:tcPr>
          <w:p>
            <w:pPr>
              <w:jc w:val="center"/>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rPr>
              <w:t>产污环节</w:t>
            </w:r>
          </w:p>
        </w:tc>
        <w:tc>
          <w:tcPr>
            <w:tcW w:w="870" w:type="dxa"/>
            <w:vMerge w:val="restart"/>
            <w:tcBorders>
              <w:tl2br w:val="nil"/>
              <w:tr2bl w:val="nil"/>
            </w:tcBorders>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1350" w:type="dxa"/>
            <w:vMerge w:val="restart"/>
            <w:tcBorders>
              <w:tl2br w:val="nil"/>
              <w:tr2bl w:val="nil"/>
            </w:tcBorders>
            <w:vAlign w:val="center"/>
          </w:tcPr>
          <w:p>
            <w:pPr>
              <w:jc w:val="center"/>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shd w:val="clear" w:color="auto" w:fill="auto"/>
                <w:vertAlign w:val="baseline"/>
                <w:lang w:val="en-US" w:eastAsia="zh-CN"/>
              </w:rPr>
              <w:t>产生量</w:t>
            </w:r>
            <w:r>
              <w:rPr>
                <w:rFonts w:hint="default" w:ascii="Times New Roman" w:hAnsi="Times New Roman" w:cs="Times New Roman"/>
                <w:b/>
                <w:bCs/>
                <w:color w:val="auto"/>
                <w:sz w:val="21"/>
                <w:szCs w:val="21"/>
                <w:highlight w:val="none"/>
              </w:rPr>
              <w:t>t/a</w:t>
            </w:r>
          </w:p>
        </w:tc>
        <w:tc>
          <w:tcPr>
            <w:tcW w:w="975" w:type="dxa"/>
            <w:vMerge w:val="restart"/>
            <w:tcBorders>
              <w:tl2br w:val="nil"/>
              <w:tr2bl w:val="nil"/>
            </w:tcBorders>
            <w:vAlign w:val="center"/>
          </w:tcPr>
          <w:p>
            <w:pPr>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lang w:val="en-US" w:eastAsia="zh-CN"/>
              </w:rPr>
              <w:t>治理措施</w:t>
            </w:r>
          </w:p>
        </w:tc>
        <w:tc>
          <w:tcPr>
            <w:tcW w:w="813" w:type="dxa"/>
            <w:gridSpan w:val="2"/>
            <w:vMerge w:val="restart"/>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收集效率</w:t>
            </w:r>
          </w:p>
        </w:tc>
        <w:tc>
          <w:tcPr>
            <w:tcW w:w="1137" w:type="dxa"/>
            <w:gridSpan w:val="2"/>
            <w:vMerge w:val="restart"/>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处理效率</w:t>
            </w:r>
          </w:p>
        </w:tc>
        <w:tc>
          <w:tcPr>
            <w:tcW w:w="2835"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排放量</w:t>
            </w:r>
            <w:r>
              <w:rPr>
                <w:rFonts w:hint="default" w:ascii="Times New Roman" w:hAnsi="Times New Roman" w:cs="Times New Roman"/>
                <w:b/>
                <w:bCs/>
                <w:color w:val="auto"/>
                <w:sz w:val="21"/>
                <w:szCs w:val="21"/>
                <w:highlight w:val="none"/>
              </w:rPr>
              <w:t>t/a</w:t>
            </w:r>
          </w:p>
        </w:tc>
        <w:tc>
          <w:tcPr>
            <w:tcW w:w="3588" w:type="dxa"/>
            <w:gridSpan w:val="4"/>
            <w:tcBorders>
              <w:tl2br w:val="nil"/>
              <w:tr2bl w:val="nil"/>
            </w:tcBorders>
            <w:vAlign w:val="center"/>
          </w:tcPr>
          <w:p>
            <w:pPr>
              <w:jc w:val="center"/>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rPr>
              <w:t>排放形式</w:t>
            </w:r>
          </w:p>
          <w:p>
            <w:pPr>
              <w:jc w:val="center"/>
              <w:rPr>
                <w:rFonts w:hint="default" w:ascii="Times New Roman" w:hAnsi="Times New Roman" w:cs="Times New Roman"/>
                <w:b/>
                <w:bCs/>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62"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870"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1350"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975"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813" w:type="dxa"/>
            <w:gridSpan w:val="2"/>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lang w:val="en-US" w:eastAsia="zh-CN"/>
              </w:rPr>
            </w:pPr>
          </w:p>
        </w:tc>
        <w:tc>
          <w:tcPr>
            <w:tcW w:w="1137" w:type="dxa"/>
            <w:gridSpan w:val="2"/>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lang w:val="en-US" w:eastAsia="zh-CN"/>
              </w:rPr>
            </w:pPr>
          </w:p>
        </w:tc>
        <w:tc>
          <w:tcPr>
            <w:tcW w:w="1365" w:type="dxa"/>
            <w:vMerge w:val="restart"/>
            <w:tcBorders>
              <w:tl2br w:val="nil"/>
              <w:tr2bl w:val="nil"/>
            </w:tcBorders>
            <w:vAlign w:val="center"/>
          </w:tcPr>
          <w:p>
            <w:pPr>
              <w:adjustRightInd w:val="0"/>
              <w:snapToGrid w:val="0"/>
              <w:spacing w:line="36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有组织排放量</w:t>
            </w:r>
          </w:p>
        </w:tc>
        <w:tc>
          <w:tcPr>
            <w:tcW w:w="1470" w:type="dxa"/>
            <w:vMerge w:val="restart"/>
            <w:tcBorders>
              <w:tl2br w:val="nil"/>
              <w:tr2bl w:val="nil"/>
            </w:tcBorders>
            <w:vAlign w:val="center"/>
          </w:tcPr>
          <w:p>
            <w:pPr>
              <w:adjustRightInd w:val="0"/>
              <w:snapToGrid w:val="0"/>
              <w:spacing w:line="36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无组织排放量</w:t>
            </w:r>
          </w:p>
        </w:tc>
        <w:tc>
          <w:tcPr>
            <w:tcW w:w="1860" w:type="dxa"/>
            <w:gridSpan w:val="2"/>
            <w:tcBorders>
              <w:tl2br w:val="nil"/>
              <w:tr2bl w:val="nil"/>
            </w:tcBorders>
            <w:vAlign w:val="center"/>
          </w:tcPr>
          <w:p>
            <w:pPr>
              <w:jc w:val="cente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有组织</w:t>
            </w:r>
          </w:p>
        </w:tc>
        <w:tc>
          <w:tcPr>
            <w:tcW w:w="1728" w:type="dxa"/>
            <w:gridSpan w:val="2"/>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无组织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62"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870"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1350"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975"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rPr>
            </w:pPr>
          </w:p>
        </w:tc>
        <w:tc>
          <w:tcPr>
            <w:tcW w:w="813" w:type="dxa"/>
            <w:gridSpan w:val="2"/>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rPr>
            </w:pPr>
          </w:p>
        </w:tc>
        <w:tc>
          <w:tcPr>
            <w:tcW w:w="1137" w:type="dxa"/>
            <w:gridSpan w:val="2"/>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rPr>
            </w:pPr>
          </w:p>
        </w:tc>
        <w:tc>
          <w:tcPr>
            <w:tcW w:w="1365" w:type="dxa"/>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rPr>
            </w:pPr>
          </w:p>
        </w:tc>
        <w:tc>
          <w:tcPr>
            <w:tcW w:w="1470" w:type="dxa"/>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rPr>
            </w:pPr>
          </w:p>
        </w:tc>
        <w:tc>
          <w:tcPr>
            <w:tcW w:w="945"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排放速率kg/h</w:t>
            </w:r>
          </w:p>
        </w:tc>
        <w:tc>
          <w:tcPr>
            <w:tcW w:w="915"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p>
        </w:tc>
        <w:tc>
          <w:tcPr>
            <w:tcW w:w="930"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排放速率kg/h</w:t>
            </w:r>
          </w:p>
        </w:tc>
        <w:tc>
          <w:tcPr>
            <w:tcW w:w="798"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2" w:type="dxa"/>
            <w:vMerge w:val="restart"/>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焊锡和浸漆、烘干</w:t>
            </w:r>
          </w:p>
        </w:tc>
        <w:tc>
          <w:tcPr>
            <w:tcW w:w="870" w:type="dxa"/>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颗粒物</w:t>
            </w:r>
          </w:p>
        </w:tc>
        <w:tc>
          <w:tcPr>
            <w:tcW w:w="1350"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b w:val="0"/>
                <w:bCs/>
                <w:color w:val="auto"/>
                <w:sz w:val="21"/>
                <w:szCs w:val="21"/>
                <w:highlight w:val="none"/>
                <w:lang w:val="en-US" w:eastAsia="zh-CN"/>
              </w:rPr>
              <w:t>0.4961×10</w:t>
            </w:r>
            <w:r>
              <w:rPr>
                <w:rFonts w:hint="default" w:ascii="Times New Roman" w:hAnsi="Times New Roman" w:cs="Times New Roman"/>
                <w:b w:val="0"/>
                <w:bCs/>
                <w:color w:val="auto"/>
                <w:sz w:val="21"/>
                <w:szCs w:val="21"/>
                <w:highlight w:val="none"/>
                <w:vertAlign w:val="superscript"/>
                <w:lang w:val="en-US" w:eastAsia="zh-CN"/>
              </w:rPr>
              <w:t>-3</w:t>
            </w:r>
          </w:p>
        </w:tc>
        <w:tc>
          <w:tcPr>
            <w:tcW w:w="975"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焊锡废气通过集气罩、浸漆和烘干废气通过封闭设备集气管收集+</w:t>
            </w:r>
            <w:r>
              <w:rPr>
                <w:rFonts w:hint="default" w:ascii="Times New Roman" w:hAnsi="Times New Roman" w:cs="Times New Roman"/>
                <w:color w:val="auto"/>
                <w:sz w:val="21"/>
                <w:szCs w:val="21"/>
                <w:highlight w:val="none"/>
                <w:lang w:val="en-US" w:eastAsia="zh-CN"/>
              </w:rPr>
              <w:t>过滤棉+二级活性炭吸附处理装置+15m高排气筒（DA001</w:t>
            </w:r>
          </w:p>
        </w:tc>
        <w:tc>
          <w:tcPr>
            <w:tcW w:w="406" w:type="dxa"/>
            <w:vMerge w:val="restart"/>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集气罩收集效率为90%</w:t>
            </w:r>
          </w:p>
        </w:tc>
        <w:tc>
          <w:tcPr>
            <w:tcW w:w="407" w:type="dxa"/>
            <w:vMerge w:val="restart"/>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集气管收集效率为95%</w:t>
            </w:r>
          </w:p>
        </w:tc>
        <w:tc>
          <w:tcPr>
            <w:tcW w:w="603" w:type="dxa"/>
            <w:vMerge w:val="restart"/>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颗粒物</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eastAsia="zh-CN"/>
              </w:rPr>
              <w:t>锡及其化合物</w:t>
            </w:r>
            <w:r>
              <w:rPr>
                <w:rFonts w:hint="default" w:ascii="Times New Roman" w:hAnsi="Times New Roman" w:cs="Times New Roman"/>
                <w:b w:val="0"/>
                <w:bCs/>
                <w:color w:val="auto"/>
                <w:sz w:val="21"/>
                <w:szCs w:val="21"/>
                <w:highlight w:val="none"/>
                <w:lang w:val="en-US" w:eastAsia="zh-CN"/>
              </w:rPr>
              <w:t>的处理效率为50%</w:t>
            </w:r>
          </w:p>
        </w:tc>
        <w:tc>
          <w:tcPr>
            <w:tcW w:w="534" w:type="dxa"/>
            <w:vMerge w:val="restart"/>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VOCs</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lang w:val="en-US" w:eastAsia="zh-CN"/>
              </w:rPr>
              <w:t>异丙醇、二甲苯的处理效率为90%</w:t>
            </w:r>
          </w:p>
        </w:tc>
        <w:tc>
          <w:tcPr>
            <w:tcW w:w="1365" w:type="dxa"/>
            <w:tcBorders>
              <w:tl2br w:val="nil"/>
              <w:tr2bl w:val="nil"/>
            </w:tcBorders>
            <w:vAlign w:val="center"/>
          </w:tcPr>
          <w:p>
            <w:pPr>
              <w:adjustRightInd w:val="0"/>
              <w:snapToGrid w:val="0"/>
              <w:spacing w:line="36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0.2232×10</w:t>
            </w:r>
            <w:r>
              <w:rPr>
                <w:rFonts w:hint="default" w:ascii="Times New Roman" w:hAnsi="Times New Roman" w:cs="Times New Roman"/>
                <w:b w:val="0"/>
                <w:bCs/>
                <w:color w:val="auto"/>
                <w:sz w:val="21"/>
                <w:szCs w:val="21"/>
                <w:highlight w:val="none"/>
                <w:vertAlign w:val="superscript"/>
                <w:lang w:val="en-US" w:eastAsia="zh-CN"/>
              </w:rPr>
              <w:t>-3</w:t>
            </w:r>
          </w:p>
        </w:tc>
        <w:tc>
          <w:tcPr>
            <w:tcW w:w="1470" w:type="dxa"/>
            <w:tcBorders>
              <w:tl2br w:val="nil"/>
              <w:tr2bl w:val="nil"/>
            </w:tcBorders>
            <w:vAlign w:val="center"/>
          </w:tcPr>
          <w:p>
            <w:pPr>
              <w:adjustRightInd w:val="0"/>
              <w:snapToGrid w:val="0"/>
              <w:spacing w:line="36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0.04961×10</w:t>
            </w:r>
            <w:r>
              <w:rPr>
                <w:rFonts w:hint="default" w:ascii="Times New Roman" w:hAnsi="Times New Roman" w:cs="Times New Roman"/>
                <w:b w:val="0"/>
                <w:bCs/>
                <w:color w:val="auto"/>
                <w:sz w:val="21"/>
                <w:szCs w:val="21"/>
                <w:highlight w:val="none"/>
                <w:vertAlign w:val="superscript"/>
                <w:lang w:val="en-US" w:eastAsia="zh-CN"/>
              </w:rPr>
              <w:t>-3</w:t>
            </w:r>
          </w:p>
        </w:tc>
        <w:tc>
          <w:tcPr>
            <w:tcW w:w="945"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b w:val="0"/>
                <w:bCs/>
                <w:color w:val="auto"/>
                <w:sz w:val="21"/>
                <w:szCs w:val="21"/>
                <w:highlight w:val="none"/>
                <w:lang w:val="en-US" w:eastAsia="zh-CN"/>
              </w:rPr>
              <w:t>0.0001116</w:t>
            </w:r>
          </w:p>
        </w:tc>
        <w:tc>
          <w:tcPr>
            <w:tcW w:w="915" w:type="dxa"/>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0.01116</w:t>
            </w:r>
          </w:p>
        </w:tc>
        <w:tc>
          <w:tcPr>
            <w:tcW w:w="930"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lang w:val="en-US" w:eastAsia="zh-CN"/>
              </w:rPr>
              <w:t>0.0</w:t>
            </w:r>
            <w:r>
              <w:rPr>
                <w:rFonts w:hint="default" w:ascii="Times New Roman" w:hAnsi="Times New Roman" w:cs="Times New Roman"/>
                <w:b w:val="0"/>
                <w:bCs/>
                <w:color w:val="auto"/>
                <w:sz w:val="21"/>
                <w:szCs w:val="21"/>
                <w:highlight w:val="none"/>
                <w:lang w:val="en-US" w:eastAsia="zh-CN"/>
              </w:rPr>
              <w:t>0002481</w:t>
            </w:r>
          </w:p>
        </w:tc>
        <w:tc>
          <w:tcPr>
            <w:tcW w:w="798"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870" w:type="dxa"/>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锡及其化合物</w:t>
            </w:r>
          </w:p>
        </w:tc>
        <w:tc>
          <w:tcPr>
            <w:tcW w:w="1350"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b w:val="0"/>
                <w:bCs/>
                <w:color w:val="auto"/>
                <w:sz w:val="21"/>
                <w:szCs w:val="21"/>
                <w:highlight w:val="none"/>
                <w:lang w:val="en-US" w:eastAsia="zh-CN"/>
              </w:rPr>
              <w:t>0.03562×10</w:t>
            </w:r>
            <w:r>
              <w:rPr>
                <w:rFonts w:hint="default" w:ascii="Times New Roman" w:hAnsi="Times New Roman" w:cs="Times New Roman"/>
                <w:b w:val="0"/>
                <w:bCs/>
                <w:color w:val="auto"/>
                <w:sz w:val="21"/>
                <w:szCs w:val="21"/>
                <w:highlight w:val="none"/>
                <w:vertAlign w:val="superscript"/>
                <w:lang w:val="en-US" w:eastAsia="zh-CN"/>
              </w:rPr>
              <w:t>-3</w:t>
            </w:r>
          </w:p>
        </w:tc>
        <w:tc>
          <w:tcPr>
            <w:tcW w:w="975"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406"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407"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603"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534"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1365" w:type="dxa"/>
            <w:tcBorders>
              <w:tl2br w:val="nil"/>
              <w:tr2bl w:val="nil"/>
            </w:tcBorders>
            <w:vAlign w:val="center"/>
          </w:tcPr>
          <w:p>
            <w:pPr>
              <w:adjustRightInd w:val="0"/>
              <w:snapToGrid w:val="0"/>
              <w:spacing w:line="36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0.01603×10</w:t>
            </w:r>
            <w:r>
              <w:rPr>
                <w:rFonts w:hint="default" w:ascii="Times New Roman" w:hAnsi="Times New Roman" w:cs="Times New Roman"/>
                <w:b w:val="0"/>
                <w:bCs/>
                <w:color w:val="auto"/>
                <w:sz w:val="21"/>
                <w:szCs w:val="21"/>
                <w:highlight w:val="none"/>
                <w:vertAlign w:val="superscript"/>
                <w:lang w:val="en-US" w:eastAsia="zh-CN"/>
              </w:rPr>
              <w:t>-3</w:t>
            </w:r>
          </w:p>
        </w:tc>
        <w:tc>
          <w:tcPr>
            <w:tcW w:w="1470" w:type="dxa"/>
            <w:tcBorders>
              <w:tl2br w:val="nil"/>
              <w:tr2bl w:val="nil"/>
            </w:tcBorders>
            <w:vAlign w:val="center"/>
          </w:tcPr>
          <w:p>
            <w:pPr>
              <w:adjustRightInd w:val="0"/>
              <w:snapToGrid w:val="0"/>
              <w:spacing w:line="36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0.00</w:t>
            </w:r>
            <w:r>
              <w:rPr>
                <w:rFonts w:hint="default" w:ascii="Times New Roman" w:hAnsi="Times New Roman" w:cs="Times New Roman"/>
                <w:b w:val="0"/>
                <w:bCs/>
                <w:color w:val="auto"/>
                <w:sz w:val="21"/>
                <w:szCs w:val="21"/>
                <w:highlight w:val="none"/>
                <w:lang w:val="en-US" w:eastAsia="zh-CN"/>
              </w:rPr>
              <w:t>3562×10</w:t>
            </w:r>
            <w:r>
              <w:rPr>
                <w:rFonts w:hint="default" w:ascii="Times New Roman" w:hAnsi="Times New Roman" w:cs="Times New Roman"/>
                <w:b w:val="0"/>
                <w:bCs/>
                <w:color w:val="auto"/>
                <w:sz w:val="21"/>
                <w:szCs w:val="21"/>
                <w:highlight w:val="none"/>
                <w:vertAlign w:val="superscript"/>
                <w:lang w:val="en-US" w:eastAsia="zh-CN"/>
              </w:rPr>
              <w:t>-3</w:t>
            </w:r>
          </w:p>
        </w:tc>
        <w:tc>
          <w:tcPr>
            <w:tcW w:w="945"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b w:val="0"/>
                <w:bCs/>
                <w:color w:val="auto"/>
                <w:sz w:val="21"/>
                <w:szCs w:val="21"/>
                <w:highlight w:val="none"/>
                <w:lang w:val="en-US" w:eastAsia="zh-CN"/>
              </w:rPr>
              <w:t>0.000008015</w:t>
            </w:r>
          </w:p>
        </w:tc>
        <w:tc>
          <w:tcPr>
            <w:tcW w:w="915" w:type="dxa"/>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r>
              <w:rPr>
                <w:rFonts w:hint="default" w:ascii="Times New Roman" w:hAnsi="Times New Roman" w:cs="Times New Roman"/>
                <w:b w:val="0"/>
                <w:bCs/>
                <w:color w:val="auto"/>
                <w:sz w:val="21"/>
                <w:szCs w:val="21"/>
                <w:highlight w:val="none"/>
                <w:lang w:val="en-US" w:eastAsia="zh-CN"/>
              </w:rPr>
              <w:t>0008015</w:t>
            </w:r>
          </w:p>
        </w:tc>
        <w:tc>
          <w:tcPr>
            <w:tcW w:w="930"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lang w:val="en-US" w:eastAsia="zh-CN"/>
              </w:rPr>
              <w:t>0.000</w:t>
            </w:r>
            <w:r>
              <w:rPr>
                <w:rFonts w:hint="default" w:ascii="Times New Roman" w:hAnsi="Times New Roman" w:cs="Times New Roman"/>
                <w:b w:val="0"/>
                <w:bCs/>
                <w:color w:val="auto"/>
                <w:sz w:val="21"/>
                <w:szCs w:val="21"/>
                <w:highlight w:val="none"/>
                <w:lang w:val="en-US" w:eastAsia="zh-CN"/>
              </w:rPr>
              <w:t>001781</w:t>
            </w:r>
          </w:p>
        </w:tc>
        <w:tc>
          <w:tcPr>
            <w:tcW w:w="798"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870" w:type="dxa"/>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VOCs</w:t>
            </w:r>
          </w:p>
        </w:tc>
        <w:tc>
          <w:tcPr>
            <w:tcW w:w="1350"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vertAlign w:val="baseline"/>
                <w:lang w:val="en-US"/>
              </w:rPr>
            </w:pPr>
            <w:r>
              <w:rPr>
                <w:rFonts w:hint="default" w:ascii="Times New Roman" w:hAnsi="Times New Roman" w:cs="Times New Roman"/>
                <w:b w:val="0"/>
                <w:bCs/>
                <w:color w:val="auto"/>
                <w:sz w:val="21"/>
                <w:szCs w:val="21"/>
                <w:highlight w:val="none"/>
                <w:lang w:val="en-US" w:eastAsia="zh-CN"/>
              </w:rPr>
              <w:t>3.238</w:t>
            </w:r>
          </w:p>
        </w:tc>
        <w:tc>
          <w:tcPr>
            <w:tcW w:w="975"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406"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407"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603"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534" w:type="dxa"/>
            <w:vMerge w:val="continue"/>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p>
        </w:tc>
        <w:tc>
          <w:tcPr>
            <w:tcW w:w="1365" w:type="dxa"/>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0.3015</w:t>
            </w:r>
          </w:p>
        </w:tc>
        <w:tc>
          <w:tcPr>
            <w:tcW w:w="1470" w:type="dxa"/>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0.2231</w:t>
            </w:r>
          </w:p>
        </w:tc>
        <w:tc>
          <w:tcPr>
            <w:tcW w:w="945"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rPr>
            </w:pPr>
            <w:r>
              <w:rPr>
                <w:rFonts w:hint="default" w:ascii="Times New Roman" w:hAnsi="Times New Roman" w:cs="Times New Roman"/>
                <w:b w:val="0"/>
                <w:bCs/>
                <w:color w:val="auto"/>
                <w:sz w:val="21"/>
                <w:szCs w:val="21"/>
                <w:highlight w:val="none"/>
                <w:lang w:val="en-US" w:eastAsia="zh-CN"/>
              </w:rPr>
              <w:t>0.1508</w:t>
            </w:r>
          </w:p>
        </w:tc>
        <w:tc>
          <w:tcPr>
            <w:tcW w:w="915" w:type="dxa"/>
            <w:tcBorders>
              <w:tl2br w:val="nil"/>
              <w:tr2bl w:val="nil"/>
            </w:tcBorders>
            <w:vAlign w:val="center"/>
          </w:tcPr>
          <w:p>
            <w:pPr>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15.08</w:t>
            </w:r>
          </w:p>
        </w:tc>
        <w:tc>
          <w:tcPr>
            <w:tcW w:w="930"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rPr>
            </w:pPr>
            <w:r>
              <w:rPr>
                <w:rFonts w:hint="default" w:ascii="Times New Roman" w:hAnsi="Times New Roman" w:cs="Times New Roman"/>
                <w:b w:val="0"/>
                <w:bCs/>
                <w:color w:val="auto"/>
                <w:sz w:val="21"/>
                <w:szCs w:val="21"/>
                <w:highlight w:val="none"/>
                <w:lang w:val="en-US" w:eastAsia="zh-CN"/>
              </w:rPr>
              <w:t>0.1116</w:t>
            </w:r>
          </w:p>
        </w:tc>
        <w:tc>
          <w:tcPr>
            <w:tcW w:w="798"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870" w:type="dxa"/>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异丙醇</w:t>
            </w:r>
          </w:p>
        </w:tc>
        <w:tc>
          <w:tcPr>
            <w:tcW w:w="1350"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b w:val="0"/>
                <w:bCs/>
                <w:color w:val="auto"/>
                <w:sz w:val="21"/>
                <w:szCs w:val="21"/>
                <w:highlight w:val="none"/>
                <w:lang w:val="en-US" w:eastAsia="zh-CN"/>
              </w:rPr>
              <w:t>1.1875</w:t>
            </w:r>
          </w:p>
        </w:tc>
        <w:tc>
          <w:tcPr>
            <w:tcW w:w="975"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406" w:type="dxa"/>
            <w:vMerge w:val="continue"/>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407" w:type="dxa"/>
            <w:vMerge w:val="continue"/>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603" w:type="dxa"/>
            <w:vMerge w:val="continue"/>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534" w:type="dxa"/>
            <w:vMerge w:val="continue"/>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1365"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0.1069</w:t>
            </w:r>
          </w:p>
        </w:tc>
        <w:tc>
          <w:tcPr>
            <w:tcW w:w="147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0.1188</w:t>
            </w:r>
          </w:p>
        </w:tc>
        <w:tc>
          <w:tcPr>
            <w:tcW w:w="945"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lang w:val="en-US" w:eastAsia="zh-CN"/>
              </w:rPr>
              <w:t>0.</w:t>
            </w:r>
            <w:r>
              <w:rPr>
                <w:rFonts w:hint="default" w:ascii="Times New Roman" w:hAnsi="Times New Roman" w:cs="Times New Roman"/>
                <w:b w:val="0"/>
                <w:bCs/>
                <w:color w:val="auto"/>
                <w:sz w:val="21"/>
                <w:szCs w:val="21"/>
                <w:highlight w:val="none"/>
                <w:lang w:val="en-US" w:eastAsia="zh-CN"/>
              </w:rPr>
              <w:t>05345</w:t>
            </w:r>
          </w:p>
        </w:tc>
        <w:tc>
          <w:tcPr>
            <w:tcW w:w="915" w:type="dxa"/>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5.35</w:t>
            </w:r>
          </w:p>
        </w:tc>
        <w:tc>
          <w:tcPr>
            <w:tcW w:w="930"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lang w:val="en-US" w:eastAsia="zh-CN"/>
              </w:rPr>
              <w:t>0.</w:t>
            </w:r>
            <w:r>
              <w:rPr>
                <w:rFonts w:hint="default" w:ascii="Times New Roman" w:hAnsi="Times New Roman" w:cs="Times New Roman"/>
                <w:b w:val="0"/>
                <w:bCs/>
                <w:color w:val="auto"/>
                <w:sz w:val="21"/>
                <w:szCs w:val="21"/>
                <w:highlight w:val="none"/>
                <w:lang w:val="en-US" w:eastAsia="zh-CN"/>
              </w:rPr>
              <w:t>0594</w:t>
            </w:r>
          </w:p>
        </w:tc>
        <w:tc>
          <w:tcPr>
            <w:tcW w:w="798"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870" w:type="dxa"/>
            <w:tcBorders>
              <w:tl2br w:val="nil"/>
              <w:tr2bl w:val="nil"/>
            </w:tcBorders>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二甲苯</w:t>
            </w:r>
          </w:p>
        </w:tc>
        <w:tc>
          <w:tcPr>
            <w:tcW w:w="1350"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b w:val="0"/>
                <w:bCs/>
                <w:color w:val="auto"/>
                <w:spacing w:val="-10"/>
                <w:sz w:val="21"/>
                <w:szCs w:val="21"/>
                <w:highlight w:val="none"/>
                <w:lang w:val="en-US" w:eastAsia="zh-CN"/>
              </w:rPr>
              <w:t>0.385</w:t>
            </w:r>
          </w:p>
        </w:tc>
        <w:tc>
          <w:tcPr>
            <w:tcW w:w="975" w:type="dxa"/>
            <w:vMerge w:val="continue"/>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p>
        </w:tc>
        <w:tc>
          <w:tcPr>
            <w:tcW w:w="406" w:type="dxa"/>
            <w:vMerge w:val="continue"/>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p>
        </w:tc>
        <w:tc>
          <w:tcPr>
            <w:tcW w:w="407" w:type="dxa"/>
            <w:vMerge w:val="continue"/>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p>
        </w:tc>
        <w:tc>
          <w:tcPr>
            <w:tcW w:w="603" w:type="dxa"/>
            <w:vMerge w:val="continue"/>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p>
        </w:tc>
        <w:tc>
          <w:tcPr>
            <w:tcW w:w="534" w:type="dxa"/>
            <w:vMerge w:val="continue"/>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p>
        </w:tc>
        <w:tc>
          <w:tcPr>
            <w:tcW w:w="1365"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default" w:ascii="Times New Roman" w:hAnsi="Times New Roman" w:cs="Times New Roman"/>
                <w:color w:val="auto"/>
                <w:kern w:val="2"/>
                <w:sz w:val="21"/>
                <w:szCs w:val="21"/>
                <w:highlight w:val="none"/>
                <w:lang w:val="en-US" w:eastAsia="zh-CN" w:bidi="ar-SA"/>
              </w:rPr>
              <w:t>03658</w:t>
            </w:r>
          </w:p>
        </w:tc>
        <w:tc>
          <w:tcPr>
            <w:tcW w:w="1470" w:type="dxa"/>
            <w:tcBorders>
              <w:tl2br w:val="nil"/>
              <w:tr2bl w:val="nil"/>
            </w:tcBorders>
            <w:vAlign w:val="center"/>
          </w:tcPr>
          <w:p>
            <w:pPr>
              <w:adjustRightInd w:val="0"/>
              <w:snapToGrid w:val="0"/>
              <w:spacing w:line="36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default" w:ascii="Times New Roman" w:hAnsi="Times New Roman" w:cs="Times New Roman"/>
                <w:color w:val="auto"/>
                <w:kern w:val="2"/>
                <w:sz w:val="21"/>
                <w:szCs w:val="21"/>
                <w:highlight w:val="none"/>
                <w:lang w:val="en-US" w:eastAsia="zh-CN" w:bidi="ar-SA"/>
              </w:rPr>
              <w:t>01925</w:t>
            </w:r>
          </w:p>
        </w:tc>
        <w:tc>
          <w:tcPr>
            <w:tcW w:w="945"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kern w:val="2"/>
                <w:sz w:val="21"/>
                <w:szCs w:val="21"/>
                <w:highlight w:val="none"/>
                <w:lang w:val="en-US" w:eastAsia="zh-CN" w:bidi="ar-SA"/>
              </w:rPr>
              <w:t>0.01829</w:t>
            </w:r>
          </w:p>
        </w:tc>
        <w:tc>
          <w:tcPr>
            <w:tcW w:w="915" w:type="dxa"/>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1.829</w:t>
            </w:r>
          </w:p>
        </w:tc>
        <w:tc>
          <w:tcPr>
            <w:tcW w:w="930"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宋体" w:cs="Times New Roman"/>
                <w:color w:val="auto"/>
                <w:kern w:val="2"/>
                <w:sz w:val="21"/>
                <w:szCs w:val="21"/>
                <w:highlight w:val="none"/>
                <w:lang w:val="en-US" w:eastAsia="zh-CN" w:bidi="ar-SA"/>
              </w:rPr>
              <w:t>0.0</w:t>
            </w:r>
            <w:r>
              <w:rPr>
                <w:rFonts w:hint="default" w:ascii="Times New Roman" w:hAnsi="Times New Roman" w:cs="Times New Roman"/>
                <w:color w:val="auto"/>
                <w:kern w:val="2"/>
                <w:sz w:val="21"/>
                <w:szCs w:val="21"/>
                <w:highlight w:val="none"/>
                <w:lang w:val="en-US" w:eastAsia="zh-CN" w:bidi="ar-SA"/>
              </w:rPr>
              <w:t>09625</w:t>
            </w:r>
          </w:p>
        </w:tc>
        <w:tc>
          <w:tcPr>
            <w:tcW w:w="798"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w:t>
            </w:r>
          </w:p>
        </w:tc>
      </w:tr>
    </w:tbl>
    <w:p>
      <w:pPr>
        <w:adjustRightInd w:val="0"/>
        <w:snapToGrid w:val="0"/>
        <w:spacing w:line="360" w:lineRule="auto"/>
        <w:rPr>
          <w:rFonts w:hint="default" w:ascii="Times New Roman" w:hAnsi="Times New Roman" w:cs="Times New Roman"/>
          <w:b/>
          <w:color w:val="auto"/>
          <w:kern w:val="0"/>
          <w:sz w:val="28"/>
          <w:szCs w:val="28"/>
          <w:highlight w:val="none"/>
        </w:rPr>
      </w:pPr>
    </w:p>
    <w:p>
      <w:pPr>
        <w:adjustRightInd w:val="0"/>
        <w:snapToGrid w:val="0"/>
        <w:spacing w:line="360" w:lineRule="auto"/>
        <w:rPr>
          <w:rFonts w:hint="default" w:ascii="Times New Roman" w:hAnsi="Times New Roman" w:cs="Times New Roman"/>
          <w:b/>
          <w:color w:val="auto"/>
          <w:kern w:val="0"/>
          <w:sz w:val="28"/>
          <w:szCs w:val="28"/>
          <w:highlight w:val="none"/>
        </w:rPr>
      </w:pPr>
    </w:p>
    <w:p>
      <w:pPr>
        <w:adjustRightInd w:val="0"/>
        <w:snapToGrid w:val="0"/>
        <w:spacing w:line="360" w:lineRule="auto"/>
        <w:rPr>
          <w:rFonts w:hint="default" w:ascii="Times New Roman" w:hAnsi="Times New Roman" w:cs="Times New Roman"/>
          <w:b/>
          <w:color w:val="auto"/>
          <w:kern w:val="0"/>
          <w:sz w:val="28"/>
          <w:szCs w:val="28"/>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pPr>
              <w:adjustRightInd w:val="0"/>
              <w:snapToGrid w:val="0"/>
              <w:jc w:val="center"/>
              <w:rPr>
                <w:rFonts w:hint="default" w:ascii="Times New Roman" w:hAnsi="Times New Roman" w:eastAsia="黑体" w:cs="Times New Roman"/>
                <w:snapToGrid w:val="0"/>
                <w:color w:val="auto"/>
                <w:sz w:val="30"/>
                <w:szCs w:val="30"/>
                <w:highlight w:val="none"/>
                <w:vertAlign w:val="baseline"/>
              </w:rPr>
            </w:pPr>
            <w:r>
              <w:rPr>
                <w:rFonts w:hint="default" w:ascii="Times New Roman" w:hAnsi="Times New Roman" w:cs="Times New Roman"/>
                <w:bCs/>
                <w:color w:val="auto"/>
                <w:sz w:val="24"/>
                <w:highlight w:val="none"/>
              </w:rPr>
              <w:t>保护措施</w:t>
            </w:r>
          </w:p>
        </w:tc>
        <w:tc>
          <w:tcPr>
            <w:tcW w:w="8279" w:type="dxa"/>
          </w:tcPr>
          <w:p>
            <w:pPr>
              <w:adjustRightInd w:val="0"/>
              <w:snapToGrid w:val="0"/>
              <w:spacing w:line="360" w:lineRule="auto"/>
              <w:ind w:firstLine="482" w:firstLineChars="200"/>
              <w:rPr>
                <w:rFonts w:hint="default" w:ascii="Times New Roman" w:hAnsi="Times New Roman" w:cs="Times New Roman"/>
                <w:b/>
                <w:bCs/>
                <w:color w:val="auto"/>
                <w:sz w:val="24"/>
                <w:highlight w:val="none"/>
                <w:lang w:eastAsia="zh-CN"/>
              </w:rPr>
            </w:pPr>
            <w:r>
              <w:rPr>
                <w:rFonts w:hint="eastAsia" w:cs="Times New Roman"/>
                <w:b/>
                <w:bCs/>
                <w:color w:val="auto"/>
                <w:sz w:val="24"/>
                <w:szCs w:val="24"/>
                <w:highlight w:val="none"/>
                <w:lang w:val="en-US" w:eastAsia="zh-CN"/>
              </w:rPr>
              <w:t>综上，本项目污染物均能达标排放。</w:t>
            </w:r>
          </w:p>
          <w:p>
            <w:pPr>
              <w:spacing w:line="360" w:lineRule="auto"/>
              <w:ind w:firstLine="482" w:firstLineChars="200"/>
              <w:rPr>
                <w:rFonts w:hint="default" w:ascii="Times New Roman" w:hAnsi="Times New Roman" w:cs="Times New Roman"/>
                <w:b/>
                <w:bCs w:val="0"/>
                <w:color w:val="auto"/>
                <w:sz w:val="24"/>
                <w:highlight w:val="none"/>
                <w:lang w:eastAsia="zh-CN"/>
              </w:rPr>
            </w:pPr>
            <w:r>
              <w:rPr>
                <w:rFonts w:hint="eastAsia" w:cs="Times New Roman"/>
                <w:b/>
                <w:bCs w:val="0"/>
                <w:color w:val="auto"/>
                <w:sz w:val="24"/>
                <w:highlight w:val="none"/>
                <w:lang w:val="en-US" w:eastAsia="zh-CN"/>
              </w:rPr>
              <w:t>5、</w:t>
            </w:r>
            <w:r>
              <w:rPr>
                <w:rFonts w:hint="default" w:ascii="Times New Roman" w:hAnsi="Times New Roman" w:cs="Times New Roman"/>
                <w:b/>
                <w:bCs w:val="0"/>
                <w:color w:val="auto"/>
                <w:sz w:val="24"/>
                <w:highlight w:val="none"/>
                <w:lang w:eastAsia="zh-CN"/>
              </w:rPr>
              <w:t>活性炭</w:t>
            </w:r>
            <w:r>
              <w:rPr>
                <w:rFonts w:hint="eastAsia" w:cs="Times New Roman"/>
                <w:b/>
                <w:bCs w:val="0"/>
                <w:color w:val="auto"/>
                <w:sz w:val="24"/>
                <w:highlight w:val="none"/>
                <w:lang w:val="en-US" w:eastAsia="zh-CN"/>
              </w:rPr>
              <w:t>吸附</w:t>
            </w:r>
            <w:r>
              <w:rPr>
                <w:rFonts w:hint="default" w:ascii="Times New Roman" w:hAnsi="Times New Roman" w:cs="Times New Roman"/>
                <w:b/>
                <w:bCs w:val="0"/>
                <w:color w:val="auto"/>
                <w:sz w:val="24"/>
                <w:highlight w:val="none"/>
                <w:lang w:eastAsia="zh-CN"/>
              </w:rPr>
              <w:t>装置</w:t>
            </w:r>
          </w:p>
          <w:p>
            <w:pPr>
              <w:spacing w:line="360" w:lineRule="auto"/>
              <w:ind w:firstLine="480" w:firstLineChars="200"/>
              <w:rPr>
                <w:rFonts w:hint="eastAsia" w:eastAsia="宋体" w:cs="Times New Roman"/>
                <w:bCs/>
                <w:color w:val="auto"/>
                <w:kern w:val="0"/>
                <w:sz w:val="24"/>
                <w:szCs w:val="24"/>
                <w:highlight w:val="none"/>
                <w:lang w:val="en-US" w:eastAsia="zh-CN" w:bidi="ar-SA"/>
              </w:rPr>
            </w:pPr>
            <w:r>
              <w:rPr>
                <w:rFonts w:hint="eastAsia" w:eastAsia="宋体" w:cs="Times New Roman"/>
                <w:bCs/>
                <w:color w:val="auto"/>
                <w:kern w:val="0"/>
                <w:sz w:val="24"/>
                <w:szCs w:val="24"/>
                <w:highlight w:val="none"/>
                <w:lang w:val="en-US" w:eastAsia="zh-CN" w:bidi="ar-SA"/>
              </w:rPr>
              <w:t>活性吸附滤器中主要过滤介质为活性炭，活性炭是经高温炭化和活化制得的疏水性吸附剂，活性炭是一种很小的炭粒，有很大的比表面积，而且炭粒中还有更细小的孔。这种孔具有很强的吸附能力，由于炭粒的比表面积很大，所以能与气体充分接触。当这些气体碰到活性炭表面时被吸附，从而起到净化作用。</w:t>
            </w:r>
          </w:p>
          <w:p>
            <w:pPr>
              <w:spacing w:line="360" w:lineRule="auto"/>
              <w:ind w:firstLine="480" w:firstLineChars="200"/>
              <w:rPr>
                <w:rFonts w:hint="eastAsia" w:eastAsia="宋体" w:cs="Times New Roman"/>
                <w:bCs/>
                <w:color w:val="auto"/>
                <w:kern w:val="0"/>
                <w:sz w:val="24"/>
                <w:szCs w:val="24"/>
                <w:highlight w:val="none"/>
                <w:lang w:val="en-US" w:eastAsia="zh-CN" w:bidi="ar-SA"/>
              </w:rPr>
            </w:pPr>
            <w:r>
              <w:rPr>
                <w:rFonts w:hint="eastAsia" w:eastAsia="宋体" w:cs="Times New Roman"/>
                <w:bCs/>
                <w:color w:val="auto"/>
                <w:kern w:val="0"/>
                <w:sz w:val="24"/>
                <w:szCs w:val="24"/>
                <w:highlight w:val="none"/>
                <w:lang w:val="en-US" w:eastAsia="zh-CN" w:bidi="ar-SA"/>
              </w:rPr>
              <w:t>采用吸附箱处理，技术成熟，运行稳定，处理效果好的工艺方法。同时针对不同工艺生产中所排放的废气特性，如排放废气温度、是否含有油雾、粉尘等相关参数，</w:t>
            </w:r>
            <w:r>
              <w:rPr>
                <w:rFonts w:hint="eastAsia"/>
                <w:color w:val="auto"/>
                <w:highlight w:val="none"/>
                <w:lang w:val="en-US" w:eastAsia="zh-CN"/>
              </w:rPr>
              <w:t>能</w:t>
            </w:r>
            <w:r>
              <w:rPr>
                <w:rFonts w:hint="eastAsia" w:eastAsia="宋体" w:cs="Times New Roman"/>
                <w:bCs/>
                <w:color w:val="auto"/>
                <w:kern w:val="0"/>
                <w:sz w:val="24"/>
                <w:szCs w:val="24"/>
                <w:highlight w:val="none"/>
                <w:lang w:val="en-US" w:eastAsia="zh-CN" w:bidi="ar-SA"/>
              </w:rPr>
              <w:t>很好地保护了吸附段，确保吸附</w:t>
            </w:r>
            <w:r>
              <w:rPr>
                <w:rFonts w:hint="eastAsia" w:cs="Times New Roman"/>
                <w:bCs/>
                <w:color w:val="auto"/>
                <w:kern w:val="0"/>
                <w:sz w:val="24"/>
                <w:szCs w:val="24"/>
                <w:highlight w:val="none"/>
                <w:lang w:val="en-US" w:eastAsia="zh-CN" w:bidi="ar-SA"/>
              </w:rPr>
              <w:t>箱</w:t>
            </w:r>
            <w:r>
              <w:rPr>
                <w:rFonts w:hint="eastAsia" w:eastAsia="宋体" w:cs="Times New Roman"/>
                <w:bCs/>
                <w:color w:val="auto"/>
                <w:kern w:val="0"/>
                <w:sz w:val="24"/>
                <w:szCs w:val="24"/>
                <w:highlight w:val="none"/>
                <w:lang w:val="en-US" w:eastAsia="zh-CN" w:bidi="ar-SA"/>
              </w:rPr>
              <w:t>在高效状态下运行，吸附效率高，满足国家环保要求。</w:t>
            </w:r>
          </w:p>
          <w:p>
            <w:pPr>
              <w:spacing w:line="360" w:lineRule="auto"/>
              <w:ind w:firstLine="480" w:firstLineChars="200"/>
              <w:rPr>
                <w:rFonts w:hint="default" w:ascii="Times New Roman" w:hAnsi="Times New Roman" w:cs="Times New Roman"/>
                <w:b w:val="0"/>
                <w:bCs/>
                <w:color w:val="auto"/>
                <w:sz w:val="24"/>
                <w:highlight w:val="none"/>
                <w:lang w:eastAsia="zh-CN"/>
              </w:rPr>
            </w:pPr>
            <w:r>
              <w:rPr>
                <w:rFonts w:hint="eastAsia" w:eastAsia="宋体" w:cs="Times New Roman"/>
                <w:bCs/>
                <w:color w:val="auto"/>
                <w:kern w:val="0"/>
                <w:sz w:val="24"/>
                <w:szCs w:val="24"/>
                <w:highlight w:val="none"/>
                <w:lang w:val="en-US" w:eastAsia="zh-CN" w:bidi="ar-SA"/>
              </w:rPr>
              <w:t>为保证处理效率，建议平均约3个月更换1次，可确保活性炭吸附装置长期稳定运行。</w:t>
            </w:r>
          </w:p>
          <w:p>
            <w:pPr>
              <w:spacing w:line="360" w:lineRule="auto"/>
              <w:ind w:firstLine="480" w:firstLineChars="200"/>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eastAsia="zh-CN"/>
              </w:rPr>
              <w:t>项目使用碘值为800mg/g的活性炭，</w:t>
            </w:r>
            <w:r>
              <w:rPr>
                <w:rFonts w:hint="eastAsia" w:ascii="Times New Roman" w:hAnsi="Times New Roman" w:cs="Times New Roman"/>
                <w:b w:val="0"/>
                <w:bCs/>
                <w:color w:val="auto"/>
                <w:sz w:val="24"/>
                <w:highlight w:val="none"/>
                <w:lang w:val="en-US" w:eastAsia="zh-CN"/>
              </w:rPr>
              <w:t>项目产生的VOCs量为</w:t>
            </w:r>
            <w:r>
              <w:rPr>
                <w:rFonts w:hint="eastAsia" w:cs="Times New Roman"/>
                <w:b w:val="0"/>
                <w:bCs/>
                <w:color w:val="auto"/>
                <w:sz w:val="24"/>
                <w:highlight w:val="none"/>
                <w:lang w:val="en-US" w:eastAsia="zh-CN"/>
              </w:rPr>
              <w:t>3.238</w:t>
            </w:r>
            <w:r>
              <w:rPr>
                <w:rFonts w:hint="default" w:ascii="Times New Roman" w:hAnsi="Times New Roman" w:cs="Times New Roman"/>
                <w:b w:val="0"/>
                <w:bCs/>
                <w:color w:val="auto"/>
                <w:sz w:val="24"/>
                <w:highlight w:val="none"/>
                <w:lang w:eastAsia="zh-CN"/>
              </w:rPr>
              <w:t>t/a</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废气进入活性炭装置的量为</w:t>
            </w:r>
            <w:r>
              <w:rPr>
                <w:rFonts w:hint="eastAsia" w:cs="Times New Roman"/>
                <w:b w:val="0"/>
                <w:bCs/>
                <w:color w:val="auto"/>
                <w:sz w:val="24"/>
                <w:highlight w:val="none"/>
                <w:lang w:val="en-US" w:eastAsia="zh-CN"/>
              </w:rPr>
              <w:t>2.7134</w:t>
            </w:r>
            <w:r>
              <w:rPr>
                <w:rFonts w:hint="default" w:ascii="Times New Roman" w:hAnsi="Times New Roman" w:cs="Times New Roman"/>
                <w:b w:val="0"/>
                <w:bCs/>
                <w:color w:val="auto"/>
                <w:sz w:val="24"/>
                <w:highlight w:val="none"/>
                <w:lang w:eastAsia="zh-CN"/>
              </w:rPr>
              <w:t>t/a，按吸附能力为20kg（有机废气）/100kg（活性炭）计算，项目设置的活性炭净化系统所需活性炭量为</w:t>
            </w:r>
            <w:r>
              <w:rPr>
                <w:rFonts w:hint="eastAsia" w:cs="Times New Roman"/>
                <w:b w:val="0"/>
                <w:bCs/>
                <w:color w:val="auto"/>
                <w:sz w:val="24"/>
                <w:highlight w:val="none"/>
                <w:lang w:val="en-US" w:eastAsia="zh-CN"/>
              </w:rPr>
              <w:t>13.567</w:t>
            </w:r>
            <w:r>
              <w:rPr>
                <w:rFonts w:hint="default" w:ascii="Times New Roman" w:hAnsi="Times New Roman" w:cs="Times New Roman"/>
                <w:b w:val="0"/>
                <w:bCs/>
                <w:color w:val="auto"/>
                <w:sz w:val="24"/>
                <w:highlight w:val="none"/>
                <w:lang w:eastAsia="zh-CN"/>
              </w:rPr>
              <w:t>t/a</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废活性炭的产生量为</w:t>
            </w:r>
            <w:r>
              <w:rPr>
                <w:rFonts w:hint="eastAsia" w:cs="Times New Roman"/>
                <w:b w:val="0"/>
                <w:bCs/>
                <w:color w:val="auto"/>
                <w:sz w:val="24"/>
                <w:highlight w:val="none"/>
                <w:lang w:val="en-US" w:eastAsia="zh-CN"/>
              </w:rPr>
              <w:t>16.2804</w:t>
            </w:r>
            <w:r>
              <w:rPr>
                <w:rFonts w:hint="default" w:ascii="Times New Roman" w:hAnsi="Times New Roman" w:cs="Times New Roman"/>
                <w:b w:val="0"/>
                <w:bCs/>
                <w:color w:val="auto"/>
                <w:sz w:val="24"/>
                <w:highlight w:val="none"/>
                <w:lang w:eastAsia="zh-CN"/>
              </w:rPr>
              <w:t>t/a（包括活性炭和吸附的</w:t>
            </w:r>
            <w:r>
              <w:rPr>
                <w:rFonts w:hint="default" w:ascii="Times New Roman" w:hAnsi="Times New Roman" w:cs="Times New Roman"/>
                <w:color w:val="auto"/>
                <w:sz w:val="24"/>
                <w:szCs w:val="24"/>
                <w:highlight w:val="none"/>
                <w:lang w:val="en-US" w:eastAsia="zh-CN"/>
              </w:rPr>
              <w:t>VOCs</w:t>
            </w:r>
            <w:r>
              <w:rPr>
                <w:rFonts w:hint="default" w:ascii="Times New Roman" w:hAnsi="Times New Roman" w:cs="Times New Roman"/>
                <w:b w:val="0"/>
                <w:bCs/>
                <w:color w:val="auto"/>
                <w:sz w:val="24"/>
                <w:highlight w:val="none"/>
                <w:lang w:eastAsia="zh-CN"/>
              </w:rPr>
              <w:t>的量）。</w:t>
            </w:r>
          </w:p>
          <w:p>
            <w:pPr>
              <w:spacing w:line="360" w:lineRule="auto"/>
              <w:ind w:firstLine="480" w:firstLineChars="200"/>
              <w:rPr>
                <w:rFonts w:hint="eastAsia" w:cs="Times New Roman"/>
                <w:b/>
                <w:color w:val="auto"/>
                <w:sz w:val="24"/>
                <w:highlight w:val="none"/>
                <w:lang w:val="en-US" w:eastAsia="zh-CN"/>
              </w:rPr>
            </w:pPr>
            <w:r>
              <w:rPr>
                <w:rFonts w:hint="default" w:ascii="Times New Roman" w:hAnsi="Times New Roman" w:cs="Times New Roman"/>
                <w:b w:val="0"/>
                <w:bCs/>
                <w:color w:val="auto"/>
                <w:sz w:val="24"/>
                <w:highlight w:val="none"/>
                <w:lang w:eastAsia="zh-CN"/>
              </w:rPr>
              <w:t>建立活性炭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企业应保障设施设备及操作人员安全，防止发生安全生产事故。</w:t>
            </w:r>
          </w:p>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eastAsia" w:cs="Times New Roman"/>
                <w:b/>
                <w:color w:val="auto"/>
                <w:sz w:val="24"/>
                <w:highlight w:val="none"/>
                <w:lang w:val="en-US" w:eastAsia="zh-CN"/>
              </w:rPr>
              <w:t>6、</w:t>
            </w:r>
            <w:r>
              <w:rPr>
                <w:rFonts w:hint="default" w:ascii="Times New Roman" w:hAnsi="Times New Roman" w:cs="Times New Roman"/>
                <w:b/>
                <w:color w:val="auto"/>
                <w:sz w:val="24"/>
                <w:highlight w:val="none"/>
              </w:rPr>
              <w:t>污染防治</w:t>
            </w:r>
            <w:r>
              <w:rPr>
                <w:rFonts w:hint="default" w:ascii="Times New Roman" w:hAnsi="Times New Roman" w:cs="Times New Roman"/>
                <w:b/>
                <w:color w:val="auto"/>
                <w:sz w:val="24"/>
                <w:highlight w:val="none"/>
                <w:lang w:eastAsia="zh-CN"/>
              </w:rPr>
              <w:t>技术可行性分析</w:t>
            </w:r>
          </w:p>
          <w:p>
            <w:pPr>
              <w:spacing w:line="360" w:lineRule="auto"/>
              <w:ind w:firstLine="480" w:firstLineChars="200"/>
              <w:rPr>
                <w:rFonts w:hint="default" w:ascii="Times New Roman" w:hAnsi="Times New Roman" w:cs="Times New Roman"/>
                <w:b/>
                <w:bCs w:val="0"/>
                <w:color w:val="auto"/>
                <w:sz w:val="21"/>
                <w:szCs w:val="21"/>
                <w:highlight w:val="none"/>
                <w:lang w:eastAsia="zh-CN"/>
              </w:rPr>
            </w:pPr>
            <w:r>
              <w:rPr>
                <w:rFonts w:hint="eastAsia" w:ascii="Times New Roman" w:hAnsi="Times New Roman" w:cs="Times New Roman"/>
                <w:b w:val="0"/>
                <w:bCs/>
                <w:color w:val="auto"/>
                <w:sz w:val="24"/>
                <w:highlight w:val="none"/>
                <w:lang w:eastAsia="zh-CN"/>
              </w:rPr>
              <w:t>本项目执行</w:t>
            </w:r>
            <w:r>
              <w:rPr>
                <w:rFonts w:hint="default" w:ascii="Times New Roman" w:hAnsi="Times New Roman" w:cs="Times New Roman"/>
                <w:b w:val="0"/>
                <w:bCs/>
                <w:color w:val="auto"/>
                <w:sz w:val="24"/>
                <w:highlight w:val="none"/>
                <w:lang w:eastAsia="zh-CN"/>
              </w:rPr>
              <w:t>《排污许可证申请与核发技术规范</w:t>
            </w:r>
            <w:r>
              <w:rPr>
                <w:rFonts w:hint="default" w:ascii="Times New Roman" w:hAnsi="Times New Roman" w:cs="Times New Roman"/>
                <w:b w:val="0"/>
                <w:bCs/>
                <w:color w:val="auto"/>
                <w:sz w:val="24"/>
                <w:highlight w:val="none"/>
                <w:lang w:val="en-US" w:eastAsia="zh-CN"/>
              </w:rPr>
              <w:t xml:space="preserve"> </w:t>
            </w:r>
            <w:r>
              <w:rPr>
                <w:rFonts w:hint="eastAsia" w:ascii="Times New Roman" w:hAnsi="Times New Roman" w:cs="Times New Roman"/>
                <w:b w:val="0"/>
                <w:bCs/>
                <w:color w:val="auto"/>
                <w:sz w:val="24"/>
                <w:highlight w:val="none"/>
                <w:lang w:val="en-US" w:eastAsia="zh-CN"/>
              </w:rPr>
              <w:t>电子工业</w:t>
            </w:r>
            <w:r>
              <w:rPr>
                <w:rFonts w:hint="default" w:ascii="Times New Roman" w:hAnsi="Times New Roman" w:cs="Times New Roman"/>
                <w:b w:val="0"/>
                <w:bCs/>
                <w:color w:val="auto"/>
                <w:sz w:val="24"/>
                <w:highlight w:val="none"/>
                <w:lang w:eastAsia="zh-CN"/>
              </w:rPr>
              <w:t>》（HJ1031-2019）附录 B.1， 电子工业排污单位废气防治可行技术参考表中电子电路制造行业中“</w:t>
            </w:r>
            <w:r>
              <w:rPr>
                <w:rFonts w:hint="eastAsia" w:ascii="Times New Roman" w:hAnsi="Times New Roman" w:cs="Times New Roman"/>
                <w:b w:val="0"/>
                <w:bCs/>
                <w:color w:val="auto"/>
                <w:sz w:val="24"/>
                <w:highlight w:val="none"/>
                <w:lang w:eastAsia="zh-CN"/>
              </w:rPr>
              <w:t>有机涂覆</w:t>
            </w:r>
            <w:r>
              <w:rPr>
                <w:rFonts w:hint="default" w:ascii="Times New Roman" w:hAnsi="Times New Roman" w:cs="Times New Roman"/>
                <w:b w:val="0"/>
                <w:bCs/>
                <w:color w:val="auto"/>
                <w:sz w:val="24"/>
                <w:highlight w:val="none"/>
                <w:lang w:eastAsia="zh-CN"/>
              </w:rPr>
              <w:t>”工序产生的挥发性有机废气采用活性炭吸附法进行处理为可行污染防治技术。</w:t>
            </w:r>
          </w:p>
          <w:p>
            <w:pPr>
              <w:spacing w:line="240" w:lineRule="auto"/>
              <w:jc w:val="center"/>
              <w:rPr>
                <w:rFonts w:hint="default" w:ascii="Times New Roman" w:hAnsi="Times New Roman" w:cs="Times New Roman"/>
                <w:b/>
                <w:bCs w:val="0"/>
                <w:color w:val="auto"/>
                <w:sz w:val="21"/>
                <w:szCs w:val="21"/>
                <w:highlight w:val="none"/>
                <w:lang w:eastAsia="zh-CN"/>
              </w:rPr>
            </w:pPr>
          </w:p>
          <w:p>
            <w:pPr>
              <w:spacing w:line="240" w:lineRule="auto"/>
              <w:jc w:val="center"/>
              <w:rPr>
                <w:rFonts w:hint="default" w:ascii="Times New Roman" w:hAnsi="Times New Roman"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 xml:space="preserve">表 </w:t>
            </w:r>
            <w:r>
              <w:rPr>
                <w:rFonts w:hint="eastAsia" w:ascii="Times New Roman" w:hAnsi="Times New Roman" w:cs="Times New Roman"/>
                <w:b/>
                <w:bCs w:val="0"/>
                <w:color w:val="auto"/>
                <w:sz w:val="21"/>
                <w:szCs w:val="21"/>
                <w:highlight w:val="none"/>
                <w:lang w:val="en-US" w:eastAsia="zh-CN"/>
              </w:rPr>
              <w:t>4</w:t>
            </w:r>
            <w:r>
              <w:rPr>
                <w:rFonts w:hint="default" w:ascii="Times New Roman" w:hAnsi="Times New Roman" w:cs="Times New Roman"/>
                <w:b/>
                <w:bCs w:val="0"/>
                <w:color w:val="auto"/>
                <w:sz w:val="21"/>
                <w:szCs w:val="21"/>
                <w:highlight w:val="none"/>
                <w:lang w:eastAsia="zh-CN"/>
              </w:rPr>
              <w:t>-</w:t>
            </w:r>
            <w:r>
              <w:rPr>
                <w:rFonts w:hint="eastAsia" w:cs="Times New Roman"/>
                <w:b/>
                <w:bCs w:val="0"/>
                <w:color w:val="auto"/>
                <w:sz w:val="21"/>
                <w:szCs w:val="21"/>
                <w:highlight w:val="none"/>
                <w:lang w:val="en-US" w:eastAsia="zh-CN"/>
              </w:rPr>
              <w:t>3</w:t>
            </w:r>
            <w:r>
              <w:rPr>
                <w:rFonts w:hint="default" w:ascii="Times New Roman" w:hAnsi="Times New Roman" w:cs="Times New Roman"/>
                <w:b/>
                <w:bCs w:val="0"/>
                <w:color w:val="auto"/>
                <w:sz w:val="21"/>
                <w:szCs w:val="21"/>
                <w:highlight w:val="none"/>
                <w:lang w:eastAsia="zh-CN"/>
              </w:rPr>
              <w:t xml:space="preserve"> 可行污染防治技术</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2"/>
              <w:gridCol w:w="1343"/>
              <w:gridCol w:w="1343"/>
              <w:gridCol w:w="1343"/>
              <w:gridCol w:w="1266"/>
              <w:gridCol w:w="14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2" w:type="pct"/>
                  <w:tcBorders>
                    <w:tl2br w:val="nil"/>
                    <w:tr2bl w:val="nil"/>
                  </w:tcBorders>
                  <w:noWrap w:val="0"/>
                  <w:vAlign w:val="center"/>
                </w:tcPr>
                <w:p>
                  <w:pPr>
                    <w:spacing w:line="240" w:lineRule="auto"/>
                    <w:jc w:val="center"/>
                    <w:rPr>
                      <w:rFonts w:hint="default" w:ascii="Times New Roman" w:hAnsi="Times New Roman" w:cs="Times New Roman"/>
                      <w:b/>
                      <w:bCs w:val="0"/>
                      <w:color w:val="auto"/>
                      <w:sz w:val="21"/>
                      <w:szCs w:val="21"/>
                      <w:highlight w:val="none"/>
                      <w:vertAlign w:val="baseline"/>
                      <w:lang w:eastAsia="zh-CN"/>
                    </w:rPr>
                  </w:pPr>
                  <w:r>
                    <w:rPr>
                      <w:rFonts w:hint="default" w:ascii="Times New Roman" w:hAnsi="Times New Roman" w:cs="Times New Roman"/>
                      <w:b/>
                      <w:bCs w:val="0"/>
                      <w:color w:val="auto"/>
                      <w:sz w:val="21"/>
                      <w:szCs w:val="21"/>
                      <w:highlight w:val="none"/>
                      <w:vertAlign w:val="baseline"/>
                      <w:lang w:eastAsia="zh-CN"/>
                    </w:rPr>
                    <w:t>行业类别</w:t>
                  </w:r>
                </w:p>
              </w:tc>
              <w:tc>
                <w:tcPr>
                  <w:tcW w:w="833" w:type="pct"/>
                  <w:tcBorders>
                    <w:tl2br w:val="nil"/>
                    <w:tr2bl w:val="nil"/>
                  </w:tcBorders>
                  <w:noWrap w:val="0"/>
                  <w:vAlign w:val="center"/>
                </w:tcPr>
                <w:p>
                  <w:pPr>
                    <w:spacing w:line="240" w:lineRule="auto"/>
                    <w:jc w:val="center"/>
                    <w:rPr>
                      <w:rFonts w:hint="default" w:ascii="Times New Roman" w:hAnsi="Times New Roman" w:cs="Times New Roman"/>
                      <w:b/>
                      <w:bCs w:val="0"/>
                      <w:color w:val="auto"/>
                      <w:sz w:val="21"/>
                      <w:szCs w:val="21"/>
                      <w:highlight w:val="none"/>
                      <w:vertAlign w:val="baseline"/>
                      <w:lang w:eastAsia="zh-CN"/>
                    </w:rPr>
                  </w:pPr>
                  <w:r>
                    <w:rPr>
                      <w:rFonts w:hint="default" w:ascii="Times New Roman" w:hAnsi="Times New Roman" w:cs="Times New Roman"/>
                      <w:b/>
                      <w:bCs w:val="0"/>
                      <w:color w:val="auto"/>
                      <w:sz w:val="21"/>
                      <w:szCs w:val="21"/>
                      <w:highlight w:val="none"/>
                      <w:vertAlign w:val="baseline"/>
                      <w:lang w:eastAsia="zh-CN"/>
                    </w:rPr>
                    <w:t>主要生产单元</w:t>
                  </w:r>
                </w:p>
              </w:tc>
              <w:tc>
                <w:tcPr>
                  <w:tcW w:w="833" w:type="pct"/>
                  <w:tcBorders>
                    <w:tl2br w:val="nil"/>
                    <w:tr2bl w:val="nil"/>
                  </w:tcBorders>
                  <w:noWrap w:val="0"/>
                  <w:vAlign w:val="center"/>
                </w:tcPr>
                <w:p>
                  <w:pPr>
                    <w:spacing w:line="240" w:lineRule="auto"/>
                    <w:jc w:val="center"/>
                    <w:rPr>
                      <w:rFonts w:hint="default" w:ascii="Times New Roman" w:hAnsi="Times New Roman" w:cs="Times New Roman"/>
                      <w:b/>
                      <w:bCs w:val="0"/>
                      <w:color w:val="auto"/>
                      <w:sz w:val="21"/>
                      <w:szCs w:val="21"/>
                      <w:highlight w:val="none"/>
                      <w:vertAlign w:val="baseline"/>
                      <w:lang w:eastAsia="zh-CN"/>
                    </w:rPr>
                  </w:pPr>
                  <w:r>
                    <w:rPr>
                      <w:rFonts w:hint="default" w:ascii="Times New Roman" w:hAnsi="Times New Roman" w:cs="Times New Roman"/>
                      <w:b/>
                      <w:bCs w:val="0"/>
                      <w:color w:val="auto"/>
                      <w:sz w:val="21"/>
                      <w:szCs w:val="21"/>
                      <w:highlight w:val="none"/>
                      <w:vertAlign w:val="baseline"/>
                      <w:lang w:eastAsia="zh-CN"/>
                    </w:rPr>
                    <w:t>生产设施</w:t>
                  </w:r>
                </w:p>
              </w:tc>
              <w:tc>
                <w:tcPr>
                  <w:tcW w:w="833" w:type="pct"/>
                  <w:tcBorders>
                    <w:tl2br w:val="nil"/>
                    <w:tr2bl w:val="nil"/>
                  </w:tcBorders>
                  <w:noWrap w:val="0"/>
                  <w:vAlign w:val="center"/>
                </w:tcPr>
                <w:p>
                  <w:pPr>
                    <w:spacing w:line="240" w:lineRule="auto"/>
                    <w:jc w:val="center"/>
                    <w:rPr>
                      <w:rFonts w:hint="default" w:ascii="Times New Roman" w:hAnsi="Times New Roman" w:cs="Times New Roman"/>
                      <w:b/>
                      <w:bCs w:val="0"/>
                      <w:color w:val="auto"/>
                      <w:sz w:val="21"/>
                      <w:szCs w:val="21"/>
                      <w:highlight w:val="none"/>
                      <w:vertAlign w:val="baseline"/>
                      <w:lang w:eastAsia="zh-CN"/>
                    </w:rPr>
                  </w:pPr>
                  <w:r>
                    <w:rPr>
                      <w:rFonts w:hint="default" w:ascii="Times New Roman" w:hAnsi="Times New Roman" w:cs="Times New Roman"/>
                      <w:b/>
                      <w:bCs w:val="0"/>
                      <w:color w:val="auto"/>
                      <w:sz w:val="21"/>
                      <w:szCs w:val="21"/>
                      <w:highlight w:val="none"/>
                      <w:vertAlign w:val="baseline"/>
                      <w:lang w:eastAsia="zh-CN"/>
                    </w:rPr>
                    <w:t>废气产污环节</w:t>
                  </w:r>
                </w:p>
              </w:tc>
              <w:tc>
                <w:tcPr>
                  <w:tcW w:w="785" w:type="pct"/>
                  <w:tcBorders>
                    <w:tl2br w:val="nil"/>
                    <w:tr2bl w:val="nil"/>
                  </w:tcBorders>
                  <w:noWrap w:val="0"/>
                  <w:vAlign w:val="center"/>
                </w:tcPr>
                <w:p>
                  <w:pPr>
                    <w:spacing w:line="240" w:lineRule="auto"/>
                    <w:jc w:val="center"/>
                    <w:rPr>
                      <w:rFonts w:hint="default" w:ascii="Times New Roman" w:hAnsi="Times New Roman" w:cs="Times New Roman"/>
                      <w:b/>
                      <w:bCs w:val="0"/>
                      <w:color w:val="auto"/>
                      <w:sz w:val="21"/>
                      <w:szCs w:val="21"/>
                      <w:highlight w:val="none"/>
                      <w:vertAlign w:val="baseline"/>
                      <w:lang w:eastAsia="zh-CN"/>
                    </w:rPr>
                  </w:pPr>
                  <w:r>
                    <w:rPr>
                      <w:rFonts w:hint="default" w:ascii="Times New Roman" w:hAnsi="Times New Roman" w:cs="Times New Roman"/>
                      <w:b/>
                      <w:bCs w:val="0"/>
                      <w:color w:val="auto"/>
                      <w:sz w:val="21"/>
                      <w:szCs w:val="21"/>
                      <w:highlight w:val="none"/>
                      <w:vertAlign w:val="baseline"/>
                      <w:lang w:eastAsia="zh-CN"/>
                    </w:rPr>
                    <w:t>污染物项目</w:t>
                  </w:r>
                </w:p>
              </w:tc>
              <w:tc>
                <w:tcPr>
                  <w:tcW w:w="881" w:type="pct"/>
                  <w:tcBorders>
                    <w:tl2br w:val="nil"/>
                    <w:tr2bl w:val="nil"/>
                  </w:tcBorders>
                  <w:noWrap w:val="0"/>
                  <w:vAlign w:val="center"/>
                </w:tcPr>
                <w:p>
                  <w:pPr>
                    <w:spacing w:line="240" w:lineRule="auto"/>
                    <w:jc w:val="center"/>
                    <w:rPr>
                      <w:rFonts w:hint="default" w:ascii="Times New Roman" w:hAnsi="Times New Roman" w:cs="Times New Roman"/>
                      <w:b/>
                      <w:bCs w:val="0"/>
                      <w:color w:val="auto"/>
                      <w:sz w:val="21"/>
                      <w:szCs w:val="21"/>
                      <w:highlight w:val="none"/>
                      <w:vertAlign w:val="baseline"/>
                      <w:lang w:eastAsia="zh-CN"/>
                    </w:rPr>
                  </w:pPr>
                  <w:r>
                    <w:rPr>
                      <w:rFonts w:hint="default" w:ascii="Times New Roman" w:hAnsi="Times New Roman" w:cs="Times New Roman"/>
                      <w:b/>
                      <w:bCs w:val="0"/>
                      <w:color w:val="auto"/>
                      <w:sz w:val="21"/>
                      <w:szCs w:val="21"/>
                      <w:highlight w:val="none"/>
                      <w:vertAlign w:val="baseline"/>
                      <w:lang w:eastAsia="zh-CN"/>
                    </w:rPr>
                    <w:t>污染防治设施名称及工艺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2"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其他电子元件制造排污单位</w:t>
                  </w:r>
                </w:p>
              </w:tc>
              <w:tc>
                <w:tcPr>
                  <w:tcW w:w="833"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lang w:eastAsia="zh-CN"/>
                    </w:rPr>
                    <w:t>有机涂覆</w:t>
                  </w:r>
                </w:p>
              </w:tc>
              <w:tc>
                <w:tcPr>
                  <w:tcW w:w="833"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highlight w:val="none"/>
                      <w:vertAlign w:val="baseline"/>
                      <w:lang w:eastAsia="zh-CN"/>
                    </w:rPr>
                  </w:pPr>
                  <w:r>
                    <w:rPr>
                      <w:rFonts w:hint="eastAsia" w:ascii="Times New Roman" w:hAnsi="Times New Roman" w:cs="Times New Roman"/>
                      <w:b w:val="0"/>
                      <w:bCs/>
                      <w:color w:val="auto"/>
                      <w:sz w:val="21"/>
                      <w:szCs w:val="21"/>
                      <w:highlight w:val="none"/>
                      <w:vertAlign w:val="baseline"/>
                      <w:lang w:eastAsia="zh-CN"/>
                    </w:rPr>
                    <w:t>烘干设备、含浸机</w:t>
                  </w:r>
                </w:p>
              </w:tc>
              <w:tc>
                <w:tcPr>
                  <w:tcW w:w="833"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烘干</w:t>
                  </w:r>
                  <w:r>
                    <w:rPr>
                      <w:rFonts w:hint="eastAsia" w:ascii="Times New Roman" w:hAnsi="Times New Roman" w:cs="Times New Roman"/>
                      <w:b w:val="0"/>
                      <w:bCs/>
                      <w:color w:val="auto"/>
                      <w:sz w:val="21"/>
                      <w:szCs w:val="21"/>
                      <w:highlight w:val="none"/>
                      <w:vertAlign w:val="baseline"/>
                      <w:lang w:val="en-US" w:eastAsia="zh-CN"/>
                    </w:rPr>
                    <w:t>/</w:t>
                  </w:r>
                  <w:r>
                    <w:rPr>
                      <w:rFonts w:hint="default" w:ascii="Times New Roman" w:hAnsi="Times New Roman" w:cs="Times New Roman"/>
                      <w:b w:val="0"/>
                      <w:bCs/>
                      <w:color w:val="auto"/>
                      <w:sz w:val="21"/>
                      <w:szCs w:val="21"/>
                      <w:highlight w:val="none"/>
                      <w:vertAlign w:val="baseline"/>
                      <w:lang w:eastAsia="zh-CN"/>
                    </w:rPr>
                    <w:t>表面涂覆</w:t>
                  </w:r>
                </w:p>
              </w:tc>
              <w:tc>
                <w:tcPr>
                  <w:tcW w:w="785"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highlight w:val="none"/>
                      <w:vertAlign w:val="baseline"/>
                      <w:lang w:eastAsia="zh-CN"/>
                    </w:rPr>
                  </w:pPr>
                  <w:r>
                    <w:rPr>
                      <w:rFonts w:hint="eastAsia" w:ascii="Times New Roman" w:hAnsi="Times New Roman" w:cs="Times New Roman"/>
                      <w:b w:val="0"/>
                      <w:bCs/>
                      <w:color w:val="auto"/>
                      <w:sz w:val="21"/>
                      <w:szCs w:val="21"/>
                      <w:highlight w:val="none"/>
                      <w:vertAlign w:val="baseline"/>
                      <w:lang w:eastAsia="zh-CN"/>
                    </w:rPr>
                    <w:t>挥发性有机物</w:t>
                  </w:r>
                </w:p>
              </w:tc>
              <w:tc>
                <w:tcPr>
                  <w:tcW w:w="881"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eastAsia="zh-CN"/>
                    </w:rPr>
                    <w:t>活性炭吸附法</w:t>
                  </w:r>
                </w:p>
              </w:tc>
            </w:tr>
          </w:tbl>
          <w:p>
            <w:pPr>
              <w:spacing w:line="360" w:lineRule="auto"/>
              <w:ind w:firstLine="480" w:firstLineChars="200"/>
              <w:rPr>
                <w:rFonts w:hint="default" w:ascii="Times New Roman" w:hAnsi="Times New Roman" w:cs="Times New Roman"/>
                <w:b/>
                <w:bCs/>
                <w:color w:val="auto"/>
                <w:kern w:val="0"/>
                <w:sz w:val="24"/>
                <w:highlight w:val="none"/>
                <w:lang w:bidi="ar"/>
              </w:rPr>
            </w:pPr>
            <w:r>
              <w:rPr>
                <w:rFonts w:hint="eastAsia" w:ascii="Times New Roman" w:hAnsi="Times New Roman" w:cs="Times New Roman"/>
                <w:b w:val="0"/>
                <w:bCs/>
                <w:color w:val="auto"/>
                <w:sz w:val="24"/>
                <w:highlight w:val="none"/>
                <w:lang w:eastAsia="zh-CN"/>
              </w:rPr>
              <w:t>本项目废气采用</w:t>
            </w:r>
            <w:r>
              <w:rPr>
                <w:rFonts w:hint="eastAsia" w:cs="Times New Roman"/>
                <w:b w:val="0"/>
                <w:bCs/>
                <w:color w:val="auto"/>
                <w:sz w:val="24"/>
                <w:highlight w:val="none"/>
                <w:lang w:val="en-US" w:eastAsia="zh-CN"/>
              </w:rPr>
              <w:t>集气罩收集</w:t>
            </w:r>
            <w:r>
              <w:rPr>
                <w:rFonts w:hint="eastAsia" w:ascii="Times New Roman" w:hAnsi="Times New Roman" w:cs="Times New Roman"/>
                <w:b w:val="0"/>
                <w:bCs/>
                <w:color w:val="auto"/>
                <w:sz w:val="24"/>
                <w:highlight w:val="none"/>
                <w:lang w:val="en-US" w:eastAsia="zh-CN"/>
              </w:rPr>
              <w:t>+过滤棉+二级活性炭吸附</w:t>
            </w:r>
            <w:r>
              <w:rPr>
                <w:rFonts w:hint="eastAsia" w:cs="Times New Roman"/>
                <w:b w:val="0"/>
                <w:bCs/>
                <w:color w:val="auto"/>
                <w:sz w:val="24"/>
                <w:highlight w:val="none"/>
                <w:lang w:val="en-US" w:eastAsia="zh-CN"/>
              </w:rPr>
              <w:t>；封闭设备集气管收集</w:t>
            </w:r>
            <w:r>
              <w:rPr>
                <w:rFonts w:hint="eastAsia" w:ascii="Times New Roman" w:hAnsi="Times New Roman" w:cs="Times New Roman"/>
                <w:b w:val="0"/>
                <w:bCs/>
                <w:color w:val="auto"/>
                <w:sz w:val="24"/>
                <w:highlight w:val="none"/>
                <w:lang w:val="en-US" w:eastAsia="zh-CN"/>
              </w:rPr>
              <w:t>+过滤棉+二级活性炭吸附</w:t>
            </w:r>
            <w:r>
              <w:rPr>
                <w:rFonts w:hint="eastAsia" w:cs="Times New Roman"/>
                <w:b w:val="0"/>
                <w:bCs/>
                <w:color w:val="auto"/>
                <w:sz w:val="24"/>
                <w:highlight w:val="none"/>
                <w:lang w:val="en-US" w:eastAsia="zh-CN"/>
              </w:rPr>
              <w:t>，经收集</w:t>
            </w:r>
            <w:r>
              <w:rPr>
                <w:rFonts w:hint="eastAsia" w:ascii="Times New Roman" w:hAnsi="Times New Roman" w:cs="Times New Roman"/>
                <w:b w:val="0"/>
                <w:bCs/>
                <w:color w:val="auto"/>
                <w:sz w:val="24"/>
                <w:highlight w:val="none"/>
                <w:lang w:val="en-US" w:eastAsia="zh-CN"/>
              </w:rPr>
              <w:t>后通过一根15m高排气筒达标排放。</w:t>
            </w:r>
            <w:r>
              <w:rPr>
                <w:rFonts w:hint="default" w:ascii="Times New Roman" w:hAnsi="Times New Roman" w:cs="Times New Roman"/>
                <w:b w:val="0"/>
                <w:bCs/>
                <w:color w:val="auto"/>
                <w:sz w:val="24"/>
                <w:highlight w:val="none"/>
                <w:lang w:eastAsia="zh-CN"/>
              </w:rPr>
              <w:t>因此，本项目采取的末端治理技术为可行性技术。</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b/>
                <w:bCs w:val="0"/>
                <w:color w:val="auto"/>
                <w:sz w:val="24"/>
                <w:szCs w:val="24"/>
                <w:highlight w:val="none"/>
                <w:shd w:val="clear" w:color="auto" w:fill="auto"/>
              </w:rPr>
            </w:pPr>
            <w:r>
              <w:rPr>
                <w:rFonts w:hint="eastAsia"/>
                <w:b/>
                <w:bCs w:val="0"/>
                <w:color w:val="auto"/>
                <w:sz w:val="24"/>
                <w:szCs w:val="24"/>
                <w:highlight w:val="none"/>
                <w:shd w:val="clear" w:color="auto" w:fill="auto"/>
                <w:lang w:val="en-US" w:eastAsia="zh-CN"/>
              </w:rPr>
              <w:t>7</w:t>
            </w:r>
            <w:r>
              <w:rPr>
                <w:rFonts w:hint="eastAsia" w:ascii="Times New Roman" w:hAnsi="Times New Roman" w:eastAsia="宋体"/>
                <w:b/>
                <w:bCs w:val="0"/>
                <w:color w:val="auto"/>
                <w:sz w:val="24"/>
                <w:szCs w:val="24"/>
                <w:highlight w:val="none"/>
                <w:shd w:val="clear" w:color="auto" w:fill="auto"/>
              </w:rPr>
              <w:t>、非正常工况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color w:val="auto"/>
                <w:sz w:val="21"/>
                <w:szCs w:val="21"/>
                <w:highlight w:val="none"/>
                <w:shd w:val="clear" w:color="auto" w:fill="auto"/>
              </w:rPr>
            </w:pPr>
            <w:r>
              <w:rPr>
                <w:rFonts w:hint="eastAsia" w:ascii="Times New Roman" w:hAnsi="Times New Roman" w:eastAsia="宋体"/>
                <w:b w:val="0"/>
                <w:bCs/>
                <w:color w:val="auto"/>
                <w:sz w:val="24"/>
                <w:szCs w:val="24"/>
                <w:highlight w:val="none"/>
                <w:shd w:val="clear" w:color="auto" w:fill="auto"/>
              </w:rPr>
              <w:t>本项目非正常工况主要是污染物排放控制措施达不到应有效率，本报告按照处理效率为0%计算，造成排气筒废气中废气污染物未经净化直接排放，其排放情况如下表所示。</w:t>
            </w:r>
          </w:p>
          <w:p>
            <w:pPr>
              <w:adjustRightInd w:val="0"/>
              <w:snapToGrid w:val="0"/>
              <w:spacing w:line="240" w:lineRule="auto"/>
              <w:jc w:val="center"/>
              <w:rPr>
                <w:rFonts w:hint="eastAsia" w:ascii="Times New Roman" w:hAnsi="Times New Roman" w:eastAsia="宋体"/>
                <w:b/>
                <w:color w:val="auto"/>
                <w:sz w:val="21"/>
                <w:szCs w:val="21"/>
                <w:highlight w:val="none"/>
                <w:shd w:val="clear" w:color="auto" w:fill="auto"/>
              </w:rPr>
            </w:pPr>
            <w:r>
              <w:rPr>
                <w:rFonts w:hint="eastAsia" w:ascii="Times New Roman" w:hAnsi="Times New Roman" w:eastAsia="宋体"/>
                <w:b/>
                <w:color w:val="auto"/>
                <w:sz w:val="21"/>
                <w:szCs w:val="21"/>
                <w:highlight w:val="none"/>
                <w:shd w:val="clear" w:color="auto" w:fill="auto"/>
              </w:rPr>
              <w:t>表4-</w:t>
            </w:r>
            <w:r>
              <w:rPr>
                <w:rFonts w:hint="eastAsia" w:ascii="Times New Roman" w:hAnsi="Times New Roman" w:eastAsia="宋体"/>
                <w:b/>
                <w:color w:val="auto"/>
                <w:sz w:val="21"/>
                <w:szCs w:val="21"/>
                <w:highlight w:val="none"/>
                <w:shd w:val="clear" w:color="auto" w:fill="auto"/>
                <w:lang w:val="en-US" w:eastAsia="zh-CN"/>
              </w:rPr>
              <w:t>4</w:t>
            </w:r>
            <w:r>
              <w:rPr>
                <w:rFonts w:hint="eastAsia" w:ascii="Times New Roman" w:hAnsi="Times New Roman" w:eastAsia="宋体"/>
                <w:b/>
                <w:color w:val="auto"/>
                <w:sz w:val="21"/>
                <w:szCs w:val="21"/>
                <w:highlight w:val="none"/>
                <w:shd w:val="clear" w:color="auto" w:fill="auto"/>
              </w:rPr>
              <w:t xml:space="preserve">  </w:t>
            </w:r>
            <w:r>
              <w:rPr>
                <w:rFonts w:hint="eastAsia" w:ascii="Times New Roman" w:hAnsi="Times New Roman" w:eastAsia="宋体"/>
                <w:b/>
                <w:color w:val="auto"/>
                <w:sz w:val="21"/>
                <w:szCs w:val="21"/>
                <w:highlight w:val="none"/>
                <w:shd w:val="clear" w:color="auto" w:fill="auto"/>
                <w:lang w:val="en-US" w:eastAsia="zh-CN"/>
              </w:rPr>
              <w:t xml:space="preserve">  </w:t>
            </w:r>
            <w:r>
              <w:rPr>
                <w:rFonts w:hint="eastAsia" w:ascii="Times New Roman" w:hAnsi="Times New Roman" w:eastAsia="宋体"/>
                <w:b/>
                <w:color w:val="auto"/>
                <w:sz w:val="21"/>
                <w:szCs w:val="21"/>
                <w:highlight w:val="none"/>
                <w:shd w:val="clear" w:color="auto" w:fill="auto"/>
              </w:rPr>
              <w:t>本项目废气非正常工况污染物排放统计表</w:t>
            </w:r>
          </w:p>
          <w:tbl>
            <w:tblPr>
              <w:tblStyle w:val="58"/>
              <w:tblW w:w="494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83"/>
              <w:gridCol w:w="1155"/>
              <w:gridCol w:w="1900"/>
              <w:gridCol w:w="1295"/>
              <w:gridCol w:w="1180"/>
              <w:gridCol w:w="890"/>
              <w:gridCol w:w="10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4"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名称</w:t>
                  </w:r>
                </w:p>
              </w:tc>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污染物种类</w:t>
                  </w:r>
                </w:p>
              </w:tc>
              <w:tc>
                <w:tcPr>
                  <w:tcW w:w="11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非正常排放原因</w:t>
                  </w:r>
                </w:p>
              </w:tc>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排放量</w:t>
                  </w:r>
                </w:p>
              </w:tc>
              <w:tc>
                <w:tcPr>
                  <w:tcW w:w="197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非正常排放状况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1" w:hRule="atLeast"/>
                <w:jc w:val="center"/>
              </w:trPr>
              <w:tc>
                <w:tcPr>
                  <w:tcW w:w="302" w:type="pct"/>
                  <w:vMerge w:val="continue"/>
                  <w:tcBorders>
                    <w:tl2br w:val="nil"/>
                    <w:tr2bl w:val="nil"/>
                  </w:tcBorders>
                  <w:noWrap w:val="0"/>
                  <w:textDirection w:val="tbRlV"/>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11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浓度（mg/m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速率（kg/h）</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频次及持续时间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DA001</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颗粒物</w:t>
                  </w:r>
                </w:p>
              </w:tc>
              <w:tc>
                <w:tcPr>
                  <w:tcW w:w="11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废气处理设施出现故障，处理效率为0%</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0.4465kg/a</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0.02233</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0.0002233</w:t>
                  </w:r>
                </w:p>
              </w:tc>
              <w:tc>
                <w:tcPr>
                  <w:tcW w:w="6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val="en-US" w:eastAsia="zh-CN"/>
                    </w:rPr>
                    <w:t>次/年，1h/次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1"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72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lang w:val="en-US" w:eastAsia="zh-CN"/>
                    </w:rPr>
                    <w:t>锡及其化合物</w:t>
                  </w:r>
                </w:p>
              </w:tc>
              <w:tc>
                <w:tcPr>
                  <w:tcW w:w="11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0.03206kg/a</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0.001603</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0.00001603</w:t>
                  </w:r>
                </w:p>
              </w:tc>
              <w:tc>
                <w:tcPr>
                  <w:tcW w:w="6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72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lang w:val="en-US" w:eastAsia="zh-CN"/>
                    </w:rPr>
                    <w:t>异丙醇</w:t>
                  </w:r>
                </w:p>
              </w:tc>
              <w:tc>
                <w:tcPr>
                  <w:tcW w:w="11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1.0688t/a</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53.44</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0.5344</w:t>
                  </w:r>
                </w:p>
              </w:tc>
              <w:tc>
                <w:tcPr>
                  <w:tcW w:w="6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72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lang w:val="en-US" w:eastAsia="zh-CN"/>
                    </w:rPr>
                    <w:t>二甲苯</w:t>
                  </w:r>
                </w:p>
              </w:tc>
              <w:tc>
                <w:tcPr>
                  <w:tcW w:w="11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0.3658t/a</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18.29</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0.1829</w:t>
                  </w:r>
                </w:p>
              </w:tc>
              <w:tc>
                <w:tcPr>
                  <w:tcW w:w="6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9"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VOCs</w:t>
                  </w:r>
                </w:p>
              </w:tc>
              <w:tc>
                <w:tcPr>
                  <w:tcW w:w="11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3.0149t/a</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150.75</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1.5075</w:t>
                  </w:r>
                </w:p>
              </w:tc>
              <w:tc>
                <w:tcPr>
                  <w:tcW w:w="6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b/>
                <w:bCs w:val="0"/>
                <w:color w:val="auto"/>
                <w:sz w:val="24"/>
                <w:szCs w:val="24"/>
                <w:highlight w:val="none"/>
                <w:shd w:val="clear" w:color="auto" w:fill="auto"/>
              </w:rPr>
            </w:pPr>
            <w:r>
              <w:rPr>
                <w:rFonts w:hint="eastAsia" w:ascii="Times New Roman" w:hAnsi="Times New Roman" w:eastAsia="宋体"/>
                <w:b/>
                <w:bCs w:val="0"/>
                <w:color w:val="auto"/>
                <w:sz w:val="24"/>
                <w:szCs w:val="24"/>
                <w:highlight w:val="none"/>
                <w:shd w:val="clear" w:color="auto" w:fill="auto"/>
              </w:rPr>
              <w:t>应对措施：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color w:val="auto"/>
                <w:sz w:val="24"/>
                <w:szCs w:val="24"/>
                <w:highlight w:val="none"/>
                <w:shd w:val="clear" w:color="auto" w:fill="auto"/>
              </w:rPr>
            </w:pPr>
            <w:r>
              <w:rPr>
                <w:rFonts w:hint="eastAsia" w:ascii="Times New Roman" w:hAnsi="Times New Roman" w:eastAsia="宋体"/>
                <w:b w:val="0"/>
                <w:bCs/>
                <w:color w:val="auto"/>
                <w:sz w:val="24"/>
                <w:szCs w:val="24"/>
                <w:highlight w:val="none"/>
                <w:shd w:val="clear" w:color="auto" w:fill="auto"/>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color w:val="auto"/>
                <w:sz w:val="24"/>
                <w:szCs w:val="24"/>
                <w:highlight w:val="none"/>
                <w:shd w:val="clear" w:color="auto" w:fill="auto"/>
              </w:rPr>
            </w:pPr>
            <w:r>
              <w:rPr>
                <w:rFonts w:hint="eastAsia" w:ascii="Times New Roman" w:hAnsi="Times New Roman" w:eastAsia="宋体"/>
                <w:b w:val="0"/>
                <w:bCs/>
                <w:color w:val="auto"/>
                <w:sz w:val="24"/>
                <w:szCs w:val="24"/>
                <w:highlight w:val="none"/>
                <w:shd w:val="clear" w:color="auto" w:fill="auto"/>
              </w:rPr>
              <w:t>①安排专人负责环保设备的日常维护和管理，每个固定时间检查、汇报情况，及时发现废气处理设备的隐患，确保废气处理系统正常运行；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color w:val="auto"/>
                <w:sz w:val="24"/>
                <w:szCs w:val="24"/>
                <w:highlight w:val="none"/>
                <w:shd w:val="clear" w:color="auto" w:fill="auto"/>
              </w:rPr>
            </w:pPr>
            <w:r>
              <w:rPr>
                <w:rFonts w:hint="eastAsia" w:ascii="Times New Roman" w:hAnsi="Times New Roman" w:eastAsia="宋体"/>
                <w:b w:val="0"/>
                <w:bCs/>
                <w:color w:val="auto"/>
                <w:sz w:val="24"/>
                <w:szCs w:val="24"/>
                <w:highlight w:val="none"/>
                <w:shd w:val="clear" w:color="auto" w:fill="auto"/>
              </w:rPr>
              <w:t>②定期更换活性炭，确保活性炭吸附能力；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color w:val="auto"/>
                <w:sz w:val="24"/>
                <w:szCs w:val="24"/>
                <w:highlight w:val="none"/>
                <w:shd w:val="clear" w:color="auto" w:fill="auto"/>
              </w:rPr>
            </w:pPr>
            <w:r>
              <w:rPr>
                <w:rFonts w:hint="eastAsia" w:ascii="Times New Roman" w:hAnsi="Times New Roman" w:eastAsia="宋体"/>
                <w:b w:val="0"/>
                <w:bCs/>
                <w:color w:val="auto"/>
                <w:sz w:val="24"/>
                <w:szCs w:val="24"/>
                <w:highlight w:val="none"/>
                <w:shd w:val="clear" w:color="auto" w:fill="auto"/>
              </w:rPr>
              <w:t>③建立健全的环保管理机构，对环保管理人员和技术人员进行岗位培训，委托具有专业资质的环境检测单位对项目排放的各类污染物进行定期检测；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color w:val="auto"/>
                <w:sz w:val="24"/>
                <w:szCs w:val="24"/>
                <w:highlight w:val="none"/>
                <w:shd w:val="clear" w:color="auto" w:fill="auto"/>
              </w:rPr>
            </w:pPr>
            <w:r>
              <w:rPr>
                <w:rFonts w:hint="eastAsia" w:ascii="Times New Roman" w:hAnsi="Times New Roman" w:eastAsia="宋体"/>
                <w:b w:val="0"/>
                <w:bCs/>
                <w:color w:val="auto"/>
                <w:sz w:val="24"/>
                <w:szCs w:val="24"/>
                <w:highlight w:val="none"/>
                <w:shd w:val="clear" w:color="auto" w:fill="auto"/>
              </w:rPr>
              <w:t>④应定期维护、检修废气净化装置，以保持废气处理装置的净化能力和净化容量。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color w:val="auto"/>
                <w:sz w:val="24"/>
                <w:highlight w:val="none"/>
                <w:lang w:val="en-US" w:eastAsia="zh-CN"/>
              </w:rPr>
            </w:pPr>
            <w:r>
              <w:rPr>
                <w:rFonts w:hint="eastAsia" w:ascii="Times New Roman" w:hAnsi="Times New Roman" w:eastAsia="宋体"/>
                <w:b w:val="0"/>
                <w:bCs/>
                <w:color w:val="auto"/>
                <w:sz w:val="24"/>
                <w:szCs w:val="24"/>
                <w:highlight w:val="none"/>
                <w:shd w:val="clear" w:color="auto" w:fill="auto"/>
              </w:rPr>
              <w:t>⑤生产加工前，废气处理设备开启，关闭生产设备一段时间后再关闭废气处理设备，不存在有机废气突然排放的情况。</w:t>
            </w:r>
          </w:p>
          <w:p>
            <w:pPr>
              <w:keepNext w:val="0"/>
              <w:keepLines w:val="0"/>
              <w:pageBreakBefore w:val="0"/>
              <w:widowControl w:val="0"/>
              <w:tabs>
                <w:tab w:val="left" w:pos="608"/>
              </w:tabs>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8、</w:t>
            </w:r>
            <w:r>
              <w:rPr>
                <w:rFonts w:hint="default" w:ascii="Times New Roman" w:hAnsi="Times New Roman" w:cs="Times New Roman"/>
                <w:b/>
                <w:color w:val="auto"/>
                <w:sz w:val="24"/>
                <w:highlight w:val="none"/>
              </w:rPr>
              <w:t>排放口情况</w:t>
            </w:r>
          </w:p>
          <w:p>
            <w:pPr>
              <w:adjustRightInd w:val="0"/>
              <w:snapToGrid w:val="0"/>
              <w:spacing w:line="360" w:lineRule="auto"/>
              <w:ind w:firstLine="480" w:firstLineChars="200"/>
              <w:rPr>
                <w:rFonts w:hint="eastAsia"/>
                <w:b/>
                <w:color w:val="auto"/>
                <w:szCs w:val="21"/>
                <w:highlight w:val="none"/>
              </w:rPr>
            </w:pPr>
            <w:r>
              <w:rPr>
                <w:rFonts w:hint="eastAsia"/>
                <w:bCs/>
                <w:color w:val="auto"/>
                <w:sz w:val="24"/>
                <w:highlight w:val="none"/>
              </w:rPr>
              <w:t>项目废气排放口基本信息如下所示：</w:t>
            </w:r>
          </w:p>
          <w:p>
            <w:pPr>
              <w:adjustRightInd w:val="0"/>
              <w:snapToGrid w:val="0"/>
              <w:ind w:firstLine="422" w:firstLineChars="200"/>
              <w:jc w:val="center"/>
              <w:rPr>
                <w:b/>
                <w:color w:val="auto"/>
                <w:szCs w:val="21"/>
                <w:highlight w:val="none"/>
              </w:rPr>
            </w:pPr>
            <w:r>
              <w:rPr>
                <w:rFonts w:hint="eastAsia"/>
                <w:b/>
                <w:color w:val="auto"/>
                <w:szCs w:val="21"/>
                <w:highlight w:val="none"/>
              </w:rPr>
              <w:t>表4-</w:t>
            </w:r>
            <w:r>
              <w:rPr>
                <w:rFonts w:hint="eastAsia"/>
                <w:b/>
                <w:color w:val="auto"/>
                <w:szCs w:val="21"/>
                <w:highlight w:val="none"/>
                <w:lang w:val="en-US" w:eastAsia="zh-CN"/>
              </w:rPr>
              <w:t>5</w:t>
            </w:r>
            <w:r>
              <w:rPr>
                <w:rFonts w:hint="eastAsia"/>
                <w:b/>
                <w:color w:val="auto"/>
                <w:szCs w:val="21"/>
                <w:highlight w:val="none"/>
              </w:rPr>
              <w:t xml:space="preserve">    项目废气排放口基本信息一览表</w:t>
            </w:r>
          </w:p>
          <w:tbl>
            <w:tblPr>
              <w:tblStyle w:val="19"/>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9"/>
              <w:gridCol w:w="347"/>
              <w:gridCol w:w="747"/>
              <w:gridCol w:w="614"/>
              <w:gridCol w:w="585"/>
              <w:gridCol w:w="453"/>
              <w:gridCol w:w="965"/>
              <w:gridCol w:w="2091"/>
              <w:gridCol w:w="1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80" w:type="pct"/>
                  <w:gridSpan w:val="8"/>
                  <w:noWrap w:val="0"/>
                  <w:vAlign w:val="center"/>
                </w:tcPr>
                <w:p>
                  <w:pPr>
                    <w:jc w:val="center"/>
                    <w:rPr>
                      <w:rFonts w:hint="eastAsia"/>
                      <w:b/>
                      <w:bCs/>
                      <w:color w:val="auto"/>
                      <w:szCs w:val="21"/>
                      <w:highlight w:val="none"/>
                    </w:rPr>
                  </w:pPr>
                  <w:r>
                    <w:rPr>
                      <w:rFonts w:hint="eastAsia"/>
                      <w:b/>
                      <w:bCs/>
                      <w:color w:val="auto"/>
                      <w:szCs w:val="21"/>
                      <w:highlight w:val="none"/>
                    </w:rPr>
                    <w:t>排放口基本情况</w:t>
                  </w:r>
                </w:p>
              </w:tc>
              <w:tc>
                <w:tcPr>
                  <w:tcW w:w="1019" w:type="pct"/>
                  <w:vMerge w:val="restart"/>
                  <w:noWrap w:val="0"/>
                  <w:vAlign w:val="center"/>
                </w:tcPr>
                <w:p>
                  <w:pPr>
                    <w:jc w:val="center"/>
                    <w:rPr>
                      <w:rFonts w:hint="eastAsia"/>
                      <w:b/>
                      <w:bCs/>
                      <w:color w:val="auto"/>
                      <w:szCs w:val="21"/>
                      <w:highlight w:val="none"/>
                    </w:rPr>
                  </w:pPr>
                  <w:r>
                    <w:rPr>
                      <w:rFonts w:hint="eastAsia"/>
                      <w:b/>
                      <w:bCs/>
                      <w:color w:val="auto"/>
                      <w:szCs w:val="21"/>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2" w:type="pct"/>
                  <w:noWrap w:val="0"/>
                  <w:vAlign w:val="center"/>
                </w:tcPr>
                <w:p>
                  <w:pPr>
                    <w:jc w:val="center"/>
                    <w:rPr>
                      <w:rFonts w:hint="eastAsia"/>
                      <w:b/>
                      <w:bCs/>
                      <w:color w:val="auto"/>
                      <w:szCs w:val="21"/>
                      <w:highlight w:val="none"/>
                    </w:rPr>
                  </w:pPr>
                  <w:r>
                    <w:rPr>
                      <w:rFonts w:hint="eastAsia"/>
                      <w:b/>
                      <w:bCs/>
                      <w:color w:val="auto"/>
                      <w:szCs w:val="21"/>
                      <w:highlight w:val="none"/>
                    </w:rPr>
                    <w:t>排放口名称</w:t>
                  </w:r>
                </w:p>
              </w:tc>
              <w:tc>
                <w:tcPr>
                  <w:tcW w:w="215" w:type="pct"/>
                  <w:noWrap w:val="0"/>
                  <w:vAlign w:val="center"/>
                </w:tcPr>
                <w:p>
                  <w:pPr>
                    <w:jc w:val="center"/>
                    <w:rPr>
                      <w:rFonts w:hint="eastAsia"/>
                      <w:b/>
                      <w:bCs/>
                      <w:color w:val="auto"/>
                      <w:szCs w:val="21"/>
                      <w:highlight w:val="none"/>
                    </w:rPr>
                  </w:pPr>
                  <w:r>
                    <w:rPr>
                      <w:rFonts w:hint="eastAsia"/>
                      <w:b/>
                      <w:bCs/>
                      <w:color w:val="auto"/>
                      <w:szCs w:val="21"/>
                      <w:highlight w:val="none"/>
                    </w:rPr>
                    <w:t>类型</w:t>
                  </w:r>
                </w:p>
              </w:tc>
              <w:tc>
                <w:tcPr>
                  <w:tcW w:w="464" w:type="pct"/>
                  <w:noWrap w:val="0"/>
                  <w:vAlign w:val="center"/>
                </w:tcPr>
                <w:p>
                  <w:pPr>
                    <w:jc w:val="center"/>
                    <w:rPr>
                      <w:rFonts w:hint="eastAsia"/>
                      <w:b/>
                      <w:bCs/>
                      <w:color w:val="auto"/>
                      <w:szCs w:val="21"/>
                      <w:highlight w:val="none"/>
                    </w:rPr>
                  </w:pPr>
                  <w:r>
                    <w:rPr>
                      <w:rFonts w:hint="eastAsia"/>
                      <w:b/>
                      <w:bCs/>
                      <w:color w:val="auto"/>
                      <w:szCs w:val="21"/>
                      <w:highlight w:val="none"/>
                    </w:rPr>
                    <w:t>排放因子</w:t>
                  </w:r>
                </w:p>
              </w:tc>
              <w:tc>
                <w:tcPr>
                  <w:tcW w:w="381" w:type="pct"/>
                  <w:noWrap w:val="0"/>
                  <w:vAlign w:val="center"/>
                </w:tcPr>
                <w:p>
                  <w:pPr>
                    <w:jc w:val="center"/>
                    <w:rPr>
                      <w:b/>
                      <w:bCs/>
                      <w:color w:val="auto"/>
                      <w:szCs w:val="21"/>
                      <w:highlight w:val="none"/>
                    </w:rPr>
                  </w:pPr>
                  <w:r>
                    <w:rPr>
                      <w:rFonts w:hint="eastAsia"/>
                      <w:b/>
                      <w:bCs/>
                      <w:color w:val="auto"/>
                      <w:szCs w:val="21"/>
                      <w:highlight w:val="none"/>
                    </w:rPr>
                    <w:t>排气筒高度/m</w:t>
                  </w:r>
                </w:p>
              </w:tc>
              <w:tc>
                <w:tcPr>
                  <w:tcW w:w="363" w:type="pct"/>
                  <w:noWrap w:val="0"/>
                  <w:vAlign w:val="center"/>
                </w:tcPr>
                <w:p>
                  <w:pPr>
                    <w:jc w:val="center"/>
                    <w:rPr>
                      <w:rFonts w:hint="eastAsia"/>
                      <w:b/>
                      <w:bCs/>
                      <w:color w:val="auto"/>
                      <w:szCs w:val="21"/>
                      <w:highlight w:val="none"/>
                    </w:rPr>
                  </w:pPr>
                  <w:r>
                    <w:rPr>
                      <w:rFonts w:hint="eastAsia"/>
                      <w:b/>
                      <w:bCs/>
                      <w:color w:val="auto"/>
                      <w:szCs w:val="21"/>
                      <w:highlight w:val="none"/>
                    </w:rPr>
                    <w:t>排气筒内径/m</w:t>
                  </w:r>
                </w:p>
              </w:tc>
              <w:tc>
                <w:tcPr>
                  <w:tcW w:w="281" w:type="pct"/>
                  <w:noWrap w:val="0"/>
                  <w:vAlign w:val="center"/>
                </w:tcPr>
                <w:p>
                  <w:pPr>
                    <w:jc w:val="center"/>
                    <w:rPr>
                      <w:rFonts w:hint="eastAsia"/>
                      <w:b/>
                      <w:bCs/>
                      <w:color w:val="auto"/>
                      <w:szCs w:val="21"/>
                      <w:highlight w:val="none"/>
                    </w:rPr>
                  </w:pPr>
                  <w:r>
                    <w:rPr>
                      <w:rFonts w:hint="eastAsia"/>
                      <w:b/>
                      <w:bCs/>
                      <w:color w:val="auto"/>
                      <w:szCs w:val="21"/>
                      <w:highlight w:val="none"/>
                    </w:rPr>
                    <w:t>废气温度℃</w:t>
                  </w:r>
                </w:p>
              </w:tc>
              <w:tc>
                <w:tcPr>
                  <w:tcW w:w="600" w:type="pct"/>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风量m</w:t>
                  </w:r>
                  <w:r>
                    <w:rPr>
                      <w:rFonts w:hint="eastAsia"/>
                      <w:b/>
                      <w:bCs/>
                      <w:color w:val="auto"/>
                      <w:szCs w:val="21"/>
                      <w:highlight w:val="none"/>
                      <w:vertAlign w:val="superscript"/>
                      <w:lang w:val="en-US" w:eastAsia="zh-CN"/>
                    </w:rPr>
                    <w:t>3</w:t>
                  </w:r>
                  <w:r>
                    <w:rPr>
                      <w:rFonts w:hint="eastAsia"/>
                      <w:b/>
                      <w:bCs/>
                      <w:color w:val="auto"/>
                      <w:szCs w:val="21"/>
                      <w:highlight w:val="none"/>
                      <w:lang w:val="en-US" w:eastAsia="zh-CN"/>
                    </w:rPr>
                    <w:t>/h</w:t>
                  </w:r>
                </w:p>
              </w:tc>
              <w:tc>
                <w:tcPr>
                  <w:tcW w:w="1300" w:type="pct"/>
                  <w:noWrap w:val="0"/>
                  <w:vAlign w:val="center"/>
                </w:tcPr>
                <w:p>
                  <w:pPr>
                    <w:jc w:val="center"/>
                    <w:rPr>
                      <w:rFonts w:hint="eastAsia"/>
                      <w:b/>
                      <w:bCs/>
                      <w:color w:val="auto"/>
                      <w:szCs w:val="21"/>
                      <w:highlight w:val="none"/>
                    </w:rPr>
                  </w:pPr>
                  <w:r>
                    <w:rPr>
                      <w:rFonts w:hint="eastAsia"/>
                      <w:b/>
                      <w:bCs/>
                      <w:color w:val="auto"/>
                      <w:szCs w:val="21"/>
                      <w:highlight w:val="none"/>
                    </w:rPr>
                    <w:t>地理坐标</w:t>
                  </w:r>
                </w:p>
              </w:tc>
              <w:tc>
                <w:tcPr>
                  <w:tcW w:w="1019" w:type="pct"/>
                  <w:vMerge w:val="continue"/>
                  <w:noWrap w:val="0"/>
                  <w:vAlign w:val="center"/>
                </w:tcPr>
                <w:p>
                  <w:pPr>
                    <w:jc w:val="center"/>
                    <w:rPr>
                      <w:rFonts w:hint="eastAsia"/>
                      <w:b/>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9" w:hRule="atLeast"/>
              </w:trPr>
              <w:tc>
                <w:tcPr>
                  <w:tcW w:w="372" w:type="pct"/>
                  <w:noWrap w:val="0"/>
                  <w:vAlign w:val="center"/>
                </w:tcPr>
                <w:p>
                  <w:pPr>
                    <w:jc w:val="center"/>
                    <w:rPr>
                      <w:color w:val="auto"/>
                      <w:szCs w:val="21"/>
                      <w:highlight w:val="none"/>
                    </w:rPr>
                  </w:pPr>
                  <w:r>
                    <w:rPr>
                      <w:rFonts w:hint="eastAsia"/>
                      <w:color w:val="auto"/>
                      <w:szCs w:val="21"/>
                      <w:highlight w:val="none"/>
                    </w:rPr>
                    <w:t>DA001</w:t>
                  </w:r>
                </w:p>
              </w:tc>
              <w:tc>
                <w:tcPr>
                  <w:tcW w:w="215" w:type="pct"/>
                  <w:noWrap w:val="0"/>
                  <w:vAlign w:val="center"/>
                </w:tcPr>
                <w:p>
                  <w:pPr>
                    <w:jc w:val="center"/>
                    <w:rPr>
                      <w:rFonts w:hint="eastAsia"/>
                      <w:color w:val="auto"/>
                      <w:szCs w:val="21"/>
                      <w:highlight w:val="none"/>
                    </w:rPr>
                  </w:pPr>
                  <w:r>
                    <w:rPr>
                      <w:rFonts w:hint="eastAsia"/>
                      <w:color w:val="auto"/>
                      <w:szCs w:val="21"/>
                      <w:highlight w:val="none"/>
                    </w:rPr>
                    <w:t>一般排放口</w:t>
                  </w:r>
                </w:p>
              </w:tc>
              <w:tc>
                <w:tcPr>
                  <w:tcW w:w="464" w:type="pct"/>
                  <w:noWrap w:val="0"/>
                  <w:vAlign w:val="center"/>
                </w:tcPr>
                <w:p>
                  <w:pPr>
                    <w:jc w:val="center"/>
                    <w:rPr>
                      <w:rFonts w:hint="eastAsia" w:eastAsia="宋体"/>
                      <w:color w:val="auto"/>
                      <w:highlight w:val="none"/>
                      <w:lang w:eastAsia="zh-CN"/>
                    </w:rPr>
                  </w:pPr>
                  <w:r>
                    <w:rPr>
                      <w:rFonts w:hint="eastAsia" w:cs="Times New Roman"/>
                      <w:color w:val="auto"/>
                      <w:sz w:val="24"/>
                      <w:highlight w:val="none"/>
                      <w:lang w:val="en-US" w:eastAsia="zh-CN"/>
                    </w:rPr>
                    <w:t>颗粒物、锡及其化合物、异丙醇、二甲苯、VOCs</w:t>
                  </w:r>
                </w:p>
              </w:tc>
              <w:tc>
                <w:tcPr>
                  <w:tcW w:w="381" w:type="pct"/>
                  <w:noWrap w:val="0"/>
                  <w:vAlign w:val="center"/>
                </w:tcPr>
                <w:p>
                  <w:pPr>
                    <w:jc w:val="center"/>
                    <w:rPr>
                      <w:color w:val="auto"/>
                      <w:szCs w:val="21"/>
                      <w:highlight w:val="none"/>
                    </w:rPr>
                  </w:pPr>
                  <w:r>
                    <w:rPr>
                      <w:rFonts w:hint="eastAsia"/>
                      <w:color w:val="auto"/>
                      <w:szCs w:val="21"/>
                      <w:highlight w:val="none"/>
                    </w:rPr>
                    <w:t>15</w:t>
                  </w:r>
                </w:p>
              </w:tc>
              <w:tc>
                <w:tcPr>
                  <w:tcW w:w="363"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0.4</w:t>
                  </w:r>
                </w:p>
              </w:tc>
              <w:tc>
                <w:tcPr>
                  <w:tcW w:w="281" w:type="pct"/>
                  <w:noWrap w:val="0"/>
                  <w:vAlign w:val="center"/>
                </w:tcPr>
                <w:p>
                  <w:pPr>
                    <w:jc w:val="center"/>
                    <w:rPr>
                      <w:color w:val="auto"/>
                      <w:szCs w:val="21"/>
                      <w:highlight w:val="none"/>
                    </w:rPr>
                  </w:pPr>
                  <w:r>
                    <w:rPr>
                      <w:rFonts w:hint="eastAsia"/>
                      <w:color w:val="auto"/>
                      <w:szCs w:val="21"/>
                      <w:highlight w:val="none"/>
                    </w:rPr>
                    <w:t>30</w:t>
                  </w:r>
                </w:p>
              </w:tc>
              <w:tc>
                <w:tcPr>
                  <w:tcW w:w="600"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10000</w:t>
                  </w:r>
                </w:p>
              </w:tc>
              <w:tc>
                <w:tcPr>
                  <w:tcW w:w="1300"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E</w:t>
                  </w:r>
                  <w:r>
                    <w:rPr>
                      <w:rFonts w:hint="eastAsia"/>
                      <w:color w:val="auto"/>
                      <w:szCs w:val="21"/>
                      <w:highlight w:val="none"/>
                      <w:lang w:eastAsia="zh-CN"/>
                    </w:rPr>
                    <w:t>41′5.33229″，</w:t>
                  </w:r>
                  <w:r>
                    <w:rPr>
                      <w:rFonts w:hint="eastAsia"/>
                      <w:color w:val="auto"/>
                      <w:szCs w:val="21"/>
                      <w:highlight w:val="none"/>
                      <w:lang w:val="en-US" w:eastAsia="zh-CN"/>
                    </w:rPr>
                    <w:t>N</w:t>
                  </w:r>
                  <w:r>
                    <w:rPr>
                      <w:rFonts w:hint="eastAsia"/>
                      <w:color w:val="auto"/>
                      <w:szCs w:val="21"/>
                      <w:highlight w:val="none"/>
                      <w:lang w:eastAsia="zh-CN"/>
                    </w:rPr>
                    <w:t>30°43′58.60226″</w:t>
                  </w:r>
                </w:p>
              </w:tc>
              <w:tc>
                <w:tcPr>
                  <w:tcW w:w="1019" w:type="pct"/>
                  <w:noWrap w:val="0"/>
                  <w:vAlign w:val="center"/>
                </w:tcPr>
                <w:p>
                  <w:pPr>
                    <w:jc w:val="center"/>
                    <w:rPr>
                      <w:color w:val="auto"/>
                      <w:szCs w:val="21"/>
                      <w:highlight w:val="none"/>
                    </w:rPr>
                  </w:pPr>
                  <w:r>
                    <w:rPr>
                      <w:rFonts w:hint="eastAsia" w:cs="Times New Roman"/>
                      <w:color w:val="auto"/>
                      <w:sz w:val="21"/>
                      <w:szCs w:val="21"/>
                      <w:highlight w:val="none"/>
                      <w:lang w:val="en-US" w:eastAsia="zh-CN"/>
                    </w:rPr>
                    <w:t>执行</w:t>
                  </w:r>
                  <w:r>
                    <w:rPr>
                      <w:rFonts w:hint="eastAsia"/>
                      <w:color w:val="auto"/>
                      <w:sz w:val="21"/>
                      <w:szCs w:val="21"/>
                      <w:highlight w:val="none"/>
                    </w:rPr>
                    <w:t>《四川省固定污染源大气挥发性有机物排放标准》（DB51/2377-2017）</w:t>
                  </w:r>
                  <w:r>
                    <w:rPr>
                      <w:rFonts w:hint="eastAsia"/>
                      <w:color w:val="auto"/>
                      <w:sz w:val="21"/>
                      <w:szCs w:val="21"/>
                      <w:highlight w:val="none"/>
                      <w:lang w:eastAsia="zh-CN"/>
                    </w:rPr>
                    <w:t>；</w:t>
                  </w:r>
                  <w:r>
                    <w:rPr>
                      <w:rFonts w:hint="eastAsia"/>
                      <w:color w:val="auto"/>
                      <w:sz w:val="21"/>
                      <w:szCs w:val="21"/>
                      <w:highlight w:val="none"/>
                    </w:rPr>
                    <w:t>《大气污</w:t>
                  </w:r>
                  <w:r>
                    <w:rPr>
                      <w:rFonts w:hint="eastAsia"/>
                      <w:color w:val="auto"/>
                      <w:szCs w:val="21"/>
                      <w:highlight w:val="none"/>
                    </w:rPr>
                    <w:t>染物综合排放标准》(GB16297-1996)表2二级标准</w:t>
                  </w:r>
                </w:p>
              </w:tc>
            </w:tr>
          </w:tbl>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9、</w:t>
            </w:r>
            <w:r>
              <w:rPr>
                <w:rFonts w:hint="default" w:ascii="Times New Roman" w:hAnsi="Times New Roman" w:cs="Times New Roman"/>
                <w:b/>
                <w:color w:val="auto"/>
                <w:sz w:val="24"/>
                <w:highlight w:val="none"/>
              </w:rPr>
              <w:t>监测计划</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根据本企业的排污特点</w:t>
            </w:r>
            <w:r>
              <w:rPr>
                <w:rFonts w:hint="eastAsia" w:ascii="Times New Roman" w:hAnsi="Times New Roman" w:cs="Times New Roman"/>
                <w:color w:val="auto"/>
                <w:sz w:val="24"/>
                <w:highlight w:val="none"/>
                <w:lang w:eastAsia="zh-CN"/>
              </w:rPr>
              <w:t>，参照</w:t>
            </w:r>
            <w:r>
              <w:rPr>
                <w:rFonts w:hint="default" w:ascii="Times New Roman" w:hAnsi="Times New Roman" w:cs="Times New Roman"/>
                <w:b w:val="0"/>
                <w:bCs/>
                <w:color w:val="auto"/>
                <w:sz w:val="24"/>
                <w:highlight w:val="none"/>
                <w:lang w:eastAsia="zh-CN"/>
              </w:rPr>
              <w:t>《排污许可证申请与核发技术规范</w:t>
            </w:r>
            <w:r>
              <w:rPr>
                <w:rFonts w:hint="default" w:ascii="Times New Roman" w:hAnsi="Times New Roman" w:cs="Times New Roman"/>
                <w:b w:val="0"/>
                <w:bCs/>
                <w:color w:val="auto"/>
                <w:sz w:val="24"/>
                <w:highlight w:val="none"/>
                <w:lang w:val="en-US" w:eastAsia="zh-CN"/>
              </w:rPr>
              <w:t xml:space="preserve"> </w:t>
            </w:r>
            <w:r>
              <w:rPr>
                <w:rFonts w:hint="eastAsia" w:ascii="Times New Roman" w:hAnsi="Times New Roman" w:cs="Times New Roman"/>
                <w:b w:val="0"/>
                <w:bCs/>
                <w:color w:val="auto"/>
                <w:sz w:val="24"/>
                <w:highlight w:val="none"/>
                <w:lang w:val="en-US" w:eastAsia="zh-CN"/>
              </w:rPr>
              <w:t>电子工业</w:t>
            </w:r>
            <w:r>
              <w:rPr>
                <w:rFonts w:hint="default" w:ascii="Times New Roman" w:hAnsi="Times New Roman" w:cs="Times New Roman"/>
                <w:b w:val="0"/>
                <w:bCs/>
                <w:color w:val="auto"/>
                <w:sz w:val="24"/>
                <w:highlight w:val="none"/>
                <w:lang w:eastAsia="zh-CN"/>
              </w:rPr>
              <w:t>》（HJ1031-2019）</w:t>
            </w:r>
            <w:r>
              <w:rPr>
                <w:rFonts w:hint="eastAsia" w:ascii="Times New Roman" w:hAnsi="Times New Roman" w:cs="Times New Roman"/>
                <w:b w:val="0"/>
                <w:bCs/>
                <w:color w:val="auto"/>
                <w:sz w:val="24"/>
                <w:highlight w:val="none"/>
                <w:lang w:eastAsia="zh-CN"/>
              </w:rPr>
              <w:t>简化管理</w:t>
            </w:r>
            <w:r>
              <w:rPr>
                <w:rFonts w:hint="default" w:ascii="Times New Roman" w:hAnsi="Times New Roman" w:cs="Times New Roman"/>
                <w:color w:val="auto"/>
                <w:sz w:val="24"/>
                <w:highlight w:val="none"/>
              </w:rPr>
              <w:t>，确定本项目废气监测点位、监测因子及监测频率。监测要求见下表。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pacing w:val="-10"/>
                <w:szCs w:val="21"/>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pacing w:val="-10"/>
                <w:szCs w:val="21"/>
                <w:highlight w:val="none"/>
              </w:rPr>
            </w:pPr>
            <w:r>
              <w:rPr>
                <w:rFonts w:hint="default" w:ascii="Times New Roman" w:hAnsi="Times New Roman" w:cs="Times New Roman"/>
                <w:b/>
                <w:color w:val="auto"/>
                <w:spacing w:val="-10"/>
                <w:szCs w:val="21"/>
                <w:highlight w:val="none"/>
              </w:rPr>
              <w:t>表4-</w:t>
            </w:r>
            <w:r>
              <w:rPr>
                <w:rFonts w:hint="eastAsia" w:cs="Times New Roman"/>
                <w:b/>
                <w:color w:val="auto"/>
                <w:spacing w:val="-10"/>
                <w:szCs w:val="21"/>
                <w:highlight w:val="none"/>
                <w:lang w:val="en-US" w:eastAsia="zh-CN"/>
              </w:rPr>
              <w:t>6</w:t>
            </w:r>
            <w:r>
              <w:rPr>
                <w:rFonts w:hint="default" w:ascii="Times New Roman" w:hAnsi="Times New Roman" w:cs="Times New Roman"/>
                <w:b/>
                <w:color w:val="auto"/>
                <w:spacing w:val="-10"/>
                <w:szCs w:val="21"/>
                <w:highlight w:val="none"/>
              </w:rPr>
              <w:t xml:space="preserve"> </w:t>
            </w:r>
            <w:r>
              <w:rPr>
                <w:rFonts w:hint="eastAsia" w:ascii="Times New Roman" w:hAnsi="Times New Roman" w:cs="Times New Roman"/>
                <w:b/>
                <w:color w:val="auto"/>
                <w:spacing w:val="-10"/>
                <w:szCs w:val="21"/>
                <w:highlight w:val="none"/>
                <w:lang w:val="en-US" w:eastAsia="zh-CN"/>
              </w:rPr>
              <w:t xml:space="preserve"> </w:t>
            </w:r>
            <w:r>
              <w:rPr>
                <w:rFonts w:hint="eastAsia" w:ascii="Times New Roman" w:hAnsi="Times New Roman" w:cs="Times New Roman"/>
                <w:b/>
                <w:color w:val="auto"/>
                <w:spacing w:val="-10"/>
                <w:szCs w:val="21"/>
                <w:highlight w:val="none"/>
                <w:lang w:eastAsia="zh-CN"/>
              </w:rPr>
              <w:t>本项目废气</w:t>
            </w:r>
            <w:r>
              <w:rPr>
                <w:rFonts w:hint="default" w:ascii="Times New Roman" w:hAnsi="Times New Roman" w:cs="Times New Roman"/>
                <w:b/>
                <w:color w:val="auto"/>
                <w:spacing w:val="-10"/>
                <w:szCs w:val="21"/>
                <w:highlight w:val="none"/>
              </w:rPr>
              <w:t>监测点位、监测指标及最低监测频次一览表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008"/>
              <w:gridCol w:w="1086"/>
              <w:gridCol w:w="2663"/>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244"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673"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监测点数</w:t>
                  </w:r>
                </w:p>
              </w:tc>
              <w:tc>
                <w:tcPr>
                  <w:tcW w:w="1650"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642"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noWrap w:val="0"/>
                  <w:vAlign w:val="center"/>
                </w:tcPr>
                <w:p>
                  <w:pPr>
                    <w:spacing w:line="240" w:lineRule="auto"/>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有组织废气</w:t>
                  </w:r>
                </w:p>
              </w:tc>
              <w:tc>
                <w:tcPr>
                  <w:tcW w:w="1244"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排气筒</w:t>
                  </w:r>
                  <w:r>
                    <w:rPr>
                      <w:rFonts w:hint="default" w:ascii="Times New Roman" w:hAnsi="Times New Roman" w:cs="Times New Roman"/>
                      <w:color w:val="auto"/>
                      <w:sz w:val="21"/>
                      <w:szCs w:val="21"/>
                      <w:highlight w:val="none"/>
                      <w:lang w:val="en-US" w:eastAsia="zh-CN"/>
                    </w:rPr>
                    <w:t>DA001</w:t>
                  </w:r>
                </w:p>
              </w:tc>
              <w:tc>
                <w:tcPr>
                  <w:tcW w:w="673"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650"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颗粒物、锡及其化合物、异丙醇、二甲苯、VOCs</w:t>
                  </w:r>
                </w:p>
              </w:tc>
              <w:tc>
                <w:tcPr>
                  <w:tcW w:w="642" w:type="pct"/>
                  <w:noWrap w:val="0"/>
                  <w:vAlign w:val="center"/>
                </w:tcPr>
                <w:p>
                  <w:pPr>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noWrap w:val="0"/>
                  <w:vAlign w:val="center"/>
                </w:tcPr>
                <w:p>
                  <w:pPr>
                    <w:pStyle w:val="1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无组织废气</w:t>
                  </w:r>
                </w:p>
              </w:tc>
              <w:tc>
                <w:tcPr>
                  <w:tcW w:w="1244" w:type="pct"/>
                  <w:noWrap w:val="0"/>
                  <w:vAlign w:val="center"/>
                </w:tcPr>
                <w:p>
                  <w:pPr>
                    <w:pStyle w:val="1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w:t>
                  </w:r>
                  <w:r>
                    <w:rPr>
                      <w:rFonts w:hint="default" w:ascii="Times New Roman" w:hAnsi="Times New Roman" w:cs="Times New Roman"/>
                      <w:color w:val="auto"/>
                      <w:sz w:val="21"/>
                      <w:szCs w:val="21"/>
                      <w:highlight w:val="none"/>
                      <w:lang w:val="en-US" w:eastAsia="zh-CN"/>
                    </w:rPr>
                    <w:t>最高浓度点</w:t>
                  </w:r>
                </w:p>
              </w:tc>
              <w:tc>
                <w:tcPr>
                  <w:tcW w:w="673" w:type="pct"/>
                  <w:noWrap w:val="0"/>
                  <w:vAlign w:val="center"/>
                </w:tcPr>
                <w:p>
                  <w:pPr>
                    <w:pStyle w:val="1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1650" w:type="pct"/>
                  <w:noWrap w:val="0"/>
                  <w:vAlign w:val="center"/>
                </w:tcPr>
                <w:p>
                  <w:pPr>
                    <w:pStyle w:val="10"/>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颗粒物、锡及其化合物、异丙醇、二甲苯、VOCs</w:t>
                  </w:r>
                </w:p>
              </w:tc>
              <w:tc>
                <w:tcPr>
                  <w:tcW w:w="642" w:type="pct"/>
                  <w:noWrap w:val="0"/>
                  <w:vAlign w:val="center"/>
                </w:tcPr>
                <w:p>
                  <w:pPr>
                    <w:spacing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1次/年</w:t>
                  </w:r>
                </w:p>
              </w:tc>
            </w:tr>
          </w:tbl>
          <w:p>
            <w:pPr>
              <w:adjustRightInd w:val="0"/>
              <w:snapToGrid w:val="0"/>
              <w:spacing w:line="360" w:lineRule="auto"/>
              <w:ind w:firstLine="482" w:firstLineChars="200"/>
              <w:rPr>
                <w:rFonts w:hint="default" w:ascii="Times New Roman" w:hAnsi="Times New Roman" w:cs="Times New Roman"/>
                <w:b w:val="0"/>
                <w:bCs/>
                <w:color w:val="auto"/>
                <w:sz w:val="24"/>
                <w:highlight w:val="none"/>
              </w:rPr>
            </w:pPr>
            <w:r>
              <w:rPr>
                <w:rFonts w:hint="eastAsia" w:cs="Times New Roman"/>
                <w:b/>
                <w:color w:val="auto"/>
                <w:sz w:val="24"/>
                <w:highlight w:val="none"/>
                <w:lang w:val="en-US" w:eastAsia="zh-CN"/>
              </w:rPr>
              <w:t>10、达标排放可行性分析</w:t>
            </w:r>
          </w:p>
          <w:p>
            <w:pPr>
              <w:keepNext w:val="0"/>
              <w:keepLines w:val="0"/>
              <w:pageBreakBefore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位于工业园区内</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西南侧258m分布有</w:t>
            </w:r>
            <w:r>
              <w:rPr>
                <w:rFonts w:hint="default" w:ascii="Times New Roman" w:hAnsi="Times New Roman" w:cs="Times New Roman"/>
                <w:bCs/>
                <w:color w:val="auto"/>
                <w:sz w:val="24"/>
                <w:szCs w:val="24"/>
                <w:highlight w:val="none"/>
                <w:lang w:val="en-US" w:eastAsia="zh-CN"/>
              </w:rPr>
              <w:t>学校</w:t>
            </w:r>
            <w:r>
              <w:rPr>
                <w:rFonts w:hint="eastAsia" w:cs="Times New Roman"/>
                <w:color w:val="auto"/>
                <w:sz w:val="24"/>
                <w:highlight w:val="none"/>
                <w:lang w:val="en-US" w:eastAsia="zh-CN"/>
              </w:rPr>
              <w:t>，产生的颗粒物、锡及其化合物、异丙醇、二甲苯、VOCs等污染物</w:t>
            </w:r>
            <w:r>
              <w:rPr>
                <w:rFonts w:hint="default" w:ascii="Times New Roman" w:hAnsi="Times New Roman" w:cs="Times New Roman"/>
                <w:color w:val="auto"/>
                <w:sz w:val="24"/>
                <w:highlight w:val="none"/>
              </w:rPr>
              <w:t>经集气罩</w:t>
            </w:r>
            <w:r>
              <w:rPr>
                <w:rFonts w:hint="eastAsia" w:cs="Times New Roman"/>
                <w:color w:val="auto"/>
                <w:sz w:val="24"/>
                <w:highlight w:val="none"/>
                <w:lang w:val="en-US" w:eastAsia="zh-CN"/>
              </w:rPr>
              <w:t>/封闭设备集气管收集</w:t>
            </w:r>
            <w:r>
              <w:rPr>
                <w:rFonts w:hint="default" w:ascii="Times New Roman" w:hAnsi="Times New Roman" w:cs="Times New Roman"/>
                <w:color w:val="auto"/>
                <w:sz w:val="24"/>
                <w:highlight w:val="none"/>
              </w:rPr>
              <w:t>+过滤棉+二级活性炭吸附装置+15m排气筒（DA001）</w:t>
            </w:r>
            <w:r>
              <w:rPr>
                <w:rFonts w:hint="eastAsia" w:cs="Times New Roman"/>
                <w:color w:val="auto"/>
                <w:sz w:val="24"/>
                <w:highlight w:val="none"/>
                <w:lang w:val="en-US" w:eastAsia="zh-CN"/>
              </w:rPr>
              <w:t>可实现达标</w:t>
            </w:r>
            <w:r>
              <w:rPr>
                <w:rFonts w:hint="default" w:ascii="Times New Roman" w:hAnsi="Times New Roman" w:cs="Times New Roman"/>
                <w:color w:val="auto"/>
                <w:sz w:val="24"/>
                <w:highlight w:val="none"/>
              </w:rPr>
              <w:t>排放</w:t>
            </w:r>
            <w:r>
              <w:rPr>
                <w:rFonts w:hint="eastAsia"/>
                <w:color w:val="auto"/>
                <w:highlight w:val="none"/>
                <w:lang w:eastAsia="zh-CN"/>
              </w:rPr>
              <w:t>。</w:t>
            </w:r>
            <w:r>
              <w:rPr>
                <w:rFonts w:hint="default" w:ascii="Times New Roman" w:hAnsi="Times New Roman" w:cs="Times New Roman"/>
                <w:color w:val="auto"/>
                <w:sz w:val="24"/>
                <w:highlight w:val="none"/>
              </w:rPr>
              <w:t>整体而言本项目污染源源强弱，不会对周边的大气环境造成明显影响。</w:t>
            </w:r>
          </w:p>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二、废水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kern w:val="0"/>
                <w:sz w:val="24"/>
                <w:highlight w:val="none"/>
                <w:lang w:val="en-US"/>
              </w:rPr>
            </w:pPr>
            <w:r>
              <w:rPr>
                <w:rFonts w:hint="default" w:ascii="Times New Roman" w:hAnsi="Times New Roman" w:cs="Times New Roman"/>
                <w:b/>
                <w:color w:val="auto"/>
                <w:kern w:val="0"/>
                <w:sz w:val="24"/>
                <w:highlight w:val="none"/>
              </w:rPr>
              <w:t>1、废水产</w:t>
            </w:r>
            <w:r>
              <w:rPr>
                <w:rFonts w:hint="default" w:ascii="Times New Roman" w:hAnsi="Times New Roman" w:cs="Times New Roman"/>
                <w:b/>
                <w:color w:val="auto"/>
                <w:kern w:val="0"/>
                <w:sz w:val="24"/>
                <w:highlight w:val="none"/>
                <w:lang w:eastAsia="zh-CN"/>
              </w:rPr>
              <w:t>排分析</w:t>
            </w:r>
            <w:r>
              <w:rPr>
                <w:rFonts w:hint="eastAsia" w:ascii="Times New Roman" w:hAnsi="Times New Roman" w:cs="Times New Roman"/>
                <w:b/>
                <w:color w:val="auto"/>
                <w:kern w:val="0"/>
                <w:sz w:val="24"/>
                <w:highlight w:val="none"/>
                <w:lang w:val="en-US" w:eastAsia="zh-CN"/>
              </w:rPr>
              <w:t xml:space="preserve"> </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bCs/>
                <w:color w:val="auto"/>
                <w:kern w:val="0"/>
                <w:sz w:val="24"/>
                <w:highlight w:val="none"/>
              </w:rPr>
              <w:t>（1）员工生活污水：本项目员工25人，均为赤城镇当地居民，厂区不设置宿舍，根据《四川省用水定额》（川府函【2021】8号），本项目员工生活用水量按50L/（人·d），则本项目员工生活用水量为1.25m</w:t>
            </w:r>
            <w:r>
              <w:rPr>
                <w:rFonts w:hint="default" w:ascii="Times New Roman" w:hAnsi="Times New Roman" w:cs="Times New Roman"/>
                <w:bCs/>
                <w:color w:val="auto"/>
                <w:kern w:val="0"/>
                <w:sz w:val="24"/>
                <w:highlight w:val="none"/>
                <w:vertAlign w:val="superscript"/>
              </w:rPr>
              <w:t>3</w:t>
            </w:r>
            <w:r>
              <w:rPr>
                <w:rFonts w:hint="default" w:ascii="Times New Roman" w:hAnsi="Times New Roman" w:cs="Times New Roman"/>
                <w:bCs/>
                <w:color w:val="auto"/>
                <w:kern w:val="0"/>
                <w:sz w:val="24"/>
                <w:highlight w:val="none"/>
              </w:rPr>
              <w:t>/d，312.5m</w:t>
            </w:r>
            <w:r>
              <w:rPr>
                <w:rFonts w:hint="default" w:ascii="Times New Roman" w:hAnsi="Times New Roman" w:cs="Times New Roman"/>
                <w:bCs/>
                <w:color w:val="auto"/>
                <w:kern w:val="0"/>
                <w:sz w:val="24"/>
                <w:highlight w:val="none"/>
                <w:vertAlign w:val="superscript"/>
              </w:rPr>
              <w:t>3</w:t>
            </w:r>
            <w:r>
              <w:rPr>
                <w:rFonts w:hint="default" w:ascii="Times New Roman" w:hAnsi="Times New Roman" w:cs="Times New Roman"/>
                <w:bCs/>
                <w:color w:val="auto"/>
                <w:kern w:val="0"/>
                <w:sz w:val="24"/>
                <w:highlight w:val="none"/>
              </w:rPr>
              <w:t>/a；废水排</w:t>
            </w:r>
            <w:r>
              <w:rPr>
                <w:rFonts w:hint="eastAsia" w:ascii="Times New Roman" w:hAnsi="Times New Roman" w:cs="Times New Roman"/>
                <w:bCs/>
                <w:color w:val="auto"/>
                <w:kern w:val="0"/>
                <w:sz w:val="24"/>
                <w:highlight w:val="none"/>
                <w:lang w:val="en-US" w:eastAsia="zh-CN"/>
              </w:rPr>
              <w:t>污</w:t>
            </w:r>
            <w:r>
              <w:rPr>
                <w:rFonts w:hint="default" w:ascii="Times New Roman" w:hAnsi="Times New Roman" w:cs="Times New Roman"/>
                <w:bCs/>
                <w:color w:val="auto"/>
                <w:kern w:val="0"/>
                <w:sz w:val="24"/>
                <w:highlight w:val="none"/>
              </w:rPr>
              <w:t>系数按80%计，则本项目员工生活污水排放量为1m</w:t>
            </w:r>
            <w:r>
              <w:rPr>
                <w:rFonts w:hint="default" w:ascii="Times New Roman" w:hAnsi="Times New Roman" w:cs="Times New Roman"/>
                <w:bCs/>
                <w:color w:val="auto"/>
                <w:kern w:val="0"/>
                <w:sz w:val="24"/>
                <w:highlight w:val="none"/>
                <w:vertAlign w:val="superscript"/>
              </w:rPr>
              <w:t>3</w:t>
            </w:r>
            <w:r>
              <w:rPr>
                <w:rFonts w:hint="default" w:ascii="Times New Roman" w:hAnsi="Times New Roman" w:cs="Times New Roman"/>
                <w:bCs/>
                <w:color w:val="auto"/>
                <w:kern w:val="0"/>
                <w:sz w:val="24"/>
                <w:highlight w:val="none"/>
              </w:rPr>
              <w:t>/d，250m</w:t>
            </w:r>
            <w:r>
              <w:rPr>
                <w:rFonts w:hint="default" w:ascii="Times New Roman" w:hAnsi="Times New Roman" w:cs="Times New Roman"/>
                <w:bCs/>
                <w:color w:val="auto"/>
                <w:kern w:val="0"/>
                <w:sz w:val="24"/>
                <w:highlight w:val="none"/>
                <w:vertAlign w:val="superscript"/>
              </w:rPr>
              <w:t>3</w:t>
            </w:r>
            <w:r>
              <w:rPr>
                <w:rFonts w:hint="default" w:ascii="Times New Roman" w:hAnsi="Times New Roman" w:cs="Times New Roman"/>
                <w:bCs/>
                <w:color w:val="auto"/>
                <w:kern w:val="0"/>
                <w:sz w:val="24"/>
                <w:highlight w:val="none"/>
              </w:rPr>
              <w:t>/a</w:t>
            </w:r>
            <w:r>
              <w:rPr>
                <w:rFonts w:hint="default" w:ascii="Times New Roman" w:hAnsi="Times New Roman" w:cs="Times New Roman"/>
                <w:bCs/>
                <w:color w:val="auto"/>
                <w:sz w:val="24"/>
                <w:highlight w:val="none"/>
              </w:rPr>
              <w:t>生活污水排放量按生活用水量的80%计，则生活污水产生量为</w:t>
            </w:r>
            <w:r>
              <w:rPr>
                <w:rFonts w:hint="eastAsia" w:cs="Times New Roman"/>
                <w:bCs/>
                <w:color w:val="auto"/>
                <w:sz w:val="24"/>
                <w:highlight w:val="none"/>
                <w:lang w:val="en-US" w:eastAsia="zh-CN"/>
              </w:rPr>
              <w:t>1</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25</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bCs/>
                <w:color w:val="auto"/>
                <w:sz w:val="24"/>
                <w:highlight w:val="none"/>
              </w:rPr>
              <w:t>。</w:t>
            </w:r>
          </w:p>
          <w:p>
            <w:pPr>
              <w:spacing w:line="360" w:lineRule="auto"/>
              <w:ind w:firstLine="482" w:firstLineChars="200"/>
              <w:rPr>
                <w:rFonts w:hint="default" w:ascii="Times New Roman" w:hAnsi="Times New Roman" w:cs="Times New Roman"/>
                <w:bCs/>
                <w:color w:val="auto"/>
                <w:kern w:val="0"/>
                <w:sz w:val="24"/>
                <w:highlight w:val="none"/>
              </w:rPr>
            </w:pPr>
            <w:r>
              <w:rPr>
                <w:rFonts w:hint="default" w:ascii="Times New Roman" w:hAnsi="Times New Roman" w:eastAsia="宋体" w:cs="Times New Roman"/>
                <w:b/>
                <w:bCs/>
                <w:color w:val="auto"/>
                <w:sz w:val="24"/>
                <w:highlight w:val="none"/>
              </w:rPr>
              <w:t>治理措施：</w:t>
            </w:r>
            <w:r>
              <w:rPr>
                <w:rFonts w:hint="default" w:ascii="Times New Roman" w:hAnsi="Times New Roman" w:eastAsia="宋体" w:cs="Times New Roman"/>
                <w:color w:val="auto"/>
                <w:sz w:val="24"/>
                <w:highlight w:val="none"/>
              </w:rPr>
              <w:t>员工产生的办公生活</w:t>
            </w:r>
            <w:r>
              <w:rPr>
                <w:rFonts w:hint="default" w:ascii="Times New Roman" w:hAnsi="Times New Roman" w:eastAsia="宋体" w:cs="Times New Roman"/>
                <w:color w:val="auto"/>
                <w:sz w:val="24"/>
                <w:highlight w:val="none"/>
                <w:lang w:eastAsia="zh-CN"/>
              </w:rPr>
              <w:t>污</w:t>
            </w:r>
            <w:r>
              <w:rPr>
                <w:rFonts w:hint="default" w:ascii="Times New Roman" w:hAnsi="Times New Roman" w:eastAsia="宋体" w:cs="Times New Roman"/>
                <w:color w:val="auto"/>
                <w:sz w:val="24"/>
                <w:highlight w:val="none"/>
              </w:rPr>
              <w:t>水依托蓬溪县门拓建设有限责任公司已建的</w:t>
            </w:r>
            <w:r>
              <w:rPr>
                <w:rFonts w:hint="eastAsia" w:ascii="Times New Roman" w:hAnsi="Times New Roman" w:eastAsia="宋体" w:cs="Times New Roman"/>
                <w:color w:val="auto"/>
                <w:sz w:val="24"/>
                <w:highlight w:val="none"/>
                <w:lang w:eastAsia="zh-CN"/>
              </w:rPr>
              <w:t>预处理池</w:t>
            </w:r>
            <w:r>
              <w:rPr>
                <w:rFonts w:hint="default" w:ascii="Times New Roman" w:hAnsi="Times New Roman" w:eastAsia="宋体" w:cs="Times New Roman"/>
                <w:color w:val="auto"/>
                <w:sz w:val="24"/>
                <w:highlight w:val="none"/>
              </w:rPr>
              <w:t>预处理达到《污水综合排放标准》（GB8978-1996）中的三级标准后，经园区污水排放管网，</w:t>
            </w:r>
            <w:r>
              <w:rPr>
                <w:rFonts w:hint="eastAsia" w:cs="Times New Roman"/>
                <w:color w:val="auto"/>
                <w:sz w:val="24"/>
                <w:highlight w:val="none"/>
                <w:lang w:val="en-US" w:eastAsia="zh-CN"/>
              </w:rPr>
              <w:t>进入</w:t>
            </w:r>
            <w:r>
              <w:rPr>
                <w:rFonts w:hint="default" w:ascii="Times New Roman" w:hAnsi="Times New Roman" w:eastAsia="宋体" w:cs="Times New Roman"/>
                <w:color w:val="auto"/>
                <w:sz w:val="24"/>
                <w:highlight w:val="none"/>
                <w:lang w:eastAsia="zh-CN"/>
              </w:rPr>
              <w:t>蓬溪县经济开发区废水处理厂</w:t>
            </w:r>
            <w:r>
              <w:rPr>
                <w:rFonts w:hint="default" w:ascii="Times New Roman" w:hAnsi="Times New Roman" w:eastAsia="宋体" w:cs="Times New Roman"/>
                <w:color w:val="auto"/>
                <w:sz w:val="24"/>
                <w:highlight w:val="none"/>
              </w:rPr>
              <w:t>处理达《城镇污水处理厂污染物排放标准》（GB18918-2002）一级A标后，排入</w:t>
            </w:r>
            <w:r>
              <w:rPr>
                <w:rFonts w:hint="eastAsia" w:cs="Times New Roman"/>
                <w:color w:val="auto"/>
                <w:sz w:val="24"/>
                <w:highlight w:val="none"/>
                <w:lang w:val="en-US" w:eastAsia="zh-CN"/>
              </w:rPr>
              <w:t>芝溪河</w:t>
            </w:r>
            <w:r>
              <w:rPr>
                <w:rFonts w:hint="default" w:ascii="Times New Roman" w:hAnsi="Times New Roman" w:eastAsia="宋体" w:cs="Times New Roman"/>
                <w:color w:val="auto"/>
                <w:sz w:val="24"/>
                <w:highlight w:val="none"/>
              </w:rPr>
              <w:t>。</w:t>
            </w:r>
          </w:p>
          <w:p>
            <w:pPr>
              <w:pStyle w:val="4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生活污水</w:t>
            </w:r>
            <w:r>
              <w:rPr>
                <w:rFonts w:hint="default" w:ascii="Times New Roman" w:hAnsi="Times New Roman" w:cs="Times New Roman"/>
                <w:color w:val="auto"/>
                <w:highlight w:val="none"/>
              </w:rPr>
              <w:t>产生源强及排放情况见</w:t>
            </w:r>
            <w:r>
              <w:rPr>
                <w:rFonts w:hint="default" w:ascii="Times New Roman" w:hAnsi="Times New Roman" w:cs="Times New Roman"/>
                <w:color w:val="auto"/>
                <w:highlight w:val="none"/>
                <w:lang w:eastAsia="zh-CN"/>
              </w:rPr>
              <w:t>下</w:t>
            </w:r>
            <w:r>
              <w:rPr>
                <w:rFonts w:hint="default" w:ascii="Times New Roman" w:hAnsi="Times New Roman" w:cs="Times New Roman"/>
                <w:color w:val="auto"/>
                <w:highlight w:val="none"/>
              </w:rPr>
              <w:t>表。</w:t>
            </w:r>
          </w:p>
          <w:p>
            <w:pPr>
              <w:pStyle w:val="49"/>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表4-</w:t>
            </w:r>
            <w:r>
              <w:rPr>
                <w:rFonts w:hint="eastAsia" w:cs="Times New Roman"/>
                <w:color w:val="auto"/>
                <w:highlight w:val="none"/>
                <w:shd w:val="clear" w:color="auto" w:fill="auto"/>
                <w:lang w:val="en-US" w:eastAsia="zh-CN"/>
              </w:rPr>
              <w:t>7</w:t>
            </w:r>
            <w:r>
              <w:rPr>
                <w:rFonts w:hint="default" w:ascii="Times New Roman" w:hAnsi="Times New Roman" w:cs="Times New Roman"/>
                <w:color w:val="auto"/>
                <w:highlight w:val="none"/>
                <w:shd w:val="clear" w:color="auto" w:fill="auto"/>
              </w:rPr>
              <w:t xml:space="preserve">  本项目废水产排情况一览表</w:t>
            </w:r>
          </w:p>
          <w:tbl>
            <w:tblPr>
              <w:tblStyle w:val="19"/>
              <w:tblW w:w="499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8"/>
              <w:gridCol w:w="1079"/>
              <w:gridCol w:w="999"/>
              <w:gridCol w:w="1294"/>
              <w:gridCol w:w="782"/>
              <w:gridCol w:w="821"/>
              <w:gridCol w:w="793"/>
              <w:gridCol w:w="890"/>
              <w:gridCol w:w="9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 w:type="pct"/>
                  <w:noWrap w:val="0"/>
                  <w:vAlign w:val="center"/>
                </w:tcPr>
                <w:p>
                  <w:pPr>
                    <w:adjustRightInd w:val="0"/>
                    <w:snapToGrid w:val="0"/>
                    <w:jc w:val="center"/>
                    <w:rPr>
                      <w:b/>
                      <w:bCs/>
                      <w:color w:val="auto"/>
                      <w:highlight w:val="none"/>
                    </w:rPr>
                  </w:pPr>
                  <w:r>
                    <w:rPr>
                      <w:b/>
                      <w:bCs/>
                      <w:color w:val="auto"/>
                      <w:highlight w:val="none"/>
                    </w:rPr>
                    <w:t>污染源</w:t>
                  </w:r>
                </w:p>
              </w:tc>
              <w:tc>
                <w:tcPr>
                  <w:tcW w:w="669" w:type="pct"/>
                  <w:noWrap w:val="0"/>
                  <w:vAlign w:val="center"/>
                </w:tcPr>
                <w:p>
                  <w:pPr>
                    <w:adjustRightInd w:val="0"/>
                    <w:snapToGrid w:val="0"/>
                    <w:jc w:val="center"/>
                    <w:rPr>
                      <w:b/>
                      <w:bCs/>
                      <w:color w:val="auto"/>
                      <w:highlight w:val="none"/>
                    </w:rPr>
                  </w:pPr>
                  <w:r>
                    <w:rPr>
                      <w:b/>
                      <w:bCs/>
                      <w:color w:val="auto"/>
                      <w:highlight w:val="none"/>
                    </w:rPr>
                    <w:t>排放量</w:t>
                  </w:r>
                </w:p>
              </w:tc>
              <w:tc>
                <w:tcPr>
                  <w:tcW w:w="1423" w:type="pct"/>
                  <w:gridSpan w:val="2"/>
                  <w:noWrap w:val="0"/>
                  <w:vAlign w:val="center"/>
                </w:tcPr>
                <w:p>
                  <w:pPr>
                    <w:adjustRightInd w:val="0"/>
                    <w:snapToGrid w:val="0"/>
                    <w:jc w:val="center"/>
                    <w:rPr>
                      <w:b/>
                      <w:bCs/>
                      <w:color w:val="auto"/>
                      <w:highlight w:val="none"/>
                    </w:rPr>
                  </w:pPr>
                  <w:r>
                    <w:rPr>
                      <w:b/>
                      <w:bCs/>
                      <w:color w:val="auto"/>
                      <w:highlight w:val="none"/>
                    </w:rPr>
                    <w:t>主要污染物处理情况</w:t>
                  </w:r>
                </w:p>
              </w:tc>
              <w:tc>
                <w:tcPr>
                  <w:tcW w:w="485" w:type="pct"/>
                  <w:noWrap w:val="0"/>
                  <w:vAlign w:val="center"/>
                </w:tcPr>
                <w:p>
                  <w:pPr>
                    <w:adjustRightInd w:val="0"/>
                    <w:snapToGrid w:val="0"/>
                    <w:jc w:val="center"/>
                    <w:rPr>
                      <w:b/>
                      <w:bCs/>
                      <w:color w:val="auto"/>
                      <w:highlight w:val="none"/>
                    </w:rPr>
                  </w:pPr>
                  <w:r>
                    <w:rPr>
                      <w:b/>
                      <w:bCs/>
                      <w:color w:val="auto"/>
                      <w:highlight w:val="none"/>
                    </w:rPr>
                    <w:t>COD</w:t>
                  </w:r>
                </w:p>
              </w:tc>
              <w:tc>
                <w:tcPr>
                  <w:tcW w:w="509" w:type="pct"/>
                  <w:noWrap w:val="0"/>
                  <w:vAlign w:val="center"/>
                </w:tcPr>
                <w:p>
                  <w:pPr>
                    <w:adjustRightInd w:val="0"/>
                    <w:snapToGrid w:val="0"/>
                    <w:jc w:val="center"/>
                    <w:rPr>
                      <w:b/>
                      <w:bCs/>
                      <w:color w:val="auto"/>
                      <w:highlight w:val="none"/>
                    </w:rPr>
                  </w:pPr>
                  <w:r>
                    <w:rPr>
                      <w:b/>
                      <w:bCs/>
                      <w:color w:val="auto"/>
                      <w:highlight w:val="none"/>
                    </w:rPr>
                    <w:t>BOD</w:t>
                  </w:r>
                  <w:r>
                    <w:rPr>
                      <w:b/>
                      <w:bCs/>
                      <w:color w:val="auto"/>
                      <w:highlight w:val="none"/>
                      <w:vertAlign w:val="subscript"/>
                    </w:rPr>
                    <w:t>5</w:t>
                  </w:r>
                </w:p>
              </w:tc>
              <w:tc>
                <w:tcPr>
                  <w:tcW w:w="492" w:type="pct"/>
                  <w:noWrap w:val="0"/>
                  <w:vAlign w:val="center"/>
                </w:tcPr>
                <w:p>
                  <w:pPr>
                    <w:adjustRightInd w:val="0"/>
                    <w:snapToGrid w:val="0"/>
                    <w:jc w:val="center"/>
                    <w:rPr>
                      <w:b/>
                      <w:bCs/>
                      <w:color w:val="auto"/>
                      <w:highlight w:val="none"/>
                    </w:rPr>
                  </w:pPr>
                  <w:r>
                    <w:rPr>
                      <w:b/>
                      <w:bCs/>
                      <w:color w:val="auto"/>
                      <w:highlight w:val="none"/>
                    </w:rPr>
                    <w:t>SS</w:t>
                  </w:r>
                </w:p>
              </w:tc>
              <w:tc>
                <w:tcPr>
                  <w:tcW w:w="552" w:type="pct"/>
                  <w:noWrap w:val="0"/>
                  <w:vAlign w:val="center"/>
                </w:tcPr>
                <w:p>
                  <w:pPr>
                    <w:adjustRightInd w:val="0"/>
                    <w:snapToGrid w:val="0"/>
                    <w:jc w:val="center"/>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606" w:type="pct"/>
                  <w:noWrap w:val="0"/>
                  <w:vAlign w:val="center"/>
                </w:tcPr>
                <w:p>
                  <w:pPr>
                    <w:adjustRightInd w:val="0"/>
                    <w:snapToGrid w:val="0"/>
                    <w:jc w:val="center"/>
                    <w:rPr>
                      <w:b/>
                      <w:bCs/>
                      <w:color w:val="auto"/>
                      <w:highlight w:val="none"/>
                    </w:rPr>
                  </w:pPr>
                  <w:r>
                    <w:rPr>
                      <w:b/>
                      <w:bCs/>
                      <w:color w:val="auto"/>
                      <w:highlight w:val="none"/>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 w:type="pct"/>
                  <w:vMerge w:val="restart"/>
                  <w:noWrap w:val="0"/>
                  <w:vAlign w:val="center"/>
                </w:tcPr>
                <w:p>
                  <w:pPr>
                    <w:adjustRightInd w:val="0"/>
                    <w:snapToGrid w:val="0"/>
                    <w:jc w:val="center"/>
                    <w:rPr>
                      <w:color w:val="auto"/>
                      <w:highlight w:val="none"/>
                    </w:rPr>
                  </w:pPr>
                  <w:r>
                    <w:rPr>
                      <w:color w:val="auto"/>
                      <w:highlight w:val="none"/>
                    </w:rPr>
                    <w:t>生活污水</w:t>
                  </w:r>
                </w:p>
              </w:tc>
              <w:tc>
                <w:tcPr>
                  <w:tcW w:w="669" w:type="pct"/>
                  <w:vMerge w:val="restart"/>
                  <w:noWrap w:val="0"/>
                  <w:vAlign w:val="center"/>
                </w:tcPr>
                <w:p>
                  <w:pPr>
                    <w:adjustRightInd w:val="0"/>
                    <w:snapToGrid w:val="0"/>
                    <w:jc w:val="center"/>
                    <w:rPr>
                      <w:color w:val="auto"/>
                      <w:highlight w:val="none"/>
                    </w:rPr>
                  </w:pPr>
                  <w:r>
                    <w:rPr>
                      <w:rFonts w:hint="eastAsia"/>
                      <w:color w:val="auto"/>
                      <w:sz w:val="24"/>
                      <w:highlight w:val="none"/>
                      <w:lang w:val="en-US" w:eastAsia="zh-CN"/>
                    </w:rPr>
                    <w:t>250</w:t>
                  </w:r>
                  <w:r>
                    <w:rPr>
                      <w:color w:val="auto"/>
                      <w:sz w:val="24"/>
                      <w:highlight w:val="none"/>
                    </w:rPr>
                    <w:t>m</w:t>
                  </w:r>
                  <w:r>
                    <w:rPr>
                      <w:color w:val="auto"/>
                      <w:sz w:val="24"/>
                      <w:highlight w:val="none"/>
                      <w:vertAlign w:val="superscript"/>
                    </w:rPr>
                    <w:t>3</w:t>
                  </w:r>
                  <w:r>
                    <w:rPr>
                      <w:color w:val="auto"/>
                      <w:sz w:val="24"/>
                      <w:highlight w:val="none"/>
                    </w:rPr>
                    <w:t>/a</w:t>
                  </w:r>
                </w:p>
              </w:tc>
              <w:tc>
                <w:tcPr>
                  <w:tcW w:w="620" w:type="pct"/>
                  <w:vMerge w:val="restart"/>
                  <w:noWrap w:val="0"/>
                  <w:vAlign w:val="center"/>
                </w:tcPr>
                <w:p>
                  <w:pPr>
                    <w:adjustRightInd w:val="0"/>
                    <w:snapToGrid w:val="0"/>
                    <w:jc w:val="center"/>
                    <w:rPr>
                      <w:color w:val="auto"/>
                      <w:highlight w:val="none"/>
                    </w:rPr>
                  </w:pPr>
                  <w:r>
                    <w:rPr>
                      <w:color w:val="auto"/>
                      <w:highlight w:val="none"/>
                    </w:rPr>
                    <w:t>预处理池处理</w:t>
                  </w:r>
                  <w:r>
                    <w:rPr>
                      <w:rFonts w:hint="eastAsia"/>
                      <w:color w:val="auto"/>
                      <w:highlight w:val="none"/>
                    </w:rPr>
                    <w:t>后</w:t>
                  </w:r>
                </w:p>
              </w:tc>
              <w:tc>
                <w:tcPr>
                  <w:tcW w:w="803" w:type="pct"/>
                  <w:noWrap w:val="0"/>
                  <w:vAlign w:val="center"/>
                </w:tcPr>
                <w:p>
                  <w:pPr>
                    <w:widowControl/>
                    <w:adjustRightInd w:val="0"/>
                    <w:snapToGrid w:val="0"/>
                    <w:jc w:val="center"/>
                    <w:rPr>
                      <w:color w:val="auto"/>
                      <w:highlight w:val="none"/>
                    </w:rPr>
                  </w:pPr>
                  <w:r>
                    <w:rPr>
                      <w:color w:val="auto"/>
                      <w:highlight w:val="none"/>
                    </w:rPr>
                    <w:t>浓度（mg/L）</w:t>
                  </w:r>
                </w:p>
              </w:tc>
              <w:tc>
                <w:tcPr>
                  <w:tcW w:w="485" w:type="pct"/>
                  <w:noWrap w:val="0"/>
                  <w:vAlign w:val="center"/>
                </w:tcPr>
                <w:p>
                  <w:pPr>
                    <w:adjustRightInd w:val="0"/>
                    <w:snapToGrid w:val="0"/>
                    <w:jc w:val="center"/>
                    <w:rPr>
                      <w:color w:val="auto"/>
                      <w:highlight w:val="none"/>
                    </w:rPr>
                  </w:pPr>
                  <w:r>
                    <w:rPr>
                      <w:color w:val="auto"/>
                      <w:highlight w:val="none"/>
                    </w:rPr>
                    <w:t>500</w:t>
                  </w:r>
                </w:p>
              </w:tc>
              <w:tc>
                <w:tcPr>
                  <w:tcW w:w="509" w:type="pct"/>
                  <w:noWrap w:val="0"/>
                  <w:vAlign w:val="center"/>
                </w:tcPr>
                <w:p>
                  <w:pPr>
                    <w:adjustRightInd w:val="0"/>
                    <w:snapToGrid w:val="0"/>
                    <w:jc w:val="center"/>
                    <w:rPr>
                      <w:color w:val="auto"/>
                      <w:highlight w:val="none"/>
                    </w:rPr>
                  </w:pPr>
                  <w:r>
                    <w:rPr>
                      <w:rFonts w:hint="eastAsia"/>
                      <w:color w:val="auto"/>
                      <w:highlight w:val="none"/>
                      <w:lang w:val="en-US" w:eastAsia="zh-CN"/>
                    </w:rPr>
                    <w:t>300</w:t>
                  </w:r>
                </w:p>
              </w:tc>
              <w:tc>
                <w:tcPr>
                  <w:tcW w:w="492" w:type="pct"/>
                  <w:noWrap w:val="0"/>
                  <w:vAlign w:val="center"/>
                </w:tcPr>
                <w:p>
                  <w:pPr>
                    <w:adjustRightInd w:val="0"/>
                    <w:snapToGrid w:val="0"/>
                    <w:jc w:val="center"/>
                    <w:rPr>
                      <w:color w:val="auto"/>
                      <w:highlight w:val="none"/>
                    </w:rPr>
                  </w:pPr>
                  <w:r>
                    <w:rPr>
                      <w:rFonts w:hint="eastAsia"/>
                      <w:color w:val="auto"/>
                      <w:highlight w:val="none"/>
                      <w:lang w:val="en-US" w:eastAsia="zh-CN"/>
                    </w:rPr>
                    <w:t>4</w:t>
                  </w:r>
                  <w:r>
                    <w:rPr>
                      <w:color w:val="auto"/>
                      <w:highlight w:val="none"/>
                    </w:rPr>
                    <w:t>00</w:t>
                  </w:r>
                </w:p>
              </w:tc>
              <w:tc>
                <w:tcPr>
                  <w:tcW w:w="552" w:type="pct"/>
                  <w:noWrap w:val="0"/>
                  <w:vAlign w:val="center"/>
                </w:tcPr>
                <w:p>
                  <w:pPr>
                    <w:adjustRightInd w:val="0"/>
                    <w:snapToGrid w:val="0"/>
                    <w:jc w:val="center"/>
                    <w:rPr>
                      <w:color w:val="auto"/>
                      <w:highlight w:val="none"/>
                    </w:rPr>
                  </w:pPr>
                  <w:r>
                    <w:rPr>
                      <w:color w:val="auto"/>
                      <w:highlight w:val="none"/>
                    </w:rPr>
                    <w:t>45</w:t>
                  </w:r>
                </w:p>
              </w:tc>
              <w:tc>
                <w:tcPr>
                  <w:tcW w:w="606" w:type="pct"/>
                  <w:noWrap w:val="0"/>
                  <w:vAlign w:val="center"/>
                </w:tcPr>
                <w:p>
                  <w:pPr>
                    <w:adjustRightInd w:val="0"/>
                    <w:snapToGrid w:val="0"/>
                    <w:jc w:val="center"/>
                    <w:rPr>
                      <w:rFonts w:hint="eastAsia"/>
                      <w:color w:val="auto"/>
                      <w:highlight w:val="none"/>
                    </w:rPr>
                  </w:pPr>
                  <w:r>
                    <w:rPr>
                      <w:color w:val="auto"/>
                      <w:highlight w:val="none"/>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9" w:type="pct"/>
                  <w:vMerge w:val="continue"/>
                  <w:noWrap w:val="0"/>
                  <w:vAlign w:val="center"/>
                </w:tcPr>
                <w:p>
                  <w:pPr>
                    <w:adjustRightInd w:val="0"/>
                    <w:snapToGrid w:val="0"/>
                    <w:jc w:val="center"/>
                    <w:rPr>
                      <w:color w:val="auto"/>
                      <w:highlight w:val="none"/>
                    </w:rPr>
                  </w:pPr>
                </w:p>
              </w:tc>
              <w:tc>
                <w:tcPr>
                  <w:tcW w:w="669" w:type="pct"/>
                  <w:vMerge w:val="continue"/>
                  <w:noWrap w:val="0"/>
                  <w:vAlign w:val="center"/>
                </w:tcPr>
                <w:p>
                  <w:pPr>
                    <w:adjustRightInd w:val="0"/>
                    <w:snapToGrid w:val="0"/>
                    <w:jc w:val="center"/>
                    <w:rPr>
                      <w:color w:val="auto"/>
                      <w:highlight w:val="none"/>
                    </w:rPr>
                  </w:pPr>
                </w:p>
              </w:tc>
              <w:tc>
                <w:tcPr>
                  <w:tcW w:w="620" w:type="pct"/>
                  <w:vMerge w:val="continue"/>
                  <w:noWrap w:val="0"/>
                  <w:vAlign w:val="center"/>
                </w:tcPr>
                <w:p>
                  <w:pPr>
                    <w:adjustRightInd w:val="0"/>
                    <w:snapToGrid w:val="0"/>
                    <w:jc w:val="center"/>
                    <w:rPr>
                      <w:color w:val="auto"/>
                      <w:highlight w:val="none"/>
                    </w:rPr>
                  </w:pPr>
                </w:p>
              </w:tc>
              <w:tc>
                <w:tcPr>
                  <w:tcW w:w="803" w:type="pct"/>
                  <w:noWrap w:val="0"/>
                  <w:vAlign w:val="center"/>
                </w:tcPr>
                <w:p>
                  <w:pPr>
                    <w:adjustRightInd w:val="0"/>
                    <w:snapToGrid w:val="0"/>
                    <w:jc w:val="center"/>
                    <w:rPr>
                      <w:color w:val="auto"/>
                      <w:highlight w:val="none"/>
                    </w:rPr>
                  </w:pPr>
                  <w:r>
                    <w:rPr>
                      <w:color w:val="auto"/>
                      <w:highlight w:val="none"/>
                    </w:rPr>
                    <w:t>排放量（t/a）</w:t>
                  </w:r>
                </w:p>
              </w:tc>
              <w:tc>
                <w:tcPr>
                  <w:tcW w:w="485" w:type="pct"/>
                  <w:noWrap w:val="0"/>
                  <w:vAlign w:val="center"/>
                </w:tcPr>
                <w:p>
                  <w:pPr>
                    <w:widowControl/>
                    <w:jc w:val="center"/>
                    <w:textAlignment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125</w:t>
                  </w:r>
                </w:p>
              </w:tc>
              <w:tc>
                <w:tcPr>
                  <w:tcW w:w="509"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0.075</w:t>
                  </w:r>
                </w:p>
              </w:tc>
              <w:tc>
                <w:tcPr>
                  <w:tcW w:w="492"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0.1</w:t>
                  </w:r>
                </w:p>
              </w:tc>
              <w:tc>
                <w:tcPr>
                  <w:tcW w:w="552" w:type="pct"/>
                  <w:noWrap w:val="0"/>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0.01125</w:t>
                  </w:r>
                </w:p>
              </w:tc>
              <w:tc>
                <w:tcPr>
                  <w:tcW w:w="606"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 w:type="pct"/>
                  <w:vMerge w:val="continue"/>
                  <w:noWrap w:val="0"/>
                  <w:vAlign w:val="center"/>
                </w:tcPr>
                <w:p>
                  <w:pPr>
                    <w:adjustRightInd w:val="0"/>
                    <w:snapToGrid w:val="0"/>
                    <w:jc w:val="center"/>
                    <w:rPr>
                      <w:color w:val="auto"/>
                      <w:highlight w:val="none"/>
                    </w:rPr>
                  </w:pPr>
                </w:p>
              </w:tc>
              <w:tc>
                <w:tcPr>
                  <w:tcW w:w="669" w:type="pct"/>
                  <w:vMerge w:val="continue"/>
                  <w:noWrap w:val="0"/>
                  <w:vAlign w:val="center"/>
                </w:tcPr>
                <w:p>
                  <w:pPr>
                    <w:adjustRightInd w:val="0"/>
                    <w:snapToGrid w:val="0"/>
                    <w:jc w:val="center"/>
                    <w:rPr>
                      <w:color w:val="auto"/>
                      <w:highlight w:val="none"/>
                    </w:rPr>
                  </w:pPr>
                </w:p>
              </w:tc>
              <w:tc>
                <w:tcPr>
                  <w:tcW w:w="620" w:type="pct"/>
                  <w:vMerge w:val="restart"/>
                  <w:noWrap w:val="0"/>
                  <w:vAlign w:val="center"/>
                </w:tcPr>
                <w:p>
                  <w:pPr>
                    <w:adjustRightInd w:val="0"/>
                    <w:snapToGrid w:val="0"/>
                    <w:jc w:val="center"/>
                    <w:rPr>
                      <w:rFonts w:hint="eastAsia"/>
                      <w:color w:val="auto"/>
                      <w:highlight w:val="none"/>
                    </w:rPr>
                  </w:pPr>
                  <w:r>
                    <w:rPr>
                      <w:color w:val="auto"/>
                      <w:highlight w:val="none"/>
                    </w:rPr>
                    <w:t>污水处理厂处理后</w:t>
                  </w:r>
                </w:p>
              </w:tc>
              <w:tc>
                <w:tcPr>
                  <w:tcW w:w="803" w:type="pct"/>
                  <w:noWrap w:val="0"/>
                  <w:vAlign w:val="center"/>
                </w:tcPr>
                <w:p>
                  <w:pPr>
                    <w:widowControl/>
                    <w:adjustRightInd w:val="0"/>
                    <w:snapToGrid w:val="0"/>
                    <w:jc w:val="center"/>
                    <w:rPr>
                      <w:color w:val="auto"/>
                      <w:highlight w:val="none"/>
                    </w:rPr>
                  </w:pPr>
                  <w:r>
                    <w:rPr>
                      <w:color w:val="auto"/>
                      <w:highlight w:val="none"/>
                    </w:rPr>
                    <w:t>浓度（mg/L）</w:t>
                  </w:r>
                </w:p>
              </w:tc>
              <w:tc>
                <w:tcPr>
                  <w:tcW w:w="485" w:type="pct"/>
                  <w:noWrap w:val="0"/>
                  <w:vAlign w:val="center"/>
                </w:tcPr>
                <w:p>
                  <w:pPr>
                    <w:widowControl/>
                    <w:jc w:val="center"/>
                    <w:textAlignment w:val="center"/>
                    <w:rPr>
                      <w:color w:val="auto"/>
                      <w:highlight w:val="none"/>
                    </w:rPr>
                  </w:pPr>
                  <w:r>
                    <w:rPr>
                      <w:color w:val="auto"/>
                      <w:kern w:val="0"/>
                      <w:szCs w:val="21"/>
                      <w:highlight w:val="none"/>
                      <w:lang w:bidi="ar"/>
                    </w:rPr>
                    <w:t>50</w:t>
                  </w:r>
                </w:p>
              </w:tc>
              <w:tc>
                <w:tcPr>
                  <w:tcW w:w="509" w:type="pct"/>
                  <w:noWrap w:val="0"/>
                  <w:vAlign w:val="center"/>
                </w:tcPr>
                <w:p>
                  <w:pPr>
                    <w:widowControl/>
                    <w:jc w:val="center"/>
                    <w:textAlignment w:val="center"/>
                    <w:rPr>
                      <w:color w:val="auto"/>
                      <w:highlight w:val="none"/>
                    </w:rPr>
                  </w:pPr>
                  <w:r>
                    <w:rPr>
                      <w:color w:val="auto"/>
                      <w:kern w:val="0"/>
                      <w:szCs w:val="21"/>
                      <w:highlight w:val="none"/>
                      <w:lang w:bidi="ar"/>
                    </w:rPr>
                    <w:t>10</w:t>
                  </w:r>
                </w:p>
              </w:tc>
              <w:tc>
                <w:tcPr>
                  <w:tcW w:w="492" w:type="pct"/>
                  <w:noWrap w:val="0"/>
                  <w:vAlign w:val="center"/>
                </w:tcPr>
                <w:p>
                  <w:pPr>
                    <w:widowControl/>
                    <w:jc w:val="center"/>
                    <w:textAlignment w:val="center"/>
                    <w:rPr>
                      <w:color w:val="auto"/>
                      <w:highlight w:val="none"/>
                    </w:rPr>
                  </w:pPr>
                  <w:r>
                    <w:rPr>
                      <w:color w:val="auto"/>
                      <w:kern w:val="0"/>
                      <w:szCs w:val="21"/>
                      <w:highlight w:val="none"/>
                      <w:lang w:bidi="ar"/>
                    </w:rPr>
                    <w:t>10</w:t>
                  </w:r>
                </w:p>
              </w:tc>
              <w:tc>
                <w:tcPr>
                  <w:tcW w:w="552" w:type="pct"/>
                  <w:noWrap w:val="0"/>
                  <w:vAlign w:val="center"/>
                </w:tcPr>
                <w:p>
                  <w:pPr>
                    <w:widowControl/>
                    <w:jc w:val="center"/>
                    <w:textAlignment w:val="center"/>
                    <w:rPr>
                      <w:color w:val="auto"/>
                      <w:highlight w:val="none"/>
                    </w:rPr>
                  </w:pPr>
                  <w:r>
                    <w:rPr>
                      <w:color w:val="auto"/>
                      <w:kern w:val="0"/>
                      <w:szCs w:val="21"/>
                      <w:highlight w:val="none"/>
                      <w:lang w:bidi="ar"/>
                    </w:rPr>
                    <w:t>5</w:t>
                  </w:r>
                </w:p>
              </w:tc>
              <w:tc>
                <w:tcPr>
                  <w:tcW w:w="606" w:type="pct"/>
                  <w:noWrap w:val="0"/>
                  <w:vAlign w:val="center"/>
                </w:tcPr>
                <w:p>
                  <w:pPr>
                    <w:widowControl/>
                    <w:jc w:val="center"/>
                    <w:textAlignment w:val="center"/>
                    <w:rPr>
                      <w:color w:val="auto"/>
                      <w:highlight w:val="none"/>
                    </w:rPr>
                  </w:pPr>
                  <w:r>
                    <w:rPr>
                      <w:color w:val="auto"/>
                      <w:kern w:val="0"/>
                      <w:szCs w:val="21"/>
                      <w:highlight w:val="none"/>
                      <w:lang w:bidi="ar"/>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 w:type="pct"/>
                  <w:vMerge w:val="continue"/>
                  <w:noWrap w:val="0"/>
                  <w:vAlign w:val="center"/>
                </w:tcPr>
                <w:p>
                  <w:pPr>
                    <w:adjustRightInd w:val="0"/>
                    <w:snapToGrid w:val="0"/>
                    <w:jc w:val="center"/>
                    <w:rPr>
                      <w:color w:val="auto"/>
                      <w:highlight w:val="none"/>
                    </w:rPr>
                  </w:pPr>
                </w:p>
              </w:tc>
              <w:tc>
                <w:tcPr>
                  <w:tcW w:w="669" w:type="pct"/>
                  <w:vMerge w:val="continue"/>
                  <w:noWrap w:val="0"/>
                  <w:vAlign w:val="center"/>
                </w:tcPr>
                <w:p>
                  <w:pPr>
                    <w:adjustRightInd w:val="0"/>
                    <w:snapToGrid w:val="0"/>
                    <w:jc w:val="center"/>
                    <w:rPr>
                      <w:color w:val="auto"/>
                      <w:highlight w:val="none"/>
                    </w:rPr>
                  </w:pPr>
                </w:p>
              </w:tc>
              <w:tc>
                <w:tcPr>
                  <w:tcW w:w="620" w:type="pct"/>
                  <w:vMerge w:val="continue"/>
                  <w:noWrap w:val="0"/>
                  <w:vAlign w:val="center"/>
                </w:tcPr>
                <w:p>
                  <w:pPr>
                    <w:adjustRightInd w:val="0"/>
                    <w:snapToGrid w:val="0"/>
                    <w:jc w:val="center"/>
                    <w:rPr>
                      <w:color w:val="auto"/>
                      <w:highlight w:val="none"/>
                    </w:rPr>
                  </w:pPr>
                </w:p>
              </w:tc>
              <w:tc>
                <w:tcPr>
                  <w:tcW w:w="803" w:type="pct"/>
                  <w:noWrap w:val="0"/>
                  <w:vAlign w:val="center"/>
                </w:tcPr>
                <w:p>
                  <w:pPr>
                    <w:adjustRightInd w:val="0"/>
                    <w:snapToGrid w:val="0"/>
                    <w:jc w:val="center"/>
                    <w:rPr>
                      <w:color w:val="auto"/>
                      <w:highlight w:val="none"/>
                    </w:rPr>
                  </w:pPr>
                  <w:r>
                    <w:rPr>
                      <w:color w:val="auto"/>
                      <w:highlight w:val="none"/>
                    </w:rPr>
                    <w:t>排放量（t/a）</w:t>
                  </w:r>
                </w:p>
              </w:tc>
              <w:tc>
                <w:tcPr>
                  <w:tcW w:w="485"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w:t>
                  </w:r>
                  <w:r>
                    <w:rPr>
                      <w:rFonts w:hint="eastAsia"/>
                      <w:color w:val="auto"/>
                      <w:highlight w:val="none"/>
                      <w:lang w:val="en-US" w:eastAsia="zh-CN"/>
                    </w:rPr>
                    <w:t>0125</w:t>
                  </w:r>
                </w:p>
              </w:tc>
              <w:tc>
                <w:tcPr>
                  <w:tcW w:w="509"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0.0025</w:t>
                  </w:r>
                </w:p>
              </w:tc>
              <w:tc>
                <w:tcPr>
                  <w:tcW w:w="492"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0.0025</w:t>
                  </w:r>
                </w:p>
              </w:tc>
              <w:tc>
                <w:tcPr>
                  <w:tcW w:w="552"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0.00125</w:t>
                  </w:r>
                </w:p>
              </w:tc>
              <w:tc>
                <w:tcPr>
                  <w:tcW w:w="606" w:type="pct"/>
                  <w:noWrap w:val="0"/>
                  <w:vAlign w:val="center"/>
                </w:tcPr>
                <w:p>
                  <w:pPr>
                    <w:widowControl/>
                    <w:jc w:val="center"/>
                    <w:textAlignment w:val="center"/>
                    <w:rPr>
                      <w:rFonts w:hint="default" w:eastAsia="宋体"/>
                      <w:color w:val="auto"/>
                      <w:highlight w:val="none"/>
                      <w:lang w:val="en-US" w:eastAsia="zh-CN"/>
                    </w:rPr>
                  </w:pPr>
                  <w:r>
                    <w:rPr>
                      <w:rFonts w:hint="eastAsia" w:eastAsia="宋体"/>
                      <w:color w:val="auto"/>
                      <w:highlight w:val="none"/>
                      <w:lang w:val="en-US" w:eastAsia="zh-CN"/>
                    </w:rPr>
                    <w:t>0.000125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53" w:type="pct"/>
                  <w:gridSpan w:val="4"/>
                  <w:noWrap w:val="0"/>
                  <w:vAlign w:val="top"/>
                </w:tcPr>
                <w:p>
                  <w:pPr>
                    <w:adjustRightInd w:val="0"/>
                    <w:snapToGrid w:val="0"/>
                    <w:jc w:val="center"/>
                    <w:rPr>
                      <w:color w:val="auto"/>
                      <w:szCs w:val="21"/>
                      <w:highlight w:val="none"/>
                    </w:rPr>
                  </w:pPr>
                  <w:r>
                    <w:rPr>
                      <w:color w:val="auto"/>
                      <w:szCs w:val="21"/>
                      <w:highlight w:val="none"/>
                    </w:rPr>
                    <w:t>《污水综合排放标准》（GB8978-1996）三级排放标准</w:t>
                  </w:r>
                </w:p>
              </w:tc>
              <w:tc>
                <w:tcPr>
                  <w:tcW w:w="485" w:type="pct"/>
                  <w:noWrap w:val="0"/>
                  <w:vAlign w:val="center"/>
                </w:tcPr>
                <w:p>
                  <w:pPr>
                    <w:adjustRightInd w:val="0"/>
                    <w:snapToGrid w:val="0"/>
                    <w:jc w:val="center"/>
                    <w:rPr>
                      <w:color w:val="auto"/>
                      <w:highlight w:val="none"/>
                    </w:rPr>
                  </w:pPr>
                  <w:r>
                    <w:rPr>
                      <w:color w:val="auto"/>
                      <w:highlight w:val="none"/>
                    </w:rPr>
                    <w:t>500</w:t>
                  </w:r>
                </w:p>
              </w:tc>
              <w:tc>
                <w:tcPr>
                  <w:tcW w:w="509"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300</w:t>
                  </w:r>
                </w:p>
              </w:tc>
              <w:tc>
                <w:tcPr>
                  <w:tcW w:w="492" w:type="pct"/>
                  <w:noWrap w:val="0"/>
                  <w:vAlign w:val="center"/>
                </w:tcPr>
                <w:p>
                  <w:pPr>
                    <w:adjustRightInd w:val="0"/>
                    <w:snapToGrid w:val="0"/>
                    <w:jc w:val="center"/>
                    <w:rPr>
                      <w:color w:val="auto"/>
                      <w:highlight w:val="none"/>
                    </w:rPr>
                  </w:pPr>
                  <w:r>
                    <w:rPr>
                      <w:rFonts w:hint="eastAsia"/>
                      <w:color w:val="auto"/>
                      <w:highlight w:val="none"/>
                      <w:lang w:val="en-US" w:eastAsia="zh-CN"/>
                    </w:rPr>
                    <w:t>4</w:t>
                  </w:r>
                  <w:r>
                    <w:rPr>
                      <w:color w:val="auto"/>
                      <w:highlight w:val="none"/>
                    </w:rPr>
                    <w:t>00</w:t>
                  </w:r>
                </w:p>
              </w:tc>
              <w:tc>
                <w:tcPr>
                  <w:tcW w:w="552" w:type="pct"/>
                  <w:noWrap w:val="0"/>
                  <w:vAlign w:val="center"/>
                </w:tcPr>
                <w:p>
                  <w:pPr>
                    <w:adjustRightInd w:val="0"/>
                    <w:snapToGrid w:val="0"/>
                    <w:jc w:val="center"/>
                    <w:rPr>
                      <w:color w:val="auto"/>
                      <w:highlight w:val="none"/>
                    </w:rPr>
                  </w:pPr>
                  <w:r>
                    <w:rPr>
                      <w:color w:val="auto"/>
                      <w:highlight w:val="none"/>
                    </w:rPr>
                    <w:t>45</w:t>
                  </w:r>
                </w:p>
              </w:tc>
              <w:tc>
                <w:tcPr>
                  <w:tcW w:w="606" w:type="pct"/>
                  <w:noWrap w:val="0"/>
                  <w:vAlign w:val="center"/>
                </w:tcPr>
                <w:p>
                  <w:pPr>
                    <w:adjustRightInd w:val="0"/>
                    <w:snapToGrid w:val="0"/>
                    <w:jc w:val="center"/>
                    <w:rPr>
                      <w:color w:val="auto"/>
                      <w:highlight w:val="none"/>
                    </w:rPr>
                  </w:pPr>
                  <w:r>
                    <w:rPr>
                      <w:color w:val="auto"/>
                      <w:highlight w:val="none"/>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53" w:type="pct"/>
                  <w:gridSpan w:val="4"/>
                  <w:noWrap w:val="0"/>
                  <w:vAlign w:val="top"/>
                </w:tcPr>
                <w:p>
                  <w:pPr>
                    <w:adjustRightInd w:val="0"/>
                    <w:snapToGrid w:val="0"/>
                    <w:jc w:val="center"/>
                    <w:rPr>
                      <w:color w:val="auto"/>
                      <w:szCs w:val="21"/>
                      <w:highlight w:val="none"/>
                    </w:rPr>
                  </w:pPr>
                  <w:r>
                    <w:rPr>
                      <w:color w:val="auto"/>
                      <w:szCs w:val="21"/>
                      <w:highlight w:val="none"/>
                    </w:rPr>
                    <w:t>《城镇污水处理厂污染物排放标准》（GB18918-2002）一级A标（mg/L）</w:t>
                  </w:r>
                </w:p>
              </w:tc>
              <w:tc>
                <w:tcPr>
                  <w:tcW w:w="485" w:type="pct"/>
                  <w:noWrap w:val="0"/>
                  <w:vAlign w:val="center"/>
                </w:tcPr>
                <w:p>
                  <w:pPr>
                    <w:adjustRightInd w:val="0"/>
                    <w:snapToGrid w:val="0"/>
                    <w:jc w:val="center"/>
                    <w:rPr>
                      <w:color w:val="auto"/>
                      <w:highlight w:val="none"/>
                    </w:rPr>
                  </w:pPr>
                  <w:r>
                    <w:rPr>
                      <w:color w:val="auto"/>
                      <w:highlight w:val="none"/>
                    </w:rPr>
                    <w:t>50</w:t>
                  </w:r>
                </w:p>
              </w:tc>
              <w:tc>
                <w:tcPr>
                  <w:tcW w:w="509" w:type="pct"/>
                  <w:noWrap w:val="0"/>
                  <w:vAlign w:val="center"/>
                </w:tcPr>
                <w:p>
                  <w:pPr>
                    <w:adjustRightInd w:val="0"/>
                    <w:snapToGrid w:val="0"/>
                    <w:jc w:val="center"/>
                    <w:rPr>
                      <w:color w:val="auto"/>
                      <w:highlight w:val="none"/>
                    </w:rPr>
                  </w:pPr>
                  <w:r>
                    <w:rPr>
                      <w:color w:val="auto"/>
                      <w:highlight w:val="none"/>
                    </w:rPr>
                    <w:t>10</w:t>
                  </w:r>
                </w:p>
              </w:tc>
              <w:tc>
                <w:tcPr>
                  <w:tcW w:w="492" w:type="pct"/>
                  <w:noWrap w:val="0"/>
                  <w:vAlign w:val="center"/>
                </w:tcPr>
                <w:p>
                  <w:pPr>
                    <w:adjustRightInd w:val="0"/>
                    <w:snapToGrid w:val="0"/>
                    <w:jc w:val="center"/>
                    <w:rPr>
                      <w:color w:val="auto"/>
                      <w:highlight w:val="none"/>
                    </w:rPr>
                  </w:pPr>
                  <w:r>
                    <w:rPr>
                      <w:color w:val="auto"/>
                      <w:highlight w:val="none"/>
                    </w:rPr>
                    <w:t>10</w:t>
                  </w:r>
                </w:p>
              </w:tc>
              <w:tc>
                <w:tcPr>
                  <w:tcW w:w="552" w:type="pct"/>
                  <w:noWrap w:val="0"/>
                  <w:vAlign w:val="center"/>
                </w:tcPr>
                <w:p>
                  <w:pPr>
                    <w:adjustRightInd w:val="0"/>
                    <w:snapToGrid w:val="0"/>
                    <w:jc w:val="center"/>
                    <w:rPr>
                      <w:color w:val="auto"/>
                      <w:highlight w:val="none"/>
                    </w:rPr>
                  </w:pPr>
                  <w:r>
                    <w:rPr>
                      <w:color w:val="auto"/>
                      <w:highlight w:val="none"/>
                    </w:rPr>
                    <w:t>5</w:t>
                  </w:r>
                </w:p>
              </w:tc>
              <w:tc>
                <w:tcPr>
                  <w:tcW w:w="606" w:type="pct"/>
                  <w:noWrap w:val="0"/>
                  <w:vAlign w:val="center"/>
                </w:tcPr>
                <w:p>
                  <w:pPr>
                    <w:adjustRightInd w:val="0"/>
                    <w:snapToGrid w:val="0"/>
                    <w:jc w:val="center"/>
                    <w:rPr>
                      <w:color w:val="auto"/>
                      <w:highlight w:val="none"/>
                    </w:rPr>
                  </w:pPr>
                  <w:r>
                    <w:rPr>
                      <w:color w:val="auto"/>
                      <w:highlight w:val="none"/>
                    </w:rPr>
                    <w:t>0.5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排放口情况</w:t>
            </w:r>
          </w:p>
          <w:p>
            <w:pPr>
              <w:adjustRightInd w:val="0"/>
              <w:snapToGrid w:val="0"/>
              <w:spacing w:line="360" w:lineRule="auto"/>
              <w:ind w:firstLine="480" w:firstLineChars="200"/>
              <w:rPr>
                <w:rFonts w:hint="default" w:ascii="Times New Roman" w:hAnsi="Times New Roman" w:cs="Times New Roman"/>
                <w:b/>
                <w:color w:val="auto"/>
                <w:sz w:val="24"/>
                <w:highlight w:val="none"/>
              </w:rPr>
            </w:pPr>
            <w:r>
              <w:rPr>
                <w:rFonts w:hint="default" w:ascii="Times New Roman" w:hAnsi="Times New Roman" w:cs="Times New Roman"/>
                <w:bCs/>
                <w:color w:val="auto"/>
                <w:sz w:val="24"/>
                <w:highlight w:val="none"/>
              </w:rPr>
              <w:t>项目排放口情况见下表。</w:t>
            </w:r>
          </w:p>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eastAsia" w:cs="Times New Roman"/>
                <w:b/>
                <w:color w:val="auto"/>
                <w:szCs w:val="21"/>
                <w:highlight w:val="none"/>
                <w:lang w:val="en-US" w:eastAsia="zh-CN"/>
              </w:rPr>
              <w:t>8</w:t>
            </w:r>
            <w:r>
              <w:rPr>
                <w:rFonts w:hint="default" w:ascii="Times New Roman" w:hAnsi="Times New Roman" w:cs="Times New Roman"/>
                <w:b/>
                <w:color w:val="auto"/>
                <w:szCs w:val="21"/>
                <w:highlight w:val="none"/>
              </w:rPr>
              <w:t xml:space="preserve">  排放口情况表</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995"/>
              <w:gridCol w:w="1263"/>
              <w:gridCol w:w="2163"/>
              <w:gridCol w:w="2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2" w:type="pct"/>
                  <w:gridSpan w:val="4"/>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排放口基本情况</w:t>
                  </w:r>
                </w:p>
              </w:tc>
              <w:tc>
                <w:tcPr>
                  <w:tcW w:w="1497" w:type="pct"/>
                  <w:vMerge w:val="restar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排放口名称</w:t>
                  </w:r>
                </w:p>
              </w:tc>
              <w:tc>
                <w:tcPr>
                  <w:tcW w:w="617"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783"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1340"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坐标</w:t>
                  </w:r>
                </w:p>
              </w:tc>
              <w:tc>
                <w:tcPr>
                  <w:tcW w:w="1497" w:type="pct"/>
                  <w:vMerge w:val="continue"/>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厂区生活污水</w:t>
                  </w:r>
                  <w:r>
                    <w:rPr>
                      <w:rFonts w:hint="default" w:ascii="Times New Roman" w:hAnsi="Times New Roman" w:cs="Times New Roman"/>
                      <w:color w:val="auto"/>
                      <w:sz w:val="21"/>
                      <w:szCs w:val="21"/>
                      <w:highlight w:val="none"/>
                    </w:rPr>
                    <w:t>排口</w:t>
                  </w:r>
                </w:p>
              </w:tc>
              <w:tc>
                <w:tcPr>
                  <w:tcW w:w="617"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DW001</w:t>
                  </w:r>
                </w:p>
              </w:tc>
              <w:tc>
                <w:tcPr>
                  <w:tcW w:w="783"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一般</w:t>
                  </w:r>
                  <w:r>
                    <w:rPr>
                      <w:rFonts w:hint="default" w:ascii="Times New Roman" w:hAnsi="Times New Roman" w:cs="Times New Roman"/>
                      <w:color w:val="auto"/>
                      <w:sz w:val="21"/>
                      <w:szCs w:val="21"/>
                      <w:highlight w:val="none"/>
                    </w:rPr>
                    <w:t>排放口</w:t>
                  </w:r>
                </w:p>
              </w:tc>
              <w:tc>
                <w:tcPr>
                  <w:tcW w:w="1340" w:type="pct"/>
                  <w:noWrap w:val="0"/>
                  <w:vAlign w:val="center"/>
                </w:tcPr>
                <w:p>
                  <w:pPr>
                    <w:pStyle w:val="10"/>
                    <w:spacing w:line="240" w:lineRule="auto"/>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经度：</w:t>
                  </w:r>
                  <w:r>
                    <w:rPr>
                      <w:rFonts w:hint="default" w:ascii="Times New Roman" w:hAnsi="Times New Roman" w:eastAsia="宋体" w:cs="Times New Roman"/>
                      <w:color w:val="auto"/>
                      <w:sz w:val="21"/>
                      <w:szCs w:val="21"/>
                      <w:highlight w:val="none"/>
                    </w:rPr>
                    <w:t>105°41′6.02038″</w:t>
                  </w:r>
                </w:p>
                <w:p>
                  <w:pPr>
                    <w:pStyle w:val="10"/>
                    <w:spacing w:line="240" w:lineRule="auto"/>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纬度：</w:t>
                  </w:r>
                  <w:r>
                    <w:rPr>
                      <w:rFonts w:hint="default" w:ascii="Times New Roman" w:hAnsi="Times New Roman" w:eastAsia="宋体" w:cs="Times New Roman"/>
                      <w:color w:val="auto"/>
                      <w:sz w:val="21"/>
                      <w:szCs w:val="21"/>
                      <w:highlight w:val="none"/>
                    </w:rPr>
                    <w:t>30°43′58.58660″</w:t>
                  </w:r>
                </w:p>
              </w:tc>
              <w:tc>
                <w:tcPr>
                  <w:tcW w:w="1497" w:type="pct"/>
                  <w:noWrap w:val="0"/>
                  <w:vAlign w:val="center"/>
                </w:tcPr>
                <w:p>
                  <w:pPr>
                    <w:pStyle w:val="10"/>
                    <w:spacing w:line="240" w:lineRule="auto"/>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《污水综合排放标准》（GB8978-1996）三级标准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rPr>
              <w:t>监测计划</w:t>
            </w:r>
          </w:p>
          <w:p>
            <w:pPr>
              <w:adjustRightInd w:val="0"/>
              <w:snapToGrid w:val="0"/>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根据本企业的排污特点、《排污单位自行监测技术指南 总则》（HJ819-2017），确定本项目废水监测点位、监测因子及监测频率。监测要求见下表。</w:t>
            </w:r>
          </w:p>
          <w:p>
            <w:pPr>
              <w:adjustRightInd w:val="0"/>
              <w:snapToGrid w:val="0"/>
              <w:jc w:val="center"/>
              <w:rPr>
                <w:rFonts w:hint="default" w:ascii="Times New Roman" w:hAnsi="Times New Roman" w:cs="Times New Roman"/>
                <w:b/>
                <w:color w:val="auto"/>
                <w:spacing w:val="-10"/>
                <w:szCs w:val="21"/>
                <w:highlight w:val="none"/>
              </w:rPr>
            </w:pPr>
            <w:r>
              <w:rPr>
                <w:rFonts w:hint="default" w:ascii="Times New Roman" w:hAnsi="Times New Roman" w:cs="Times New Roman"/>
                <w:b/>
                <w:color w:val="auto"/>
                <w:spacing w:val="-10"/>
                <w:szCs w:val="21"/>
                <w:highlight w:val="none"/>
              </w:rPr>
              <w:t>表4-</w:t>
            </w:r>
            <w:r>
              <w:rPr>
                <w:rFonts w:hint="eastAsia" w:cs="Times New Roman"/>
                <w:b/>
                <w:color w:val="auto"/>
                <w:spacing w:val="-10"/>
                <w:szCs w:val="21"/>
                <w:highlight w:val="none"/>
                <w:lang w:val="en-US" w:eastAsia="zh-CN"/>
              </w:rPr>
              <w:t>9</w:t>
            </w:r>
            <w:r>
              <w:rPr>
                <w:rFonts w:hint="default" w:ascii="Times New Roman" w:hAnsi="Times New Roman" w:cs="Times New Roman"/>
                <w:b/>
                <w:color w:val="auto"/>
                <w:spacing w:val="-10"/>
                <w:szCs w:val="21"/>
                <w:highlight w:val="none"/>
              </w:rPr>
              <w:t xml:space="preserve">  厂区废水监测要求表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270"/>
              <w:gridCol w:w="1204"/>
              <w:gridCol w:w="2782"/>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407"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746"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监测点数</w:t>
                  </w:r>
                </w:p>
              </w:tc>
              <w:tc>
                <w:tcPr>
                  <w:tcW w:w="1724"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642"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noWrap w:val="0"/>
                  <w:vAlign w:val="center"/>
                </w:tcPr>
                <w:p>
                  <w:pPr>
                    <w:pStyle w:val="10"/>
                    <w:spacing w:line="240" w:lineRule="auto"/>
                    <w:ind w:left="0" w:right="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w:t>
                  </w:r>
                  <w:r>
                    <w:rPr>
                      <w:rFonts w:hint="default" w:ascii="Times New Roman" w:hAnsi="Times New Roman" w:cs="Times New Roman"/>
                      <w:color w:val="auto"/>
                      <w:sz w:val="21"/>
                      <w:szCs w:val="21"/>
                      <w:highlight w:val="none"/>
                      <w:lang w:eastAsia="zh-CN"/>
                    </w:rPr>
                    <w:t>水</w:t>
                  </w:r>
                </w:p>
              </w:tc>
              <w:tc>
                <w:tcPr>
                  <w:tcW w:w="1407"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厂区生活污水</w:t>
                  </w:r>
                  <w:r>
                    <w:rPr>
                      <w:rFonts w:hint="default" w:ascii="Times New Roman" w:hAnsi="Times New Roman" w:cs="Times New Roman"/>
                      <w:color w:val="auto"/>
                      <w:sz w:val="21"/>
                      <w:szCs w:val="21"/>
                      <w:highlight w:val="none"/>
                    </w:rPr>
                    <w:t>排口（DW001）</w:t>
                  </w:r>
                </w:p>
              </w:tc>
              <w:tc>
                <w:tcPr>
                  <w:tcW w:w="746"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724" w:type="pct"/>
                  <w:noWrap w:val="0"/>
                  <w:vAlign w:val="center"/>
                </w:tcPr>
                <w:p>
                  <w:pPr>
                    <w:pStyle w:val="10"/>
                    <w:spacing w:line="240" w:lineRule="auto"/>
                    <w:ind w:left="0" w:right="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pH、CODcr、BOD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、SS、TP、氨氮</w:t>
                  </w:r>
                </w:p>
              </w:tc>
              <w:tc>
                <w:tcPr>
                  <w:tcW w:w="642"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次/年</w:t>
                  </w:r>
                </w:p>
              </w:tc>
            </w:tr>
          </w:tbl>
          <w:p>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2" w:firstLineChars="200"/>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依托可行性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hAnsi="宋体"/>
                <w:b/>
                <w:color w:val="auto"/>
                <w:sz w:val="24"/>
                <w:highlight w:val="none"/>
              </w:rPr>
            </w:pPr>
            <w:r>
              <w:rPr>
                <w:rFonts w:hint="eastAsia" w:hAnsi="宋体"/>
                <w:b/>
                <w:color w:val="auto"/>
                <w:sz w:val="24"/>
                <w:highlight w:val="none"/>
                <w:lang w:eastAsia="zh-CN"/>
              </w:rPr>
              <w:t>（</w:t>
            </w:r>
            <w:r>
              <w:rPr>
                <w:rFonts w:hint="eastAsia" w:hAnsi="宋体"/>
                <w:b/>
                <w:color w:val="auto"/>
                <w:sz w:val="24"/>
                <w:highlight w:val="none"/>
                <w:lang w:val="en-US" w:eastAsia="zh-CN"/>
              </w:rPr>
              <w:t>1</w:t>
            </w:r>
            <w:r>
              <w:rPr>
                <w:rFonts w:hint="eastAsia" w:hAnsi="宋体"/>
                <w:b/>
                <w:color w:val="auto"/>
                <w:sz w:val="24"/>
                <w:highlight w:val="none"/>
                <w:lang w:eastAsia="zh-CN"/>
              </w:rPr>
              <w:t>）</w:t>
            </w:r>
            <w:r>
              <w:rPr>
                <w:rFonts w:hint="eastAsia" w:hAnsi="宋体"/>
                <w:b/>
                <w:color w:val="auto"/>
                <w:sz w:val="24"/>
                <w:highlight w:val="none"/>
              </w:rPr>
              <w:t>依托已建预处理池可行性分析：</w:t>
            </w:r>
          </w:p>
          <w:p>
            <w:pPr>
              <w:spacing w:line="360" w:lineRule="auto"/>
              <w:ind w:firstLine="480" w:firstLineChars="200"/>
              <w:rPr>
                <w:rFonts w:hint="eastAsia"/>
                <w:color w:val="auto"/>
                <w:highlight w:val="none"/>
              </w:rPr>
            </w:pPr>
            <w:r>
              <w:rPr>
                <w:color w:val="auto"/>
                <w:sz w:val="24"/>
                <w:szCs w:val="21"/>
                <w:highlight w:val="none"/>
              </w:rPr>
              <w:t>本项目租用</w:t>
            </w:r>
            <w:r>
              <w:rPr>
                <w:rFonts w:hint="default" w:ascii="Times New Roman" w:hAnsi="Times New Roman" w:eastAsia="宋体" w:cs="Times New Roman"/>
                <w:color w:val="auto"/>
                <w:kern w:val="0"/>
                <w:sz w:val="24"/>
                <w:highlight w:val="none"/>
                <w:lang w:val="en-US" w:eastAsia="zh-CN" w:bidi="ar"/>
              </w:rPr>
              <w:t>蓬溪县门拓建设有限责任公司已</w:t>
            </w:r>
            <w:r>
              <w:rPr>
                <w:rFonts w:hint="eastAsia" w:cs="Times New Roman"/>
                <w:color w:val="auto"/>
                <w:kern w:val="0"/>
                <w:sz w:val="24"/>
                <w:highlight w:val="none"/>
                <w:lang w:val="en-US" w:eastAsia="zh-CN" w:bidi="ar"/>
              </w:rPr>
              <w:t>有</w:t>
            </w:r>
            <w:r>
              <w:rPr>
                <w:rFonts w:hint="default" w:ascii="Times New Roman" w:hAnsi="Times New Roman" w:eastAsia="宋体" w:cs="Times New Roman"/>
                <w:color w:val="auto"/>
                <w:kern w:val="0"/>
                <w:sz w:val="24"/>
                <w:highlight w:val="none"/>
                <w:lang w:val="en-US" w:eastAsia="zh-CN" w:bidi="ar"/>
              </w:rPr>
              <w:t>厂房</w:t>
            </w:r>
            <w:r>
              <w:rPr>
                <w:color w:val="auto"/>
                <w:sz w:val="24"/>
                <w:szCs w:val="21"/>
                <w:highlight w:val="none"/>
              </w:rPr>
              <w:t>进行生产，据调查，</w:t>
            </w:r>
            <w:r>
              <w:rPr>
                <w:rFonts w:hint="default" w:ascii="Times New Roman" w:hAnsi="Times New Roman" w:eastAsia="宋体" w:cs="Times New Roman"/>
                <w:color w:val="auto"/>
                <w:kern w:val="0"/>
                <w:sz w:val="24"/>
                <w:highlight w:val="none"/>
                <w:lang w:val="en-US" w:eastAsia="zh-CN" w:bidi="ar"/>
              </w:rPr>
              <w:t>蓬溪县门拓建设有限责任公司</w:t>
            </w:r>
            <w:r>
              <w:rPr>
                <w:color w:val="auto"/>
                <w:sz w:val="24"/>
                <w:szCs w:val="21"/>
                <w:highlight w:val="none"/>
              </w:rPr>
              <w:t>已建一座预处理池，</w:t>
            </w:r>
            <w:r>
              <w:rPr>
                <w:rFonts w:hint="eastAsia"/>
                <w:color w:val="auto"/>
                <w:sz w:val="24"/>
                <w:szCs w:val="21"/>
                <w:highlight w:val="none"/>
              </w:rPr>
              <w:t>处理能力约为</w:t>
            </w:r>
            <w:r>
              <w:rPr>
                <w:rFonts w:hint="eastAsia"/>
                <w:color w:val="auto"/>
                <w:sz w:val="24"/>
                <w:szCs w:val="21"/>
                <w:highlight w:val="none"/>
                <w:lang w:val="en-US" w:eastAsia="zh-CN"/>
              </w:rPr>
              <w:t>20</w:t>
            </w:r>
            <w:r>
              <w:rPr>
                <w:rFonts w:hint="eastAsia"/>
                <w:color w:val="auto"/>
                <w:sz w:val="24"/>
                <w:szCs w:val="21"/>
                <w:highlight w:val="none"/>
              </w:rPr>
              <w:t>m</w:t>
            </w:r>
            <w:r>
              <w:rPr>
                <w:rFonts w:hint="eastAsia"/>
                <w:color w:val="auto"/>
                <w:sz w:val="24"/>
                <w:szCs w:val="21"/>
                <w:highlight w:val="none"/>
                <w:vertAlign w:val="superscript"/>
              </w:rPr>
              <w:t>3</w:t>
            </w:r>
            <w:r>
              <w:rPr>
                <w:rFonts w:hint="eastAsia"/>
                <w:color w:val="auto"/>
                <w:sz w:val="24"/>
                <w:szCs w:val="21"/>
                <w:highlight w:val="none"/>
              </w:rPr>
              <w:t>/d</w:t>
            </w:r>
            <w:r>
              <w:rPr>
                <w:color w:val="auto"/>
                <w:sz w:val="24"/>
                <w:szCs w:val="21"/>
                <w:highlight w:val="none"/>
              </w:rPr>
              <w:t>，本项目建成后，废水排放量为</w:t>
            </w:r>
            <w:r>
              <w:rPr>
                <w:rFonts w:hint="eastAsia"/>
                <w:color w:val="auto"/>
                <w:sz w:val="24"/>
                <w:szCs w:val="21"/>
                <w:highlight w:val="none"/>
                <w:lang w:val="en-US" w:eastAsia="zh-CN"/>
              </w:rPr>
              <w:t>6</w:t>
            </w:r>
            <w:r>
              <w:rPr>
                <w:color w:val="auto"/>
                <w:sz w:val="24"/>
                <w:szCs w:val="21"/>
                <w:highlight w:val="none"/>
              </w:rPr>
              <w:t>m</w:t>
            </w:r>
            <w:r>
              <w:rPr>
                <w:color w:val="auto"/>
                <w:sz w:val="24"/>
                <w:szCs w:val="21"/>
                <w:highlight w:val="none"/>
                <w:vertAlign w:val="superscript"/>
              </w:rPr>
              <w:t>3</w:t>
            </w:r>
            <w:r>
              <w:rPr>
                <w:color w:val="auto"/>
                <w:sz w:val="24"/>
                <w:szCs w:val="21"/>
                <w:highlight w:val="none"/>
              </w:rPr>
              <w:t>/d，</w:t>
            </w:r>
            <w:r>
              <w:rPr>
                <w:rFonts w:hint="default" w:ascii="Times New Roman" w:hAnsi="Times New Roman" w:eastAsia="宋体" w:cs="Times New Roman"/>
                <w:color w:val="auto"/>
                <w:kern w:val="0"/>
                <w:sz w:val="24"/>
                <w:highlight w:val="none"/>
                <w:lang w:val="en-US" w:eastAsia="zh-CN" w:bidi="ar"/>
              </w:rPr>
              <w:t>蓬溪县门拓建设有限责任公司</w:t>
            </w:r>
            <w:r>
              <w:rPr>
                <w:color w:val="auto"/>
                <w:sz w:val="24"/>
                <w:szCs w:val="21"/>
                <w:highlight w:val="none"/>
              </w:rPr>
              <w:t>已建的预处理池可以容纳本项目产生的废水，依托</w:t>
            </w:r>
            <w:r>
              <w:rPr>
                <w:rFonts w:hint="default" w:ascii="Times New Roman" w:hAnsi="Times New Roman" w:eastAsia="宋体" w:cs="Times New Roman"/>
                <w:color w:val="auto"/>
                <w:kern w:val="0"/>
                <w:sz w:val="24"/>
                <w:highlight w:val="none"/>
                <w:lang w:val="en-US" w:eastAsia="zh-CN" w:bidi="ar"/>
              </w:rPr>
              <w:t>蓬溪县门拓建设有限责任公司</w:t>
            </w:r>
            <w:r>
              <w:rPr>
                <w:color w:val="auto"/>
                <w:sz w:val="24"/>
                <w:szCs w:val="21"/>
                <w:highlight w:val="none"/>
              </w:rPr>
              <w:t>已建预处理池可行。</w:t>
            </w:r>
          </w:p>
          <w:p>
            <w:pPr>
              <w:adjustRightInd w:val="0"/>
              <w:snapToGrid w:val="0"/>
              <w:spacing w:line="360" w:lineRule="auto"/>
              <w:ind w:firstLine="482" w:firstLineChars="200"/>
              <w:rPr>
                <w:color w:val="auto"/>
                <w:sz w:val="24"/>
                <w:highlight w:val="none"/>
              </w:rPr>
            </w:pPr>
            <w:r>
              <w:rPr>
                <w:rFonts w:hint="eastAsia" w:hAnsi="宋体"/>
                <w:b/>
                <w:color w:val="auto"/>
                <w:sz w:val="24"/>
                <w:highlight w:val="none"/>
                <w:lang w:eastAsia="zh-CN"/>
              </w:rPr>
              <w:t>（</w:t>
            </w:r>
            <w:r>
              <w:rPr>
                <w:rFonts w:hint="eastAsia" w:hAnsi="宋体"/>
                <w:b/>
                <w:color w:val="auto"/>
                <w:sz w:val="24"/>
                <w:highlight w:val="none"/>
                <w:lang w:val="en-US" w:eastAsia="zh-CN"/>
              </w:rPr>
              <w:t>2</w:t>
            </w:r>
            <w:r>
              <w:rPr>
                <w:rFonts w:hint="eastAsia" w:hAnsi="宋体"/>
                <w:b/>
                <w:color w:val="auto"/>
                <w:sz w:val="24"/>
                <w:highlight w:val="none"/>
                <w:lang w:eastAsia="zh-CN"/>
              </w:rPr>
              <w:t>）</w:t>
            </w:r>
            <w:r>
              <w:rPr>
                <w:rFonts w:hint="eastAsia" w:hAnsi="宋体"/>
                <w:b/>
                <w:color w:val="auto"/>
                <w:sz w:val="24"/>
                <w:highlight w:val="none"/>
              </w:rPr>
              <w:t>依托蓬溪县经济开发区废水处理厂处置的可行性分析：</w:t>
            </w:r>
          </w:p>
          <w:p>
            <w:pPr>
              <w:autoSpaceDE w:val="0"/>
              <w:autoSpaceDN w:val="0"/>
              <w:spacing w:line="360" w:lineRule="auto"/>
              <w:ind w:firstLine="480" w:firstLineChars="200"/>
              <w:jc w:val="left"/>
              <w:rPr>
                <w:b/>
                <w:bCs/>
                <w:color w:val="auto"/>
                <w:kern w:val="0"/>
                <w:sz w:val="24"/>
                <w:highlight w:val="none"/>
                <w:lang w:bidi="ar"/>
              </w:rPr>
            </w:pPr>
            <w:r>
              <w:rPr>
                <w:color w:val="auto"/>
                <w:sz w:val="24"/>
                <w:highlight w:val="none"/>
              </w:rPr>
              <w:t>本项目外排水量为</w:t>
            </w:r>
            <w:r>
              <w:rPr>
                <w:rFonts w:hint="eastAsia" w:ascii="Times New Roman" w:cs="Times New Roman"/>
                <w:color w:val="auto"/>
                <w:sz w:val="24"/>
                <w:szCs w:val="24"/>
                <w:highlight w:val="none"/>
                <w:lang w:val="en-US" w:eastAsia="zh-CN"/>
              </w:rPr>
              <w:t>250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/a（平均</w:t>
            </w:r>
            <w:r>
              <w:rPr>
                <w:rFonts w:hint="eastAsia" w:asci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bCs/>
                <w:color w:val="auto"/>
                <w:kern w:val="0"/>
                <w:sz w:val="24"/>
                <w:highlight w:val="none"/>
                <w:lang w:bidi="ar"/>
              </w:rPr>
              <w:t>，</w:t>
            </w:r>
            <w:r>
              <w:rPr>
                <w:color w:val="auto"/>
                <w:sz w:val="24"/>
                <w:highlight w:val="none"/>
              </w:rPr>
              <w:t>通过</w:t>
            </w:r>
            <w:r>
              <w:rPr>
                <w:rFonts w:hint="eastAsia"/>
                <w:color w:val="auto"/>
                <w:sz w:val="24"/>
                <w:highlight w:val="none"/>
              </w:rPr>
              <w:t>租赁</w:t>
            </w:r>
            <w:r>
              <w:rPr>
                <w:rFonts w:hint="eastAsia"/>
                <w:color w:val="auto"/>
                <w:sz w:val="24"/>
                <w:highlight w:val="none"/>
                <w:lang w:eastAsia="zh-CN"/>
              </w:rPr>
              <w:t>厂房已建</w:t>
            </w:r>
            <w:r>
              <w:rPr>
                <w:rFonts w:hint="eastAsia"/>
                <w:color w:val="auto"/>
                <w:sz w:val="24"/>
                <w:highlight w:val="none"/>
              </w:rPr>
              <w:t>预处理池处理后，进入</w:t>
            </w:r>
            <w:r>
              <w:rPr>
                <w:rFonts w:hint="eastAsia"/>
                <w:b/>
                <w:bCs/>
                <w:color w:val="auto"/>
                <w:kern w:val="0"/>
                <w:sz w:val="24"/>
                <w:highlight w:val="none"/>
                <w:lang w:bidi="ar"/>
              </w:rPr>
              <w:t>蓬溪县经济开发区废水处理厂</w:t>
            </w:r>
            <w:r>
              <w:rPr>
                <w:b/>
                <w:bCs/>
                <w:color w:val="auto"/>
                <w:kern w:val="0"/>
                <w:sz w:val="24"/>
                <w:highlight w:val="none"/>
                <w:lang w:bidi="ar"/>
              </w:rPr>
              <w:t>处理达标后排放</w:t>
            </w:r>
            <w:r>
              <w:rPr>
                <w:rFonts w:hint="eastAsia"/>
                <w:b/>
                <w:bCs/>
                <w:color w:val="auto"/>
                <w:kern w:val="0"/>
                <w:sz w:val="24"/>
                <w:highlight w:val="none"/>
                <w:lang w:bidi="ar"/>
              </w:rPr>
              <w:t>。</w:t>
            </w:r>
          </w:p>
          <w:p>
            <w:pPr>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bCs/>
                <w:color w:val="auto"/>
                <w:sz w:val="24"/>
                <w:highlight w:val="none"/>
              </w:rPr>
              <w:t>蓬溪县经济开发区废水处理厂采用</w:t>
            </w:r>
            <w:r>
              <w:rPr>
                <w:rFonts w:hint="eastAsia"/>
                <w:bCs/>
                <w:color w:val="auto"/>
                <w:sz w:val="24"/>
                <w:highlight w:val="none"/>
                <w:lang w:eastAsia="zh-CN"/>
              </w:rPr>
              <w:t>“</w:t>
            </w:r>
            <w:r>
              <w:rPr>
                <w:rFonts w:hint="eastAsia"/>
                <w:bCs/>
                <w:color w:val="auto"/>
                <w:sz w:val="24"/>
                <w:highlight w:val="none"/>
              </w:rPr>
              <w:t>A</w:t>
            </w:r>
            <w:r>
              <w:rPr>
                <w:bCs/>
                <w:color w:val="auto"/>
                <w:sz w:val="24"/>
                <w:highlight w:val="none"/>
                <w:vertAlign w:val="superscript"/>
              </w:rPr>
              <w:t>2</w:t>
            </w:r>
            <w:r>
              <w:rPr>
                <w:bCs/>
                <w:color w:val="auto"/>
                <w:sz w:val="24"/>
                <w:highlight w:val="none"/>
              </w:rPr>
              <w:t>/O工艺</w:t>
            </w:r>
            <w:r>
              <w:rPr>
                <w:rFonts w:hint="eastAsia"/>
                <w:bCs/>
                <w:color w:val="auto"/>
                <w:sz w:val="24"/>
                <w:highlight w:val="none"/>
                <w:lang w:eastAsia="zh-CN"/>
              </w:rPr>
              <w:t>”</w:t>
            </w:r>
            <w:r>
              <w:rPr>
                <w:rFonts w:hint="eastAsia"/>
                <w:color w:val="auto"/>
                <w:kern w:val="0"/>
                <w:sz w:val="24"/>
                <w:szCs w:val="20"/>
                <w:highlight w:val="none"/>
              </w:rPr>
              <w:t>，日处理能力为0</w:t>
            </w:r>
            <w:r>
              <w:rPr>
                <w:color w:val="auto"/>
                <w:kern w:val="0"/>
                <w:sz w:val="24"/>
                <w:szCs w:val="20"/>
                <w:highlight w:val="none"/>
              </w:rPr>
              <w:t>.2</w:t>
            </w:r>
            <w:r>
              <w:rPr>
                <w:rFonts w:hint="eastAsia"/>
                <w:color w:val="auto"/>
                <w:kern w:val="0"/>
                <w:sz w:val="24"/>
                <w:szCs w:val="20"/>
                <w:highlight w:val="none"/>
              </w:rPr>
              <w:t>万立方米。目前</w:t>
            </w:r>
            <w:r>
              <w:rPr>
                <w:rFonts w:hint="eastAsia"/>
                <w:bCs/>
                <w:color w:val="auto"/>
                <w:sz w:val="24"/>
                <w:highlight w:val="none"/>
              </w:rPr>
              <w:t>蓬溪县经济开发区废水处理厂已正常运行</w:t>
            </w:r>
            <w:r>
              <w:rPr>
                <w:rFonts w:hint="eastAsia"/>
                <w:color w:val="auto"/>
                <w:kern w:val="0"/>
                <w:sz w:val="24"/>
                <w:szCs w:val="20"/>
                <w:highlight w:val="none"/>
              </w:rPr>
              <w:t>，污水经处理到《城镇污水处理厂污染物排放标准》（GB18918-2002）一级A标准后，最终排入芝溪河，且取得遂宁市蓬溪县生态环境局核发的新版排污许可证。另外，本项目废水经过预处理后，进水水质满足</w:t>
            </w:r>
            <w:r>
              <w:rPr>
                <w:rFonts w:hint="eastAsia"/>
                <w:bCs/>
                <w:color w:val="auto"/>
                <w:sz w:val="24"/>
                <w:highlight w:val="none"/>
              </w:rPr>
              <w:t>蓬溪县经济开发区废水处理厂的处理工艺需求；本项目处于蓬溪县经济开发区废水处理厂的收水范围，污水管网已铺设到位</w:t>
            </w:r>
            <w:r>
              <w:rPr>
                <w:rFonts w:hint="eastAsia"/>
                <w:bCs/>
                <w:color w:val="auto"/>
                <w:sz w:val="24"/>
                <w:highlight w:val="none"/>
                <w:lang w:eastAsia="zh-CN"/>
              </w:rPr>
              <w:t>；</w:t>
            </w:r>
            <w:r>
              <w:rPr>
                <w:rFonts w:hint="default" w:ascii="Times New Roman" w:hAnsi="Times New Roman" w:cs="Times New Roman"/>
                <w:b w:val="0"/>
                <w:bCs w:val="0"/>
                <w:color w:val="auto"/>
                <w:sz w:val="24"/>
                <w:szCs w:val="24"/>
                <w:highlight w:val="none"/>
              </w:rPr>
              <w:t>目前蓬溪县经开区污水处理厂剩余处理规模为400 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/d</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目前已</w:t>
            </w:r>
            <w:r>
              <w:rPr>
                <w:rFonts w:hint="eastAsia" w:cs="Times New Roman"/>
                <w:b w:val="0"/>
                <w:bCs w:val="0"/>
                <w:color w:val="auto"/>
                <w:sz w:val="24"/>
                <w:szCs w:val="24"/>
                <w:highlight w:val="none"/>
                <w:lang w:eastAsia="zh-CN"/>
              </w:rPr>
              <w:t>加快经开区污水处理扩建工程建设，确保园区内污水收集处理率达到100%。</w:t>
            </w:r>
            <w:r>
              <w:rPr>
                <w:rFonts w:hint="eastAsia" w:cs="Times New Roman"/>
                <w:b w:val="0"/>
                <w:bCs w:val="0"/>
                <w:color w:val="auto"/>
                <w:sz w:val="24"/>
                <w:szCs w:val="24"/>
                <w:highlight w:val="none"/>
                <w:lang w:val="en-US" w:eastAsia="zh-CN"/>
              </w:rPr>
              <w:t>由于本项目产生的废水量较小，水质简单</w:t>
            </w:r>
            <w:r>
              <w:rPr>
                <w:rFonts w:hint="eastAsia" w:cs="Times New Roman"/>
                <w:b/>
                <w:bCs/>
                <w:color w:val="auto"/>
                <w:sz w:val="24"/>
                <w:szCs w:val="24"/>
                <w:highlight w:val="none"/>
                <w:lang w:val="en-US" w:eastAsia="zh-CN"/>
              </w:rPr>
              <w:t>。</w:t>
            </w:r>
            <w:r>
              <w:rPr>
                <w:rFonts w:hint="eastAsia"/>
                <w:bCs/>
                <w:color w:val="auto"/>
                <w:sz w:val="24"/>
                <w:highlight w:val="none"/>
              </w:rPr>
              <w:t>因此本项目生活废水依托可行。</w:t>
            </w:r>
          </w:p>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三、噪声</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1、噪声产生情况及治理措施</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本项目噪声源主要为</w:t>
            </w:r>
            <w:r>
              <w:rPr>
                <w:rFonts w:hint="eastAsia" w:cs="Times New Roman"/>
                <w:color w:val="auto"/>
                <w:highlight w:val="none"/>
                <w:lang w:val="en-US" w:eastAsia="zh-CN"/>
              </w:rPr>
              <w:t>自动绕线机、</w:t>
            </w:r>
            <w:r>
              <w:rPr>
                <w:rFonts w:hint="default" w:ascii="Times New Roman" w:hAnsi="Times New Roman" w:cs="Times New Roman"/>
                <w:color w:val="auto"/>
                <w:highlight w:val="none"/>
              </w:rPr>
              <w:t>焊锡、烘干等机械设备。噪声污染源强为70~95dB（A）之间。本项目营运期间拟采取以下降噪措施：</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（1）控制噪声源</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①在设备订货时需选用低噪声的生产设备和工艺，要求设备生产厂家提供符合噪声允许标准的产品。及时维修、更换老化、产生噪声大的设备；加强管理，设备做到定期维护和保养。</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②加强管理，减少非正常噪声，加强职工环保意识教育，减少人为因素造成的噪声。</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（2）阻断噪声传播</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①本项目所有生产过程均在厂房内，采用</w:t>
            </w:r>
            <w:r>
              <w:rPr>
                <w:rFonts w:hint="eastAsia" w:cs="Times New Roman"/>
                <w:color w:val="auto"/>
                <w:highlight w:val="none"/>
                <w:lang w:val="en-US" w:eastAsia="zh-CN"/>
              </w:rPr>
              <w:t>砖混结构</w:t>
            </w:r>
            <w:r>
              <w:rPr>
                <w:rFonts w:hint="default" w:ascii="Times New Roman" w:hAnsi="Times New Roman" w:cs="Times New Roman"/>
                <w:color w:val="auto"/>
                <w:highlight w:val="none"/>
              </w:rPr>
              <w:t>厂房，并且四周设置有围墙，围墙与厂房之间设置绿化带隔离，尽量提高绿地率，以降低噪声的影响。</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②厂房墙体设计中选用隔声、吸声好的结构，合理确定开窗比，并尽可能封闭高噪声车间。</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③合理进行厂区总图布置，高噪声设备尽量远离居民区。</w:t>
            </w:r>
          </w:p>
          <w:p>
            <w:pPr>
              <w:pStyle w:val="43"/>
              <w:adjustRightInd/>
              <w:snapToGrid/>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④交通噪声：加强车辆进出管理，车辆在进出场地时需减速行驶，车速5km/h计，禁止鸣笛等。</w:t>
            </w:r>
          </w:p>
          <w:p>
            <w:pPr>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2、噪声达标分析</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（1）预测模式</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①室内声源等效室外声源声功率级计算</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本项目室内声源可采用等效室外声源声功率级法进行计算，设靠近开口处（或窗户）室内、室外某倍频带的声压级分别为Lp1和Lp2，若声源所在室内声场为近似扩散声场，则室外倍频带声压级按下式计算：</w:t>
            </w:r>
          </w:p>
          <w:p>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object>
                <v:shape id="_x0000_i1025" o:spt="75" type="#_x0000_t75" style="height:14.25pt;width:108pt;" o:ole="t" filled="f" o:preferrelative="t" stroked="f" coordsize="21600,21600">
                  <v:path/>
                  <v:fill on="f" focussize="0,0"/>
                  <v:stroke on="f" joinstyle="miter"/>
                  <v:imagedata r:id="rId26" o:title=""/>
                  <o:lock v:ext="edit" aspectratio="t"/>
                  <w10:wrap type="none"/>
                  <w10:anchorlock/>
                </v:shape>
                <o:OLEObject Type="Embed" ProgID="Equation.DSMT4" ShapeID="_x0000_i1025" DrawAspect="Content" ObjectID="_1468075725" r:id="rId25">
                  <o:LockedField>false</o:LockedField>
                </o:OLEObject>
              </w:objec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式中，TL——隔墙（或窗户）倍频带的隔声量。</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②单个室外点声源在预测点的声级计算</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若已知声源的倍频带声压级Lp（r0）时，相同方向预测点位置的倍频带声压级Lp（r）按下式计算：</w:t>
            </w:r>
          </w:p>
          <w:p>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Lp(r)＝Lp(r0)+DC－(Adiv＋Aatm＋Agr＋Abar＋Amisc)</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Lp(r) ——预测点处声压级，dB；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Lp(r0) ——参考位置r0处的声压级，dB；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DC ——指向性校正，它描述点声源的等效连续声压级与产生声功率级Lw的全向点声源在规定方向的声级的偏差程度，dB；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Adiv——几何发散引起的倍频带衰减，dB；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Aatm——大气吸收引起的倍频带衰减，dB；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Agr——地面效应引起的倍频带衰减，dB；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Abar——声屏障引起的倍频带衰减，dB；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Amisc——其他多方面效应引起的倍频带衰减，dB。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本次评价只考虑几何发散（Adiv）、大气吸收（Aatm）和声屏障（Abar）引起的衰减，不考虑地面效应（Agr）和其他多方面（Amisc）引起的衰减。</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③噪声贡献值计算</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噪声贡献值（ Leqg ）计算公式为： </w:t>
            </w:r>
          </w:p>
          <w:p>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eastAsia="宋体" w:cs="Times New Roman"/>
                <w:color w:val="auto"/>
                <w:position w:val="-28"/>
                <w:sz w:val="24"/>
                <w:szCs w:val="24"/>
                <w:highlight w:val="none"/>
                <w:lang w:val="en-US" w:eastAsia="zh-CN"/>
              </w:rPr>
              <w:object>
                <v:shape id="_x0000_i1026" o:spt="75" type="#_x0000_t75" style="height:33pt;width:136pt;" o:ole="t" filled="f" o:preferrelative="t" stroked="f" coordsize="21600,21600">
                  <v:path/>
                  <v:fill on="f" focussize="0,0"/>
                  <v:stroke on="f"/>
                  <v:imagedata r:id="rId28" o:title=""/>
                  <o:lock v:ext="edit" aspectratio="t"/>
                  <w10:wrap type="none"/>
                  <w10:anchorlock/>
                </v:shape>
                <o:OLEObject Type="Embed" ProgID="Equation.KSEE3" ShapeID="_x0000_i1026" DrawAspect="Content" ObjectID="_1468075726" r:id="rId27">
                  <o:LockedField>false</o:LockedField>
                </o:OLEObject>
              </w:objec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式中：Leqg——噪声贡献值，dB；</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T——预测计算的时间段，s；</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ti——i声源在T时段内的运行时间，s；</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LAi——i声源在预测点产生的等效连续A声级，dB。</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④预测值计算</w:t>
            </w:r>
          </w:p>
          <w:p>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object>
                <v:shape id="_x0000_i1027" o:spt="75" type="#_x0000_t75" style="height:21.75pt;width:144pt;" o:ole="t" filled="f" o:preferrelative="t" stroked="f" coordsize="21600,21600">
                  <v:path/>
                  <v:fill on="f" focussize="0,0"/>
                  <v:stroke on="f" joinstyle="miter"/>
                  <v:imagedata r:id="rId30" o:title=""/>
                  <o:lock v:ext="edit" aspectratio="t"/>
                  <w10:wrap type="none"/>
                  <w10:anchorlock/>
                </v:shape>
                <o:OLEObject Type="Embed" ProgID="Equation.DSMT4" ShapeID="_x0000_i1027" DrawAspect="Content" ObjectID="_1468075727" r:id="rId29">
                  <o:LockedField>false</o:LockedField>
                </o:OLEObject>
              </w:objec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式中，Leqg——建设项目声源在预测点的等效声级贡献值，dB（A）；</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Leqb——预测点的背景值，dB（A）。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）厂界达标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项目主要噪声为设备运行时产生的，主要设备布置在车间内，所有高噪声设备设基础减振，再经过厂房隔声后，预计可以隔声降噪15-25dB(A)。拟建项目运营期每天运行</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h，夜间（22:00-0</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:00）不运行，故仅对各厂界昼间噪声影响值进行影响预测</w:t>
            </w:r>
            <w:r>
              <w:rPr>
                <w:rFonts w:hint="eastAsia" w:ascii="Times New Roman" w:hAnsi="Times New Roman" w:eastAsia="宋体" w:cs="Times New Roman"/>
                <w:color w:val="auto"/>
                <w:sz w:val="24"/>
                <w:szCs w:val="24"/>
                <w:highlight w:val="none"/>
                <w:lang w:val="en-US" w:eastAsia="zh-CN"/>
              </w:rPr>
              <w:t>。</w:t>
            </w:r>
          </w:p>
        </w:tc>
      </w:tr>
    </w:tbl>
    <w:p>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noWrap w:val="0"/>
            <w:vAlign w:val="top"/>
          </w:tcPr>
          <w:p>
            <w:pPr>
              <w:pStyle w:val="1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b/>
                <w:color w:val="auto"/>
                <w:szCs w:val="21"/>
                <w:highlight w:val="none"/>
              </w:rPr>
            </w:pPr>
            <w:r>
              <w:rPr>
                <w:b/>
                <w:bCs/>
                <w:color w:val="auto"/>
                <w:sz w:val="21"/>
                <w:szCs w:val="22"/>
                <w:highlight w:val="none"/>
              </w:rPr>
              <w:t xml:space="preserve">表 </w:t>
            </w:r>
            <w:r>
              <w:rPr>
                <w:rFonts w:hint="eastAsia"/>
                <w:b/>
                <w:bCs/>
                <w:color w:val="auto"/>
                <w:sz w:val="21"/>
                <w:szCs w:val="22"/>
                <w:highlight w:val="none"/>
              </w:rPr>
              <w:t>4-</w:t>
            </w:r>
            <w:r>
              <w:rPr>
                <w:rFonts w:hint="eastAsia"/>
                <w:b/>
                <w:bCs/>
                <w:color w:val="auto"/>
                <w:sz w:val="21"/>
                <w:szCs w:val="22"/>
                <w:highlight w:val="none"/>
                <w:lang w:val="en-US" w:eastAsia="zh-CN"/>
              </w:rPr>
              <w:t>10</w:t>
            </w:r>
            <w:r>
              <w:rPr>
                <w:b/>
                <w:bCs/>
                <w:color w:val="auto"/>
                <w:sz w:val="21"/>
                <w:szCs w:val="22"/>
                <w:highlight w:val="none"/>
              </w:rPr>
              <w:tab/>
            </w:r>
            <w:r>
              <w:rPr>
                <w:b/>
                <w:bCs/>
                <w:color w:val="auto"/>
                <w:sz w:val="21"/>
                <w:szCs w:val="22"/>
                <w:highlight w:val="none"/>
              </w:rPr>
              <w:t>工业企业噪声源强调查清单（室内声源）</w:t>
            </w:r>
          </w:p>
          <w:tbl>
            <w:tblPr>
              <w:tblStyle w:val="19"/>
              <w:tblpPr w:leftFromText="180" w:rightFromText="180" w:vertAnchor="text" w:horzAnchor="page" w:tblpXSpec="center" w:tblpY="32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42"/>
              <w:gridCol w:w="441"/>
              <w:gridCol w:w="433"/>
              <w:gridCol w:w="666"/>
              <w:gridCol w:w="444"/>
              <w:gridCol w:w="416"/>
              <w:gridCol w:w="533"/>
              <w:gridCol w:w="349"/>
              <w:gridCol w:w="458"/>
              <w:gridCol w:w="458"/>
              <w:gridCol w:w="458"/>
              <w:gridCol w:w="458"/>
              <w:gridCol w:w="458"/>
              <w:gridCol w:w="458"/>
              <w:gridCol w:w="458"/>
              <w:gridCol w:w="458"/>
              <w:gridCol w:w="1263"/>
              <w:gridCol w:w="457"/>
              <w:gridCol w:w="457"/>
              <w:gridCol w:w="457"/>
              <w:gridCol w:w="457"/>
              <w:gridCol w:w="459"/>
              <w:gridCol w:w="459"/>
              <w:gridCol w:w="459"/>
              <w:gridCol w:w="459"/>
              <w:gridCol w:w="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39"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序号</w:t>
                  </w:r>
                </w:p>
              </w:tc>
              <w:tc>
                <w:tcPr>
                  <w:tcW w:w="509"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建筑物名称</w:t>
                  </w:r>
                </w:p>
              </w:tc>
              <w:tc>
                <w:tcPr>
                  <w:tcW w:w="500"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声源名称</w:t>
                  </w:r>
                </w:p>
              </w:tc>
              <w:tc>
                <w:tcPr>
                  <w:tcW w:w="445"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型号</w:t>
                  </w:r>
                </w:p>
              </w:tc>
              <w:tc>
                <w:tcPr>
                  <w:tcW w:w="663" w:type="dxa"/>
                  <w:vAlign w:val="center"/>
                </w:tcPr>
                <w:p>
                  <w:pPr>
                    <w:jc w:val="center"/>
                    <w:rPr>
                      <w:rFonts w:ascii="Times New Roman" w:hAnsi="Times New Roman" w:cs="Times New Roman" w:eastAsiaTheme="minorEastAsia"/>
                      <w:color w:val="auto"/>
                      <w:sz w:val="21"/>
                      <w:szCs w:val="21"/>
                      <w:highlight w:val="none"/>
                      <w:lang w:eastAsia="zh-CN"/>
                    </w:rPr>
                  </w:pPr>
                  <w:r>
                    <w:rPr>
                      <w:rFonts w:ascii="Times New Roman" w:hAnsi="Times New Roman" w:cs="Times New Roman" w:eastAsiaTheme="minorEastAsia"/>
                      <w:b/>
                      <w:color w:val="auto"/>
                      <w:sz w:val="21"/>
                      <w:szCs w:val="21"/>
                      <w:highlight w:val="none"/>
                      <w:lang w:eastAsia="zh-CN"/>
                    </w:rPr>
                    <w:t>声源源强</w:t>
                  </w:r>
                </w:p>
              </w:tc>
              <w:tc>
                <w:tcPr>
                  <w:tcW w:w="505"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声源控制措施</w:t>
                  </w:r>
                </w:p>
              </w:tc>
              <w:tc>
                <w:tcPr>
                  <w:tcW w:w="1466" w:type="dxa"/>
                  <w:gridSpan w:val="3"/>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空间相对位置/m</w:t>
                  </w:r>
                </w:p>
              </w:tc>
              <w:tc>
                <w:tcPr>
                  <w:tcW w:w="1873" w:type="dxa"/>
                  <w:gridSpan w:val="4"/>
                  <w:vAlign w:val="center"/>
                </w:tcPr>
                <w:p>
                  <w:pPr>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距室内边界距离/m</w:t>
                  </w:r>
                </w:p>
              </w:tc>
              <w:tc>
                <w:tcPr>
                  <w:tcW w:w="1864" w:type="dxa"/>
                  <w:gridSpan w:val="4"/>
                  <w:vAlign w:val="center"/>
                </w:tcPr>
                <w:p>
                  <w:pPr>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室内边界声级/dB(A)</w:t>
                  </w:r>
                </w:p>
              </w:tc>
              <w:tc>
                <w:tcPr>
                  <w:tcW w:w="458"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运行时段</w:t>
                  </w:r>
                </w:p>
              </w:tc>
              <w:tc>
                <w:tcPr>
                  <w:tcW w:w="1836" w:type="dxa"/>
                  <w:gridSpan w:val="4"/>
                  <w:vAlign w:val="center"/>
                </w:tcPr>
                <w:p>
                  <w:pPr>
                    <w:jc w:val="center"/>
                    <w:rPr>
                      <w:rFonts w:ascii="Times New Roman" w:hAnsi="Times New Roman" w:cs="Times New Roman" w:eastAsiaTheme="minorEastAsia"/>
                      <w:b/>
                      <w:color w:val="auto"/>
                      <w:sz w:val="21"/>
                      <w:szCs w:val="21"/>
                      <w:highlight w:val="none"/>
                    </w:rPr>
                  </w:pPr>
                  <w:r>
                    <w:rPr>
                      <w:rFonts w:ascii="Times New Roman" w:hAnsi="Times New Roman" w:cs="Times New Roman" w:eastAsiaTheme="minorEastAsia"/>
                      <w:b/>
                      <w:color w:val="auto"/>
                      <w:sz w:val="21"/>
                      <w:szCs w:val="21"/>
                      <w:highlight w:val="none"/>
                    </w:rPr>
                    <w:t>建筑物插入损失 / dB(A)</w:t>
                  </w:r>
                </w:p>
              </w:tc>
              <w:tc>
                <w:tcPr>
                  <w:tcW w:w="2314" w:type="dxa"/>
                  <w:gridSpan w:val="5"/>
                  <w:vAlign w:val="center"/>
                </w:tcPr>
                <w:p>
                  <w:pPr>
                    <w:jc w:val="center"/>
                    <w:rPr>
                      <w:rFonts w:ascii="Times New Roman" w:hAnsi="Times New Roman" w:cs="Times New Roman" w:eastAsiaTheme="minorEastAsia"/>
                      <w:b/>
                      <w:bCs w:val="0"/>
                      <w:color w:val="auto"/>
                      <w:sz w:val="21"/>
                      <w:szCs w:val="21"/>
                      <w:highlight w:val="none"/>
                    </w:rPr>
                  </w:pPr>
                  <w:r>
                    <w:rPr>
                      <w:rFonts w:ascii="Times New Roman" w:hAnsi="Times New Roman" w:cs="Times New Roman" w:eastAsiaTheme="minorEastAsia"/>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lang w:val="en-US" w:eastAsia="zh-CN"/>
                    </w:rPr>
                  </w:pPr>
                </w:p>
              </w:tc>
              <w:tc>
                <w:tcPr>
                  <w:tcW w:w="509" w:type="dxa"/>
                  <w:vMerge w:val="continue"/>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p>
              </w:tc>
              <w:tc>
                <w:tcPr>
                  <w:tcW w:w="500" w:type="dxa"/>
                  <w:vMerge w:val="continue"/>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p>
              </w:tc>
              <w:tc>
                <w:tcPr>
                  <w:tcW w:w="445" w:type="dxa"/>
                  <w:vMerge w:val="continue"/>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p>
              </w:tc>
              <w:tc>
                <w:tcPr>
                  <w:tcW w:w="663"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声功率级/dB(A)</w:t>
                  </w:r>
                </w:p>
              </w:tc>
              <w:tc>
                <w:tcPr>
                  <w:tcW w:w="505" w:type="dxa"/>
                  <w:vMerge w:val="continue"/>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p>
              </w:tc>
              <w:tc>
                <w:tcPr>
                  <w:tcW w:w="478"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X</w:t>
                  </w:r>
                </w:p>
              </w:tc>
              <w:tc>
                <w:tcPr>
                  <w:tcW w:w="554"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Y</w:t>
                  </w:r>
                </w:p>
              </w:tc>
              <w:tc>
                <w:tcPr>
                  <w:tcW w:w="434"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Z</w:t>
                  </w:r>
                </w:p>
              </w:tc>
              <w:tc>
                <w:tcPr>
                  <w:tcW w:w="468"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东</w:t>
                  </w:r>
                </w:p>
              </w:tc>
              <w:tc>
                <w:tcPr>
                  <w:tcW w:w="468"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南</w:t>
                  </w:r>
                </w:p>
              </w:tc>
              <w:tc>
                <w:tcPr>
                  <w:tcW w:w="468"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西</w:t>
                  </w:r>
                </w:p>
              </w:tc>
              <w:tc>
                <w:tcPr>
                  <w:tcW w:w="469"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北</w:t>
                  </w:r>
                </w:p>
              </w:tc>
              <w:tc>
                <w:tcPr>
                  <w:tcW w:w="466"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东</w:t>
                  </w:r>
                </w:p>
              </w:tc>
              <w:tc>
                <w:tcPr>
                  <w:tcW w:w="466"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南</w:t>
                  </w:r>
                </w:p>
              </w:tc>
              <w:tc>
                <w:tcPr>
                  <w:tcW w:w="466"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西</w:t>
                  </w:r>
                </w:p>
              </w:tc>
              <w:tc>
                <w:tcPr>
                  <w:tcW w:w="466"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北</w:t>
                  </w:r>
                </w:p>
              </w:tc>
              <w:tc>
                <w:tcPr>
                  <w:tcW w:w="458" w:type="dxa"/>
                  <w:vMerge w:val="continue"/>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p>
              </w:tc>
              <w:tc>
                <w:tcPr>
                  <w:tcW w:w="459"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东</w:t>
                  </w:r>
                </w:p>
              </w:tc>
              <w:tc>
                <w:tcPr>
                  <w:tcW w:w="459"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南</w:t>
                  </w:r>
                </w:p>
              </w:tc>
              <w:tc>
                <w:tcPr>
                  <w:tcW w:w="459"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西</w:t>
                  </w:r>
                </w:p>
              </w:tc>
              <w:tc>
                <w:tcPr>
                  <w:tcW w:w="459"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北</w:t>
                  </w:r>
                </w:p>
              </w:tc>
              <w:tc>
                <w:tcPr>
                  <w:tcW w:w="472"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东</w:t>
                  </w:r>
                </w:p>
              </w:tc>
              <w:tc>
                <w:tcPr>
                  <w:tcW w:w="472"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南</w:t>
                  </w:r>
                </w:p>
              </w:tc>
              <w:tc>
                <w:tcPr>
                  <w:tcW w:w="472"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西</w:t>
                  </w:r>
                </w:p>
              </w:tc>
              <w:tc>
                <w:tcPr>
                  <w:tcW w:w="472"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北</w:t>
                  </w:r>
                </w:p>
              </w:tc>
              <w:tc>
                <w:tcPr>
                  <w:tcW w:w="426" w:type="dxa"/>
                  <w:shd w:val="clear" w:color="auto" w:fill="FFFFFF"/>
                  <w:tcMar>
                    <w:top w:w="0" w:type="dxa"/>
                    <w:left w:w="0" w:type="dxa"/>
                    <w:bottom w:w="0" w:type="dxa"/>
                    <w:right w:w="0" w:type="dxa"/>
                  </w:tcMar>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c>
                <w:tcPr>
                  <w:tcW w:w="509" w:type="dxa"/>
                  <w:vMerge w:val="restart"/>
                  <w:shd w:val="clear" w:color="auto" w:fill="FFFFFF"/>
                  <w:tcMar>
                    <w:top w:w="0" w:type="dxa"/>
                    <w:left w:w="0" w:type="dxa"/>
                    <w:bottom w:w="0" w:type="dxa"/>
                    <w:right w:w="0" w:type="dxa"/>
                  </w:tcMar>
                  <w:vAlign w:val="center"/>
                </w:tcPr>
                <w:p>
                  <w:pPr>
                    <w:jc w:val="center"/>
                    <w:rPr>
                      <w:color w:val="auto"/>
                      <w:highlight w:val="none"/>
                    </w:rPr>
                  </w:pPr>
                  <w:r>
                    <w:rPr>
                      <w:rFonts w:hint="eastAsia" w:ascii="Arial" w:hAnsi="Arial" w:eastAsia="宋体" w:cs="Arial"/>
                      <w:color w:val="auto"/>
                      <w:sz w:val="20"/>
                      <w:highlight w:val="none"/>
                      <w:lang w:val="en-US" w:eastAsia="zh-CN"/>
                    </w:rPr>
                    <w:t>年产600万只高频变压器生产项目</w:t>
                  </w: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自动绕线机</w:t>
                  </w:r>
                </w:p>
              </w:tc>
              <w:tc>
                <w:tcPr>
                  <w:tcW w:w="445" w:type="dxa"/>
                  <w:shd w:val="clear" w:color="auto" w:fill="FFFFFF"/>
                  <w:tcMar>
                    <w:top w:w="0" w:type="dxa"/>
                    <w:left w:w="0" w:type="dxa"/>
                    <w:bottom w:w="0" w:type="dxa"/>
                    <w:right w:w="0" w:type="dxa"/>
                  </w:tcMar>
                  <w:vAlign w:val="center"/>
                </w:tcPr>
                <w:p>
                  <w:pPr>
                    <w:jc w:val="center"/>
                    <w:rPr>
                      <w:rFonts w:hint="default" w:eastAsia="宋体"/>
                      <w:color w:val="auto"/>
                      <w:highlight w:val="none"/>
                      <w:lang w:val="en-US" w:eastAsia="zh-CN"/>
                    </w:rPr>
                  </w:pPr>
                  <w:r>
                    <w:rPr>
                      <w:rFonts w:hint="eastAsia"/>
                      <w:color w:val="auto"/>
                      <w:highlight w:val="none"/>
                      <w:lang w:val="en-US" w:eastAsia="zh-CN"/>
                    </w:rPr>
                    <w:t>16轴、12轴、单轴</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85.1</w:t>
                  </w:r>
                </w:p>
              </w:tc>
              <w:tc>
                <w:tcPr>
                  <w:tcW w:w="505" w:type="dxa"/>
                  <w:vMerge w:val="restart"/>
                  <w:shd w:val="clear" w:color="auto" w:fill="FFFFFF"/>
                  <w:tcMar>
                    <w:top w:w="0" w:type="dxa"/>
                    <w:left w:w="0" w:type="dxa"/>
                    <w:bottom w:w="0" w:type="dxa"/>
                    <w:right w:w="0" w:type="dxa"/>
                  </w:tcMar>
                  <w:vAlign w:val="center"/>
                </w:tcPr>
                <w:p>
                  <w:pPr>
                    <w:jc w:val="center"/>
                    <w:rPr>
                      <w:rFonts w:hint="default"/>
                      <w:color w:val="auto"/>
                      <w:highlight w:val="none"/>
                      <w:lang w:val="en-US"/>
                    </w:rPr>
                  </w:pPr>
                  <w:r>
                    <w:rPr>
                      <w:rFonts w:hint="eastAsia" w:ascii="Times New Roman" w:hAnsi="Times New Roman"/>
                      <w:color w:val="auto"/>
                      <w:sz w:val="21"/>
                      <w:szCs w:val="21"/>
                      <w:highlight w:val="none"/>
                      <w:lang w:val="en-US" w:eastAsia="zh-CN"/>
                    </w:rPr>
                    <w:t>设备基础减震、距离衰减、选用低噪声设备、建筑隔声</w:t>
                  </w: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9</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2.1</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20.8</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22.5</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18.5</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73.0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72.1</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72.1</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72.1</w:t>
                  </w:r>
                </w:p>
              </w:tc>
              <w:tc>
                <w:tcPr>
                  <w:tcW w:w="458" w:type="dxa"/>
                  <w:vMerge w:val="restart"/>
                  <w:shd w:val="clear" w:color="auto" w:fill="FFFFFF"/>
                  <w:tcMar>
                    <w:top w:w="0" w:type="dxa"/>
                    <w:left w:w="0" w:type="dxa"/>
                    <w:bottom w:w="0" w:type="dxa"/>
                    <w:right w:w="0" w:type="dxa"/>
                  </w:tcMar>
                  <w:vAlign w:val="center"/>
                </w:tcPr>
                <w:p>
                  <w:pPr>
                    <w:jc w:val="center"/>
                    <w:rPr>
                      <w:color w:val="auto"/>
                      <w:highlight w:val="none"/>
                    </w:rPr>
                  </w:pPr>
                  <w:r>
                    <w:rPr>
                      <w:rFonts w:hint="eastAsia" w:ascii="Times New Roman" w:hAnsi="Times New Roman" w:eastAsia="宋体"/>
                      <w:b w:val="0"/>
                      <w:color w:val="auto"/>
                      <w:sz w:val="21"/>
                      <w:highlight w:val="none"/>
                      <w:lang w:val="en-US" w:eastAsia="zh-CN"/>
                    </w:rPr>
                    <w:t>9:00~17:00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47.0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46.1</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46.1</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46.1</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焊锡机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78</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-6.7</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-15.6</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20.9</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4.6</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32.2</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65.5</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39.5</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39.3</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自动装配机</w:t>
                  </w:r>
                </w:p>
              </w:tc>
              <w:tc>
                <w:tcPr>
                  <w:tcW w:w="445" w:type="dxa"/>
                  <w:shd w:val="clear" w:color="auto" w:fill="FFFFFF"/>
                  <w:tcMar>
                    <w:top w:w="0" w:type="dxa"/>
                    <w:left w:w="0" w:type="dxa"/>
                    <w:bottom w:w="0" w:type="dxa"/>
                    <w:right w:w="0" w:type="dxa"/>
                  </w:tcMar>
                  <w:vAlign w:val="center"/>
                </w:tcPr>
                <w:p>
                  <w:pPr>
                    <w:jc w:val="center"/>
                    <w:rPr>
                      <w:rFonts w:hint="default"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79</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7.6</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20.8</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21.1</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18.3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66.4</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40.4</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含浸机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73</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-5.9</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-14.5</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19.9</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4.8</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5.5</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31.3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60.0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60.3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60.2</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60.0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34.0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34.3</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34.2</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34.0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烤箱</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76</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-6.4</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-16.4</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20.7</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2.9</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4.8</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33.1</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63.7</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37.7</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37.3</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ascii="Arial" w:hAnsi="Arial" w:eastAsia="Arial" w:cs="Arial"/>
                      <w:color w:val="auto"/>
                      <w:sz w:val="20"/>
                      <w:highlight w:val="none"/>
                    </w:rPr>
                    <w:t>激光打标机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-8.7</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0.3</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20.4</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19.7</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4.7</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16.3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52.0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52.0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52.3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52.0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26.3</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激光脱皮机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76</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-7.8</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-12.7</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5</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21.5</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6.7</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29.1</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63.1</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63.4</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63.0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37.1</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37.4</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37.0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8</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半自动装配机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79</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7.7</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0.7</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4.1</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19.5</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21.0</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19.6</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66.4</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66.0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40.4</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40.0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9</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耐压机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78</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-9.6</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-1.4</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21.5</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18.1</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3.6</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17.7</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65.5</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39.5</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43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10</w:t>
                  </w:r>
                </w:p>
              </w:tc>
              <w:tc>
                <w:tcPr>
                  <w:tcW w:w="509"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500"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电感机</w:t>
                  </w:r>
                </w:p>
              </w:tc>
              <w:tc>
                <w:tcPr>
                  <w:tcW w:w="445" w:type="dxa"/>
                  <w:shd w:val="clear" w:color="auto" w:fill="FFFFFF"/>
                  <w:tcMar>
                    <w:top w:w="0" w:type="dxa"/>
                    <w:left w:w="0" w:type="dxa"/>
                    <w:bottom w:w="0" w:type="dxa"/>
                    <w:right w:w="0" w:type="dxa"/>
                  </w:tcMar>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663"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78</w:t>
                  </w:r>
                </w:p>
              </w:tc>
              <w:tc>
                <w:tcPr>
                  <w:tcW w:w="505"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7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-8.5</w:t>
                  </w:r>
                </w:p>
              </w:tc>
              <w:tc>
                <w:tcPr>
                  <w:tcW w:w="55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c>
                <w:tcPr>
                  <w:tcW w:w="434"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1.2</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20.4</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18.4</w:t>
                  </w:r>
                </w:p>
              </w:tc>
              <w:tc>
                <w:tcPr>
                  <w:tcW w:w="468"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4.7</w:t>
                  </w:r>
                </w:p>
              </w:tc>
              <w:tc>
                <w:tcPr>
                  <w:tcW w:w="46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17.6</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65.3</w:t>
                  </w:r>
                </w:p>
              </w:tc>
              <w:tc>
                <w:tcPr>
                  <w:tcW w:w="46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65.0</w:t>
                  </w:r>
                </w:p>
              </w:tc>
              <w:tc>
                <w:tcPr>
                  <w:tcW w:w="458" w:type="dxa"/>
                  <w:vMerge w:val="continue"/>
                  <w:shd w:val="clear" w:color="auto" w:fill="FFFFFF"/>
                  <w:tcMar>
                    <w:top w:w="0" w:type="dxa"/>
                    <w:left w:w="0" w:type="dxa"/>
                    <w:bottom w:w="0" w:type="dxa"/>
                    <w:right w:w="0" w:type="dxa"/>
                  </w:tcMar>
                  <w:vAlign w:val="center"/>
                </w:tcPr>
                <w:p>
                  <w:pPr>
                    <w:jc w:val="center"/>
                    <w:rPr>
                      <w:color w:val="auto"/>
                      <w:highlight w:val="none"/>
                    </w:rPr>
                  </w:pP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59"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26.0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39.3</w:t>
                  </w:r>
                </w:p>
              </w:tc>
              <w:tc>
                <w:tcPr>
                  <w:tcW w:w="472"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39.0</w:t>
                  </w:r>
                </w:p>
              </w:tc>
              <w:tc>
                <w:tcPr>
                  <w:tcW w:w="426" w:type="dxa"/>
                  <w:shd w:val="clear" w:color="auto" w:fill="FFFFFF"/>
                  <w:tcMar>
                    <w:top w:w="0" w:type="dxa"/>
                    <w:left w:w="0" w:type="dxa"/>
                    <w:bottom w:w="0" w:type="dxa"/>
                    <w:right w:w="0" w:type="dxa"/>
                  </w:tcMar>
                  <w:vAlign w:val="center"/>
                </w:tcPr>
                <w:p>
                  <w:pPr>
                    <w:jc w:val="center"/>
                    <w:rPr>
                      <w:color w:val="auto"/>
                      <w:highlight w:val="none"/>
                    </w:rPr>
                  </w:pPr>
                  <w:r>
                    <w:rPr>
                      <w:rFonts w:ascii="Arial" w:hAnsi="Arial" w:eastAsia="Arial" w:cs="Arial"/>
                      <w:color w:val="auto"/>
                      <w:sz w:val="20"/>
                      <w:highlight w:val="none"/>
                    </w:rPr>
                    <w:t>1</w:t>
                  </w:r>
                </w:p>
              </w:tc>
            </w:tr>
          </w:tbl>
          <w:p>
            <w:pPr>
              <w:pStyle w:val="18"/>
              <w:ind w:firstLine="0" w:firstLineChars="0"/>
              <w:jc w:val="both"/>
              <w:rPr>
                <w:rFonts w:cs="Times New Roman" w:asciiTheme="minorEastAsia" w:hAnsiTheme="minorEastAsia" w:eastAsiaTheme="minorEastAsia"/>
                <w:b/>
                <w:bCs/>
                <w:color w:val="auto"/>
                <w:highlight w:val="none"/>
                <w:lang w:eastAsia="zh-CN"/>
              </w:rPr>
            </w:pPr>
          </w:p>
          <w:p>
            <w:pPr>
              <w:pStyle w:val="18"/>
              <w:ind w:firstLine="0" w:firstLineChars="0"/>
              <w:jc w:val="center"/>
              <w:rPr>
                <w:rFonts w:ascii="Times New Roman" w:hAnsi="Times New Roman" w:cs="Times New Roman"/>
                <w:color w:val="auto"/>
                <w:highlight w:val="none"/>
                <w:lang w:eastAsia="zh-CN"/>
              </w:rPr>
            </w:pPr>
            <w:r>
              <w:rPr>
                <w:rFonts w:cs="Times New Roman" w:asciiTheme="minorEastAsia" w:hAnsiTheme="minorEastAsia" w:eastAsiaTheme="minorEastAsia"/>
                <w:b/>
                <w:bCs/>
                <w:color w:val="auto"/>
                <w:highlight w:val="none"/>
                <w:lang w:eastAsia="zh-CN"/>
              </w:rPr>
              <w:t>表</w:t>
            </w:r>
            <w:r>
              <w:rPr>
                <w:rFonts w:hint="eastAsia" w:cs="Times New Roman" w:asciiTheme="minorEastAsia" w:hAnsiTheme="minorEastAsia" w:eastAsiaTheme="minorEastAsia"/>
                <w:b/>
                <w:bCs/>
                <w:color w:val="auto"/>
                <w:highlight w:val="none"/>
                <w:lang w:val="en-US" w:eastAsia="zh-CN"/>
              </w:rPr>
              <w:t>4-11</w:t>
            </w:r>
            <w:r>
              <w:rPr>
                <w:rFonts w:cs="Times New Roman" w:asciiTheme="minorEastAsia" w:hAnsiTheme="minorEastAsia" w:eastAsiaTheme="minorEastAsia"/>
                <w:b/>
                <w:bCs/>
                <w:color w:val="auto"/>
                <w:highlight w:val="none"/>
                <w:lang w:eastAsia="zh-CN"/>
              </w:rPr>
              <w:tab/>
            </w:r>
            <w:r>
              <w:rPr>
                <w:rFonts w:cs="Times New Roman" w:asciiTheme="minorEastAsia" w:hAnsiTheme="minorEastAsia" w:eastAsiaTheme="minorEastAsia"/>
                <w:b/>
                <w:bCs/>
                <w:color w:val="auto"/>
                <w:highlight w:val="none"/>
                <w:lang w:eastAsia="zh-CN"/>
              </w:rPr>
              <w:t>工业企业噪声源强调查清单（室外声源）</w:t>
            </w:r>
            <w:bookmarkStart w:id="3" w:name="PT_5"/>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074"/>
              <w:gridCol w:w="647"/>
              <w:gridCol w:w="744"/>
              <w:gridCol w:w="744"/>
              <w:gridCol w:w="542"/>
              <w:gridCol w:w="3788"/>
              <w:gridCol w:w="1735"/>
              <w:gridCol w:w="1482"/>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0" w:type="auto"/>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序号</w:t>
                  </w:r>
                </w:p>
              </w:tc>
              <w:tc>
                <w:tcPr>
                  <w:tcW w:w="0" w:type="auto"/>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声源名称</w:t>
                  </w:r>
                </w:p>
              </w:tc>
              <w:tc>
                <w:tcPr>
                  <w:tcW w:w="0" w:type="auto"/>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型号</w:t>
                  </w:r>
                </w:p>
              </w:tc>
              <w:tc>
                <w:tcPr>
                  <w:tcW w:w="0" w:type="auto"/>
                  <w:gridSpan w:val="3"/>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空间相对位置/m</w:t>
                  </w:r>
                </w:p>
              </w:tc>
              <w:tc>
                <w:tcPr>
                  <w:tcW w:w="0" w:type="auto"/>
                  <w:gridSpan w:val="2"/>
                  <w:vAlign w:val="center"/>
                </w:tcPr>
                <w:p>
                  <w:pPr>
                    <w:jc w:val="center"/>
                    <w:rPr>
                      <w:rFonts w:ascii="Times New Roman" w:hAnsi="Times New Roman" w:cs="Times New Roman" w:eastAsiaTheme="minorEastAsia"/>
                      <w:color w:val="auto"/>
                      <w:sz w:val="21"/>
                      <w:szCs w:val="21"/>
                      <w:highlight w:val="none"/>
                      <w:lang w:eastAsia="zh-CN"/>
                    </w:rPr>
                  </w:pPr>
                  <w:r>
                    <w:rPr>
                      <w:rFonts w:ascii="Times New Roman" w:hAnsi="Times New Roman" w:cs="Times New Roman" w:eastAsiaTheme="minorEastAsia"/>
                      <w:b/>
                      <w:color w:val="auto"/>
                      <w:sz w:val="21"/>
                      <w:szCs w:val="21"/>
                      <w:highlight w:val="none"/>
                      <w:lang w:eastAsia="zh-CN"/>
                    </w:rPr>
                    <w:t>声源源强（任选一种）</w:t>
                  </w:r>
                </w:p>
              </w:tc>
              <w:tc>
                <w:tcPr>
                  <w:tcW w:w="1482"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声源控制措施</w:t>
                  </w:r>
                </w:p>
              </w:tc>
              <w:tc>
                <w:tcPr>
                  <w:tcW w:w="1182"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0" w:type="auto"/>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0" w:type="auto"/>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0" w:type="auto"/>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X</w:t>
                  </w:r>
                </w:p>
              </w:tc>
              <w:tc>
                <w:tcPr>
                  <w:tcW w:w="0" w:type="auto"/>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Y</w:t>
                  </w:r>
                </w:p>
              </w:tc>
              <w:tc>
                <w:tcPr>
                  <w:tcW w:w="0" w:type="auto"/>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Z</w:t>
                  </w:r>
                </w:p>
              </w:tc>
              <w:tc>
                <w:tcPr>
                  <w:tcW w:w="0" w:type="auto"/>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（声压级/距声源距离）/（dB(A)/m）</w:t>
                  </w:r>
                </w:p>
              </w:tc>
              <w:tc>
                <w:tcPr>
                  <w:tcW w:w="0" w:type="auto"/>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声功率级/dB(A)</w:t>
                  </w:r>
                </w:p>
              </w:tc>
              <w:tc>
                <w:tcPr>
                  <w:tcW w:w="1482"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bookmarkEnd w:id="3"/>
              </w:tc>
              <w:tc>
                <w:tcPr>
                  <w:tcW w:w="1182"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95" w:hRule="exact"/>
                <w:jc w:val="center"/>
              </w:trPr>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空压机</w:t>
                  </w:r>
                </w:p>
              </w:tc>
              <w:tc>
                <w:tcPr>
                  <w:tcW w:w="0" w:type="auto"/>
                  <w:shd w:val="clear" w:color="auto" w:fill="FFFFFF"/>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11.5</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19.8</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1.2</w:t>
                  </w:r>
                </w:p>
              </w:tc>
              <w:tc>
                <w:tcPr>
                  <w:tcW w:w="0" w:type="auto"/>
                  <w:shd w:val="clear" w:color="auto" w:fill="FFFFFF"/>
                  <w:vAlign w:val="center"/>
                </w:tcPr>
                <w:p>
                  <w:pPr>
                    <w:jc w:val="center"/>
                    <w:rPr>
                      <w:color w:val="auto"/>
                      <w:highlight w:val="none"/>
                    </w:rPr>
                  </w:pP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60</w:t>
                  </w:r>
                </w:p>
              </w:tc>
              <w:tc>
                <w:tcPr>
                  <w:tcW w:w="1482" w:type="dxa"/>
                  <w:vMerge w:val="restart"/>
                  <w:shd w:val="clear" w:color="auto" w:fill="FFFFFF"/>
                  <w:vAlign w:val="center"/>
                </w:tcPr>
                <w:p>
                  <w:pPr>
                    <w:jc w:val="center"/>
                    <w:rPr>
                      <w:color w:val="auto"/>
                      <w:highlight w:val="none"/>
                    </w:rPr>
                  </w:pPr>
                  <w:r>
                    <w:rPr>
                      <w:rFonts w:hint="eastAsia" w:ascii="Times New Roman" w:hAnsi="Times New Roman"/>
                      <w:color w:val="auto"/>
                      <w:sz w:val="21"/>
                      <w:szCs w:val="21"/>
                      <w:highlight w:val="none"/>
                      <w:lang w:val="en-US" w:eastAsia="zh-CN"/>
                    </w:rPr>
                    <w:t>设备基础减震、距离衰减、选用低噪声设备、建筑隔声</w:t>
                  </w:r>
                </w:p>
              </w:tc>
              <w:tc>
                <w:tcPr>
                  <w:tcW w:w="1182" w:type="dxa"/>
                  <w:vMerge w:val="restart"/>
                  <w:shd w:val="clear" w:color="auto" w:fill="FFFFFF"/>
                  <w:vAlign w:val="center"/>
                </w:tcPr>
                <w:p>
                  <w:pPr>
                    <w:jc w:val="center"/>
                    <w:rPr>
                      <w:rFonts w:hint="default" w:eastAsia="宋体"/>
                      <w:color w:val="auto"/>
                      <w:highlight w:val="none"/>
                      <w:lang w:val="en-US" w:eastAsia="zh-CN"/>
                    </w:rPr>
                  </w:pPr>
                  <w:r>
                    <w:rPr>
                      <w:rFonts w:hint="eastAsia" w:ascii="Times New Roman" w:hAnsi="Times New Roman" w:eastAsia="宋体"/>
                      <w:b w:val="0"/>
                      <w:color w:val="auto"/>
                      <w:sz w:val="21"/>
                      <w:highlight w:val="none"/>
                      <w:lang w:val="en-US" w:eastAsia="zh-CN"/>
                    </w:rPr>
                    <w:t>9:00~17:00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2" w:hRule="exact"/>
                <w:jc w:val="center"/>
              </w:trPr>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2</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风机</w:t>
                  </w:r>
                </w:p>
              </w:tc>
              <w:tc>
                <w:tcPr>
                  <w:tcW w:w="0" w:type="auto"/>
                  <w:shd w:val="clear" w:color="auto" w:fill="FFFFFF"/>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-13.1</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-16.2</w:t>
                  </w: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1.2</w:t>
                  </w:r>
                </w:p>
              </w:tc>
              <w:tc>
                <w:tcPr>
                  <w:tcW w:w="0" w:type="auto"/>
                  <w:shd w:val="clear" w:color="auto" w:fill="FFFFFF"/>
                  <w:vAlign w:val="center"/>
                </w:tcPr>
                <w:p>
                  <w:pPr>
                    <w:jc w:val="center"/>
                    <w:rPr>
                      <w:color w:val="auto"/>
                      <w:highlight w:val="none"/>
                    </w:rPr>
                  </w:pPr>
                </w:p>
              </w:tc>
              <w:tc>
                <w:tcPr>
                  <w:tcW w:w="0" w:type="auto"/>
                  <w:shd w:val="clear" w:color="auto" w:fill="FFFFFF"/>
                  <w:vAlign w:val="center"/>
                </w:tcPr>
                <w:p>
                  <w:pPr>
                    <w:jc w:val="center"/>
                    <w:rPr>
                      <w:color w:val="auto"/>
                      <w:highlight w:val="none"/>
                    </w:rPr>
                  </w:pPr>
                  <w:r>
                    <w:rPr>
                      <w:rFonts w:ascii="Arial" w:hAnsi="Arial" w:eastAsia="Arial" w:cs="Arial"/>
                      <w:color w:val="auto"/>
                      <w:sz w:val="20"/>
                      <w:highlight w:val="none"/>
                    </w:rPr>
                    <w:t>60</w:t>
                  </w:r>
                </w:p>
              </w:tc>
              <w:tc>
                <w:tcPr>
                  <w:tcW w:w="1482" w:type="dxa"/>
                  <w:vMerge w:val="continue"/>
                  <w:shd w:val="clear" w:color="auto" w:fill="FFFFFF"/>
                  <w:vAlign w:val="center"/>
                </w:tcPr>
                <w:p>
                  <w:pPr>
                    <w:jc w:val="center"/>
                    <w:rPr>
                      <w:color w:val="auto"/>
                      <w:highlight w:val="none"/>
                    </w:rPr>
                  </w:pPr>
                </w:p>
              </w:tc>
              <w:tc>
                <w:tcPr>
                  <w:tcW w:w="1182" w:type="dxa"/>
                  <w:vMerge w:val="continue"/>
                  <w:shd w:val="clear" w:color="auto" w:fill="FFFFFF"/>
                  <w:vAlign w:val="center"/>
                </w:tcPr>
                <w:p>
                  <w:pPr>
                    <w:jc w:val="center"/>
                    <w:rPr>
                      <w:color w:val="auto"/>
                      <w:highlight w:val="none"/>
                    </w:rPr>
                  </w:pPr>
                </w:p>
              </w:tc>
            </w:tr>
          </w:tbl>
          <w:p>
            <w:pPr>
              <w:ind w:firstLine="1050" w:firstLineChars="500"/>
              <w:rPr>
                <w:rFonts w:hint="default"/>
                <w:color w:val="auto"/>
                <w:highlight w:val="none"/>
              </w:rPr>
            </w:pPr>
            <w:r>
              <w:rPr>
                <w:rFonts w:hint="default" w:ascii="Times New Roman" w:hAnsi="Times New Roman" w:cs="Times New Roman" w:eastAsiaTheme="minorEastAsia"/>
                <w:b w:val="0"/>
                <w:bCs/>
                <w:color w:val="auto"/>
                <w:sz w:val="21"/>
                <w:szCs w:val="21"/>
                <w:highlight w:val="none"/>
                <w:lang w:val="en-US" w:eastAsia="zh-CN"/>
              </w:rPr>
              <w:t>表中坐标以厂界中心（</w:t>
            </w:r>
            <w:bookmarkStart w:id="4" w:name="PO_6"/>
            <w:r>
              <w:rPr>
                <w:rFonts w:hint="default" w:ascii="Times New Roman" w:hAnsi="Times New Roman" w:cs="Times New Roman" w:eastAsiaTheme="minorEastAsia"/>
                <w:b w:val="0"/>
                <w:bCs/>
                <w:color w:val="auto"/>
                <w:sz w:val="21"/>
                <w:szCs w:val="21"/>
                <w:highlight w:val="none"/>
                <w:lang w:val="en-US" w:eastAsia="zh-CN"/>
              </w:rPr>
              <w:t>105.684860,30.733137</w:t>
            </w:r>
            <w:bookmarkEnd w:id="4"/>
            <w:r>
              <w:rPr>
                <w:rFonts w:hint="default" w:ascii="Times New Roman" w:hAnsi="Times New Roman" w:cs="Times New Roman" w:eastAsiaTheme="minorEastAsia"/>
                <w:b w:val="0"/>
                <w:bCs/>
                <w:color w:val="auto"/>
                <w:sz w:val="21"/>
                <w:szCs w:val="21"/>
                <w:highlight w:val="none"/>
                <w:lang w:val="en-US" w:eastAsia="zh-CN"/>
              </w:rPr>
              <w:t>）为坐标原点，正东向为X轴正方向，正北向为Y轴正方向</w:t>
            </w:r>
          </w:p>
        </w:tc>
      </w:tr>
    </w:tbl>
    <w:p>
      <w:pPr>
        <w:pStyle w:val="18"/>
        <w:spacing w:before="0" w:after="0" w:line="240" w:lineRule="auto"/>
        <w:ind w:right="0" w:firstLine="0" w:firstLineChars="0"/>
        <w:jc w:val="center"/>
        <w:rPr>
          <w:b/>
          <w:bCs/>
          <w:color w:val="auto"/>
          <w:sz w:val="21"/>
          <w:szCs w:val="22"/>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pPr>
              <w:adjustRightInd w:val="0"/>
              <w:snapToGrid w:val="0"/>
              <w:spacing w:line="240" w:lineRule="auto"/>
              <w:jc w:val="center"/>
              <w:rPr>
                <w:b/>
                <w:bCs/>
                <w:color w:val="auto"/>
                <w:kern w:val="0"/>
                <w:sz w:val="21"/>
                <w:szCs w:val="22"/>
                <w:highlight w:val="none"/>
              </w:rPr>
            </w:pPr>
            <w:r>
              <w:rPr>
                <w:b/>
                <w:bCs/>
                <w:color w:val="auto"/>
                <w:kern w:val="0"/>
                <w:sz w:val="21"/>
                <w:szCs w:val="22"/>
                <w:highlight w:val="none"/>
              </w:rPr>
              <w:t>表</w:t>
            </w:r>
            <w:r>
              <w:rPr>
                <w:rFonts w:hint="eastAsia"/>
                <w:b/>
                <w:bCs/>
                <w:color w:val="auto"/>
                <w:kern w:val="0"/>
                <w:sz w:val="21"/>
                <w:szCs w:val="22"/>
                <w:highlight w:val="none"/>
              </w:rPr>
              <w:t>4-</w:t>
            </w:r>
            <w:r>
              <w:rPr>
                <w:rFonts w:hint="eastAsia"/>
                <w:b/>
                <w:bCs/>
                <w:color w:val="auto"/>
                <w:kern w:val="0"/>
                <w:sz w:val="21"/>
                <w:szCs w:val="22"/>
                <w:highlight w:val="none"/>
                <w:lang w:val="en-US" w:eastAsia="zh-CN"/>
              </w:rPr>
              <w:t>12</w:t>
            </w:r>
            <w:r>
              <w:rPr>
                <w:b/>
                <w:bCs/>
                <w:color w:val="auto"/>
                <w:kern w:val="0"/>
                <w:sz w:val="21"/>
                <w:szCs w:val="22"/>
                <w:highlight w:val="none"/>
              </w:rPr>
              <w:t xml:space="preserve">  厂界噪声预测结果与达标分析表</w:t>
            </w:r>
            <w:bookmarkStart w:id="5" w:name="PT_7"/>
          </w:p>
          <w:bookmarkEnd w:id="5"/>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预测方位</w:t>
                  </w:r>
                </w:p>
              </w:tc>
              <w:tc>
                <w:tcPr>
                  <w:tcW w:w="2409" w:type="dxa"/>
                  <w:gridSpan w:val="3"/>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b/>
                      <w:color w:val="auto"/>
                      <w:sz w:val="21"/>
                      <w:szCs w:val="21"/>
                      <w:highlight w:val="none"/>
                      <w:lang w:val="en-US" w:eastAsia="zh-CN"/>
                    </w:rPr>
                    <w:t>最大值点</w:t>
                  </w:r>
                  <w:r>
                    <w:rPr>
                      <w:rFonts w:ascii="Times New Roman" w:hAnsi="Times New Roman" w:cs="Times New Roman" w:eastAsiaTheme="minorEastAsia"/>
                      <w:b/>
                      <w:color w:val="auto"/>
                      <w:sz w:val="21"/>
                      <w:szCs w:val="21"/>
                      <w:highlight w:val="none"/>
                    </w:rPr>
                    <w:t>空间相对位置/m</w:t>
                  </w:r>
                </w:p>
              </w:tc>
              <w:tc>
                <w:tcPr>
                  <w:tcW w:w="993"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时段</w:t>
                  </w:r>
                </w:p>
              </w:tc>
              <w:tc>
                <w:tcPr>
                  <w:tcW w:w="1417" w:type="dxa"/>
                  <w:vMerge w:val="restart"/>
                  <w:vAlign w:val="center"/>
                </w:tcPr>
                <w:p>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b/>
                      <w:color w:val="auto"/>
                      <w:sz w:val="21"/>
                      <w:szCs w:val="21"/>
                      <w:highlight w:val="none"/>
                    </w:rPr>
                    <w:t>贡献值</w:t>
                  </w:r>
                  <w:r>
                    <w:rPr>
                      <w:rFonts w:ascii="Times New Roman" w:hAnsi="Times New Roman" w:cs="Times New Roman" w:eastAsiaTheme="minorEastAsia"/>
                      <w:b/>
                      <w:color w:val="auto"/>
                      <w:sz w:val="21"/>
                      <w:szCs w:val="21"/>
                      <w:highlight w:val="none"/>
                    </w:rPr>
                    <w:t>（dB(A)）</w:t>
                  </w:r>
                </w:p>
              </w:tc>
              <w:tc>
                <w:tcPr>
                  <w:tcW w:w="1418"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标准限值（dB(A)）</w:t>
                  </w:r>
                </w:p>
              </w:tc>
              <w:tc>
                <w:tcPr>
                  <w:tcW w:w="1188" w:type="dxa"/>
                  <w:vMerge w:val="restart"/>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803" w:type="dxa"/>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X</w:t>
                  </w:r>
                </w:p>
              </w:tc>
              <w:tc>
                <w:tcPr>
                  <w:tcW w:w="803" w:type="dxa"/>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Y</w:t>
                  </w:r>
                </w:p>
              </w:tc>
              <w:tc>
                <w:tcPr>
                  <w:tcW w:w="803" w:type="dxa"/>
                  <w:shd w:val="clear" w:color="auto" w:fill="FFFFFF"/>
                  <w:vAlign w:val="center"/>
                </w:tcPr>
                <w:p>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Z</w:t>
                  </w:r>
                </w:p>
              </w:tc>
              <w:tc>
                <w:tcPr>
                  <w:tcW w:w="993"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1417"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1418"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c>
                <w:tcPr>
                  <w:tcW w:w="1188" w:type="dxa"/>
                  <w:vMerge w:val="continue"/>
                  <w:shd w:val="clear" w:color="auto" w:fill="FFFFFF"/>
                  <w:vAlign w:val="center"/>
                </w:tcPr>
                <w:p>
                  <w:pPr>
                    <w:jc w:val="center"/>
                    <w:rPr>
                      <w:rFonts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pPr>
                    <w:rPr>
                      <w:color w:val="auto"/>
                      <w:highlight w:val="none"/>
                    </w:rPr>
                  </w:pPr>
                  <w:r>
                    <w:rPr>
                      <w:rFonts w:ascii="Arial" w:hAnsi="Arial" w:eastAsia="Arial" w:cs="Arial"/>
                      <w:color w:val="auto"/>
                      <w:sz w:val="20"/>
                      <w:highlight w:val="none"/>
                    </w:rPr>
                    <w:t>东侧</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13</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1.8</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1.2</w:t>
                  </w:r>
                </w:p>
              </w:tc>
              <w:tc>
                <w:tcPr>
                  <w:tcW w:w="993" w:type="dxa"/>
                  <w:shd w:val="clear" w:color="auto" w:fill="FFFFFF"/>
                  <w:vAlign w:val="center"/>
                </w:tcPr>
                <w:p>
                  <w:pPr>
                    <w:rPr>
                      <w:color w:val="auto"/>
                      <w:highlight w:val="none"/>
                    </w:rPr>
                  </w:pPr>
                  <w:r>
                    <w:rPr>
                      <w:rFonts w:ascii="Arial" w:hAnsi="Arial" w:eastAsia="Arial" w:cs="Arial"/>
                      <w:color w:val="auto"/>
                      <w:sz w:val="20"/>
                      <w:highlight w:val="none"/>
                    </w:rPr>
                    <w:t>昼间</w:t>
                  </w:r>
                </w:p>
              </w:tc>
              <w:tc>
                <w:tcPr>
                  <w:tcW w:w="1417" w:type="dxa"/>
                  <w:shd w:val="clear" w:color="auto" w:fill="FFFFFF"/>
                  <w:vAlign w:val="center"/>
                </w:tcPr>
                <w:p>
                  <w:pPr>
                    <w:rPr>
                      <w:color w:val="auto"/>
                      <w:highlight w:val="none"/>
                    </w:rPr>
                  </w:pPr>
                  <w:r>
                    <w:rPr>
                      <w:rFonts w:ascii="Arial" w:hAnsi="Arial" w:eastAsia="Arial" w:cs="Arial"/>
                      <w:color w:val="auto"/>
                      <w:sz w:val="20"/>
                      <w:highlight w:val="none"/>
                    </w:rPr>
                    <w:t>54.3</w:t>
                  </w:r>
                </w:p>
              </w:tc>
              <w:tc>
                <w:tcPr>
                  <w:tcW w:w="1418" w:type="dxa"/>
                  <w:shd w:val="clear" w:color="auto" w:fill="FFFFFF"/>
                  <w:vAlign w:val="center"/>
                </w:tcPr>
                <w:p>
                  <w:pPr>
                    <w:rPr>
                      <w:color w:val="auto"/>
                      <w:highlight w:val="none"/>
                    </w:rPr>
                  </w:pPr>
                  <w:r>
                    <w:rPr>
                      <w:rFonts w:ascii="Arial" w:hAnsi="Arial" w:eastAsia="Arial" w:cs="Arial"/>
                      <w:color w:val="auto"/>
                      <w:sz w:val="20"/>
                      <w:highlight w:val="none"/>
                    </w:rPr>
                    <w:t>65</w:t>
                  </w:r>
                </w:p>
              </w:tc>
              <w:tc>
                <w:tcPr>
                  <w:tcW w:w="1188" w:type="dxa"/>
                  <w:shd w:val="clear" w:color="auto" w:fill="FFFFFF"/>
                  <w:vAlign w:val="center"/>
                </w:tcPr>
                <w:p>
                  <w:pPr>
                    <w:rPr>
                      <w:color w:val="auto"/>
                      <w:highlight w:val="none"/>
                    </w:rPr>
                  </w:pPr>
                  <w:r>
                    <w:rPr>
                      <w:rFonts w:ascii="Arial" w:hAnsi="Arial" w:eastAsia="Arial" w:cs="Arial"/>
                      <w:color w:val="auto"/>
                      <w:sz w:val="2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pPr>
                    <w:rPr>
                      <w:color w:val="auto"/>
                      <w:highlight w:val="none"/>
                    </w:rPr>
                  </w:pPr>
                  <w:r>
                    <w:rPr>
                      <w:rFonts w:ascii="Arial" w:hAnsi="Arial" w:eastAsia="Arial" w:cs="Arial"/>
                      <w:color w:val="auto"/>
                      <w:sz w:val="20"/>
                      <w:highlight w:val="none"/>
                    </w:rPr>
                    <w:t>南侧</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-10.1</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-20.9</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1.2</w:t>
                  </w:r>
                </w:p>
              </w:tc>
              <w:tc>
                <w:tcPr>
                  <w:tcW w:w="993" w:type="dxa"/>
                  <w:shd w:val="clear" w:color="auto" w:fill="FFFFFF"/>
                  <w:vAlign w:val="center"/>
                </w:tcPr>
                <w:p>
                  <w:pPr>
                    <w:rPr>
                      <w:color w:val="auto"/>
                      <w:highlight w:val="none"/>
                    </w:rPr>
                  </w:pPr>
                  <w:r>
                    <w:rPr>
                      <w:rFonts w:ascii="Arial" w:hAnsi="Arial" w:eastAsia="Arial" w:cs="Arial"/>
                      <w:color w:val="auto"/>
                      <w:sz w:val="20"/>
                      <w:highlight w:val="none"/>
                    </w:rPr>
                    <w:t>昼间</w:t>
                  </w:r>
                </w:p>
              </w:tc>
              <w:tc>
                <w:tcPr>
                  <w:tcW w:w="1417" w:type="dxa"/>
                  <w:shd w:val="clear" w:color="auto" w:fill="FFFFFF"/>
                  <w:vAlign w:val="center"/>
                </w:tcPr>
                <w:p>
                  <w:pPr>
                    <w:rPr>
                      <w:color w:val="auto"/>
                      <w:highlight w:val="none"/>
                    </w:rPr>
                  </w:pPr>
                  <w:r>
                    <w:rPr>
                      <w:rFonts w:ascii="Arial" w:hAnsi="Arial" w:eastAsia="Arial" w:cs="Arial"/>
                      <w:color w:val="auto"/>
                      <w:sz w:val="20"/>
                      <w:highlight w:val="none"/>
                    </w:rPr>
                    <w:t>49</w:t>
                  </w:r>
                </w:p>
              </w:tc>
              <w:tc>
                <w:tcPr>
                  <w:tcW w:w="1418" w:type="dxa"/>
                  <w:shd w:val="clear" w:color="auto" w:fill="FFFFFF"/>
                  <w:vAlign w:val="center"/>
                </w:tcPr>
                <w:p>
                  <w:pPr>
                    <w:rPr>
                      <w:color w:val="auto"/>
                      <w:highlight w:val="none"/>
                    </w:rPr>
                  </w:pPr>
                  <w:r>
                    <w:rPr>
                      <w:rFonts w:ascii="Arial" w:hAnsi="Arial" w:eastAsia="Arial" w:cs="Arial"/>
                      <w:color w:val="auto"/>
                      <w:sz w:val="20"/>
                      <w:highlight w:val="none"/>
                    </w:rPr>
                    <w:t>65</w:t>
                  </w:r>
                </w:p>
              </w:tc>
              <w:tc>
                <w:tcPr>
                  <w:tcW w:w="1188" w:type="dxa"/>
                  <w:shd w:val="clear" w:color="auto" w:fill="FFFFFF"/>
                  <w:vAlign w:val="center"/>
                </w:tcPr>
                <w:p>
                  <w:pPr>
                    <w:rPr>
                      <w:color w:val="auto"/>
                      <w:highlight w:val="none"/>
                    </w:rPr>
                  </w:pPr>
                  <w:r>
                    <w:rPr>
                      <w:rFonts w:ascii="Arial" w:hAnsi="Arial" w:eastAsia="Arial" w:cs="Arial"/>
                      <w:color w:val="auto"/>
                      <w:sz w:val="2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pPr>
                    <w:rPr>
                      <w:color w:val="auto"/>
                      <w:highlight w:val="none"/>
                    </w:rPr>
                  </w:pPr>
                  <w:r>
                    <w:rPr>
                      <w:rFonts w:ascii="Arial" w:hAnsi="Arial" w:eastAsia="Arial" w:cs="Arial"/>
                      <w:color w:val="auto"/>
                      <w:sz w:val="20"/>
                      <w:highlight w:val="none"/>
                    </w:rPr>
                    <w:t>西侧</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-12.6</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-6.1</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1.2</w:t>
                  </w:r>
                </w:p>
              </w:tc>
              <w:tc>
                <w:tcPr>
                  <w:tcW w:w="993" w:type="dxa"/>
                  <w:shd w:val="clear" w:color="auto" w:fill="FFFFFF"/>
                  <w:vAlign w:val="center"/>
                </w:tcPr>
                <w:p>
                  <w:pPr>
                    <w:rPr>
                      <w:color w:val="auto"/>
                      <w:highlight w:val="none"/>
                    </w:rPr>
                  </w:pPr>
                  <w:r>
                    <w:rPr>
                      <w:rFonts w:ascii="Arial" w:hAnsi="Arial" w:eastAsia="Arial" w:cs="Arial"/>
                      <w:color w:val="auto"/>
                      <w:sz w:val="20"/>
                      <w:highlight w:val="none"/>
                    </w:rPr>
                    <w:t>昼间</w:t>
                  </w:r>
                </w:p>
              </w:tc>
              <w:tc>
                <w:tcPr>
                  <w:tcW w:w="1417" w:type="dxa"/>
                  <w:shd w:val="clear" w:color="auto" w:fill="FFFFFF"/>
                  <w:vAlign w:val="center"/>
                </w:tcPr>
                <w:p>
                  <w:pPr>
                    <w:rPr>
                      <w:color w:val="auto"/>
                      <w:highlight w:val="none"/>
                    </w:rPr>
                  </w:pPr>
                  <w:r>
                    <w:rPr>
                      <w:rFonts w:ascii="Arial" w:hAnsi="Arial" w:eastAsia="Arial" w:cs="Arial"/>
                      <w:color w:val="auto"/>
                      <w:sz w:val="20"/>
                      <w:highlight w:val="none"/>
                    </w:rPr>
                    <w:t>51.1</w:t>
                  </w:r>
                </w:p>
              </w:tc>
              <w:tc>
                <w:tcPr>
                  <w:tcW w:w="1418" w:type="dxa"/>
                  <w:shd w:val="clear" w:color="auto" w:fill="FFFFFF"/>
                  <w:vAlign w:val="center"/>
                </w:tcPr>
                <w:p>
                  <w:pPr>
                    <w:rPr>
                      <w:color w:val="auto"/>
                      <w:highlight w:val="none"/>
                    </w:rPr>
                  </w:pPr>
                  <w:r>
                    <w:rPr>
                      <w:rFonts w:ascii="Arial" w:hAnsi="Arial" w:eastAsia="Arial" w:cs="Arial"/>
                      <w:color w:val="auto"/>
                      <w:sz w:val="20"/>
                      <w:highlight w:val="none"/>
                    </w:rPr>
                    <w:t>65</w:t>
                  </w:r>
                </w:p>
              </w:tc>
              <w:tc>
                <w:tcPr>
                  <w:tcW w:w="1188" w:type="dxa"/>
                  <w:shd w:val="clear" w:color="auto" w:fill="FFFFFF"/>
                  <w:vAlign w:val="center"/>
                </w:tcPr>
                <w:p>
                  <w:pPr>
                    <w:rPr>
                      <w:color w:val="auto"/>
                      <w:highlight w:val="none"/>
                    </w:rPr>
                  </w:pPr>
                  <w:r>
                    <w:rPr>
                      <w:rFonts w:ascii="Arial" w:hAnsi="Arial" w:eastAsia="Arial" w:cs="Arial"/>
                      <w:color w:val="auto"/>
                      <w:sz w:val="2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pPr>
                    <w:rPr>
                      <w:color w:val="auto"/>
                      <w:highlight w:val="none"/>
                    </w:rPr>
                  </w:pPr>
                  <w:r>
                    <w:rPr>
                      <w:rFonts w:ascii="Arial" w:hAnsi="Arial" w:eastAsia="Arial" w:cs="Arial"/>
                      <w:color w:val="auto"/>
                      <w:sz w:val="20"/>
                      <w:highlight w:val="none"/>
                    </w:rPr>
                    <w:t>北侧</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10</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19.5</w:t>
                  </w:r>
                </w:p>
              </w:tc>
              <w:tc>
                <w:tcPr>
                  <w:tcW w:w="803" w:type="dxa"/>
                  <w:shd w:val="clear" w:color="auto" w:fill="FFFFFF"/>
                  <w:vAlign w:val="center"/>
                </w:tcPr>
                <w:p>
                  <w:pPr>
                    <w:rPr>
                      <w:color w:val="auto"/>
                      <w:highlight w:val="none"/>
                    </w:rPr>
                  </w:pPr>
                  <w:r>
                    <w:rPr>
                      <w:rFonts w:ascii="Arial" w:hAnsi="Arial" w:eastAsia="Arial" w:cs="Arial"/>
                      <w:color w:val="auto"/>
                      <w:sz w:val="20"/>
                      <w:highlight w:val="none"/>
                    </w:rPr>
                    <w:t>1.2</w:t>
                  </w:r>
                </w:p>
              </w:tc>
              <w:tc>
                <w:tcPr>
                  <w:tcW w:w="993" w:type="dxa"/>
                  <w:shd w:val="clear" w:color="auto" w:fill="FFFFFF"/>
                  <w:vAlign w:val="center"/>
                </w:tcPr>
                <w:p>
                  <w:pPr>
                    <w:rPr>
                      <w:color w:val="auto"/>
                      <w:highlight w:val="none"/>
                    </w:rPr>
                  </w:pPr>
                  <w:r>
                    <w:rPr>
                      <w:rFonts w:ascii="Arial" w:hAnsi="Arial" w:eastAsia="Arial" w:cs="Arial"/>
                      <w:color w:val="auto"/>
                      <w:sz w:val="20"/>
                      <w:highlight w:val="none"/>
                    </w:rPr>
                    <w:t>昼间</w:t>
                  </w:r>
                </w:p>
              </w:tc>
              <w:tc>
                <w:tcPr>
                  <w:tcW w:w="1417" w:type="dxa"/>
                  <w:shd w:val="clear" w:color="auto" w:fill="FFFFFF"/>
                  <w:vAlign w:val="center"/>
                </w:tcPr>
                <w:p>
                  <w:pPr>
                    <w:rPr>
                      <w:color w:val="auto"/>
                      <w:highlight w:val="none"/>
                    </w:rPr>
                  </w:pPr>
                  <w:r>
                    <w:rPr>
                      <w:rFonts w:ascii="Arial" w:hAnsi="Arial" w:eastAsia="Arial" w:cs="Arial"/>
                      <w:color w:val="auto"/>
                      <w:sz w:val="20"/>
                      <w:highlight w:val="none"/>
                    </w:rPr>
                    <w:t>57.6</w:t>
                  </w:r>
                </w:p>
              </w:tc>
              <w:tc>
                <w:tcPr>
                  <w:tcW w:w="1418" w:type="dxa"/>
                  <w:shd w:val="clear" w:color="auto" w:fill="FFFFFF"/>
                  <w:vAlign w:val="center"/>
                </w:tcPr>
                <w:p>
                  <w:pPr>
                    <w:rPr>
                      <w:color w:val="auto"/>
                      <w:highlight w:val="none"/>
                    </w:rPr>
                  </w:pPr>
                  <w:r>
                    <w:rPr>
                      <w:rFonts w:ascii="Arial" w:hAnsi="Arial" w:eastAsia="Arial" w:cs="Arial"/>
                      <w:color w:val="auto"/>
                      <w:sz w:val="20"/>
                      <w:highlight w:val="none"/>
                    </w:rPr>
                    <w:t>65</w:t>
                  </w:r>
                </w:p>
              </w:tc>
              <w:tc>
                <w:tcPr>
                  <w:tcW w:w="1188" w:type="dxa"/>
                  <w:shd w:val="clear" w:color="auto" w:fill="FFFFFF"/>
                  <w:vAlign w:val="center"/>
                </w:tcPr>
                <w:p>
                  <w:pPr>
                    <w:rPr>
                      <w:color w:val="auto"/>
                      <w:highlight w:val="none"/>
                    </w:rPr>
                  </w:pPr>
                  <w:r>
                    <w:rPr>
                      <w:rFonts w:ascii="Arial" w:hAnsi="Arial" w:eastAsia="Arial" w:cs="Arial"/>
                      <w:color w:val="auto"/>
                      <w:sz w:val="20"/>
                      <w:highlight w:val="none"/>
                    </w:rPr>
                    <w:t>达标</w:t>
                  </w:r>
                </w:p>
              </w:tc>
            </w:tr>
          </w:tbl>
          <w:p>
            <w:pPr>
              <w:jc w:val="center"/>
              <w:rPr>
                <w:rFonts w:ascii="Times New Roman" w:hAnsi="Times New Roman" w:cs="Times New Roman"/>
                <w:color w:val="auto"/>
                <w:highlight w:val="none"/>
              </w:rPr>
            </w:pPr>
            <w:r>
              <w:rPr>
                <w:rFonts w:hint="default" w:ascii="Times New Roman" w:hAnsi="Times New Roman" w:cs="Times New Roman" w:eastAsiaTheme="minorEastAsia"/>
                <w:b w:val="0"/>
                <w:bCs/>
                <w:color w:val="auto"/>
                <w:sz w:val="21"/>
                <w:szCs w:val="21"/>
                <w:highlight w:val="none"/>
                <w:lang w:val="en-US" w:eastAsia="zh-CN"/>
              </w:rPr>
              <w:t>表中坐标以厂界中心（</w:t>
            </w:r>
            <w:bookmarkStart w:id="6" w:name="PO_8"/>
            <w:r>
              <w:rPr>
                <w:rFonts w:hint="default" w:ascii="Times New Roman" w:hAnsi="Times New Roman" w:cs="Times New Roman" w:eastAsiaTheme="minorEastAsia"/>
                <w:b w:val="0"/>
                <w:bCs/>
                <w:color w:val="auto"/>
                <w:sz w:val="21"/>
                <w:szCs w:val="21"/>
                <w:highlight w:val="none"/>
                <w:lang w:val="en-US" w:eastAsia="zh-CN"/>
              </w:rPr>
              <w:t>105.684860,30.733137</w:t>
            </w:r>
            <w:bookmarkEnd w:id="6"/>
            <w:r>
              <w:rPr>
                <w:rFonts w:hint="default" w:ascii="Times New Roman" w:hAnsi="Times New Roman" w:cs="Times New Roman" w:eastAsiaTheme="minorEastAsia"/>
                <w:b w:val="0"/>
                <w:bCs/>
                <w:color w:val="auto"/>
                <w:sz w:val="21"/>
                <w:szCs w:val="21"/>
                <w:highlight w:val="none"/>
                <w:lang w:val="en-US" w:eastAsia="zh-CN"/>
              </w:rPr>
              <w:t>）为坐标原点，正东向为X轴正方向，正北向为Y轴正方向</w:t>
            </w: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eastAsia" w:ascii="Times New Roman" w:hAnsi="Times New Roman" w:eastAsia="宋体" w:cs="Times New Roman"/>
                <w:color w:val="auto"/>
                <w:sz w:val="24"/>
                <w:szCs w:val="24"/>
                <w:highlight w:val="none"/>
              </w:rPr>
              <w:t>由上表预测结果可以看出，项目运营期各噪声源经降噪措施处理后，</w:t>
            </w:r>
            <w:r>
              <w:rPr>
                <w:rFonts w:hint="eastAsia" w:ascii="Times New Roman" w:eastAsia="宋体" w:cs="Times New Roman"/>
                <w:color w:val="auto"/>
                <w:sz w:val="24"/>
                <w:szCs w:val="24"/>
                <w:highlight w:val="none"/>
                <w:lang w:val="en-US" w:eastAsia="zh-CN"/>
              </w:rPr>
              <w:t>四周</w:t>
            </w:r>
            <w:r>
              <w:rPr>
                <w:rFonts w:hint="eastAsia" w:ascii="Times New Roman" w:hAnsi="Times New Roman" w:eastAsia="宋体" w:cs="Times New Roman"/>
                <w:color w:val="auto"/>
                <w:sz w:val="24"/>
                <w:szCs w:val="24"/>
                <w:highlight w:val="none"/>
              </w:rPr>
              <w:t>厂界噪声均满足《工业企业厂界环境噪声排放标准》（GB12348-2008）</w:t>
            </w:r>
            <w:r>
              <w:rPr>
                <w:rFonts w:hint="eastAsia" w:asci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类标准（昼间：6</w:t>
            </w:r>
            <w:r>
              <w:rPr>
                <w:rFonts w:hint="eastAsia" w:asci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dB（A））的限值要求。</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环评要求：合理安排工作时间，尽量避免午休时间进行生产。切</w:t>
            </w:r>
            <w:r>
              <w:rPr>
                <w:rFonts w:hint="default" w:ascii="Times New Roman" w:hAnsi="Times New Roman" w:cs="Times New Roman"/>
                <w:color w:val="auto"/>
                <w:sz w:val="24"/>
                <w:highlight w:val="none"/>
              </w:rPr>
              <w:t>实落实各噪声防治措施，进一步降低噪声对周边环境、居民的影响。</w:t>
            </w:r>
          </w:p>
          <w:p>
            <w:pPr>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综上所述，通过落实上述环保措施后，不会改变区域声环境功能，对周边声环境影响较小。</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4、监测要求</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根据《排污单位自行监测技术指南 总则》（HJ819-2017）文件要求，</w:t>
            </w:r>
            <w:r>
              <w:rPr>
                <w:rFonts w:hint="default" w:ascii="Times New Roman" w:hAnsi="Times New Roman" w:cs="Times New Roman"/>
                <w:bCs/>
                <w:color w:val="auto"/>
                <w:sz w:val="24"/>
                <w:highlight w:val="none"/>
              </w:rPr>
              <w:t>并结合本项目实际情况提出以下监测要求。</w:t>
            </w:r>
          </w:p>
          <w:p>
            <w:pPr>
              <w:adjustRightInd w:val="0"/>
              <w:snapToGrid w:val="0"/>
              <w:jc w:val="center"/>
              <w:rPr>
                <w:rFonts w:hint="default" w:ascii="Times New Roman" w:hAnsi="Times New Roman" w:cs="Times New Roman"/>
                <w:b/>
                <w:color w:val="auto"/>
                <w:spacing w:val="-10"/>
                <w:szCs w:val="21"/>
                <w:highlight w:val="none"/>
              </w:rPr>
            </w:pPr>
          </w:p>
          <w:p>
            <w:pPr>
              <w:adjustRightInd w:val="0"/>
              <w:snapToGrid w:val="0"/>
              <w:jc w:val="center"/>
              <w:rPr>
                <w:rFonts w:hint="default" w:ascii="Times New Roman" w:hAnsi="Times New Roman" w:cs="Times New Roman"/>
                <w:b/>
                <w:color w:val="auto"/>
                <w:spacing w:val="-10"/>
                <w:szCs w:val="21"/>
                <w:highlight w:val="none"/>
              </w:rPr>
            </w:pPr>
            <w:r>
              <w:rPr>
                <w:rFonts w:hint="default" w:ascii="Times New Roman" w:hAnsi="Times New Roman" w:cs="Times New Roman"/>
                <w:b/>
                <w:color w:val="auto"/>
                <w:spacing w:val="-10"/>
                <w:szCs w:val="21"/>
                <w:highlight w:val="none"/>
              </w:rPr>
              <w:t>表4-</w:t>
            </w:r>
            <w:r>
              <w:rPr>
                <w:rFonts w:hint="eastAsia" w:cs="Times New Roman"/>
                <w:b/>
                <w:color w:val="auto"/>
                <w:spacing w:val="-10"/>
                <w:szCs w:val="21"/>
                <w:highlight w:val="none"/>
                <w:lang w:val="en-US" w:eastAsia="zh-CN"/>
              </w:rPr>
              <w:t>13</w:t>
            </w:r>
            <w:r>
              <w:rPr>
                <w:rFonts w:hint="default" w:ascii="Times New Roman" w:hAnsi="Times New Roman" w:cs="Times New Roman"/>
                <w:b/>
                <w:color w:val="auto"/>
                <w:spacing w:val="-10"/>
                <w:szCs w:val="21"/>
                <w:highlight w:val="none"/>
              </w:rPr>
              <w:t xml:space="preserve">  项目噪声监测要求表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489"/>
              <w:gridCol w:w="1466"/>
              <w:gridCol w:w="2906"/>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406"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828"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监测点数</w:t>
                  </w:r>
                </w:p>
              </w:tc>
              <w:tc>
                <w:tcPr>
                  <w:tcW w:w="1642"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642" w:type="pct"/>
                  <w:noWrap w:val="0"/>
                  <w:vAlign w:val="center"/>
                </w:tcPr>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406"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厂界四周</w:t>
                  </w:r>
                </w:p>
              </w:tc>
              <w:tc>
                <w:tcPr>
                  <w:tcW w:w="828"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642"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等效A声级</w:t>
                  </w:r>
                </w:p>
              </w:tc>
              <w:tc>
                <w:tcPr>
                  <w:tcW w:w="642" w:type="pct"/>
                  <w:noWrap w:val="0"/>
                  <w:vAlign w:val="center"/>
                </w:tcPr>
                <w:p>
                  <w:pPr>
                    <w:pStyle w:val="10"/>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1次/季度</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四、固废</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本项目运营期中固体废物主要为一般固废和危险废物。</w:t>
            </w:r>
          </w:p>
          <w:p>
            <w:pPr>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1、一般固废</w:t>
            </w:r>
          </w:p>
          <w:p>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cs="Times New Roman"/>
                <w:color w:val="auto"/>
                <w:kern w:val="0"/>
                <w:sz w:val="24"/>
                <w:highlight w:val="none"/>
              </w:rPr>
              <w:t>①生活垃圾：项目工作人员</w:t>
            </w:r>
            <w:r>
              <w:rPr>
                <w:rFonts w:hint="eastAsia" w:cs="Times New Roman"/>
                <w:color w:val="auto"/>
                <w:kern w:val="0"/>
                <w:sz w:val="24"/>
                <w:highlight w:val="none"/>
                <w:lang w:val="en-US" w:eastAsia="zh-CN"/>
              </w:rPr>
              <w:t>25</w:t>
            </w:r>
            <w:r>
              <w:rPr>
                <w:rFonts w:hint="default" w:ascii="Times New Roman" w:hAnsi="Times New Roman" w:cs="Times New Roman"/>
                <w:color w:val="auto"/>
                <w:kern w:val="0"/>
                <w:sz w:val="24"/>
                <w:highlight w:val="none"/>
              </w:rPr>
              <w:t>人，年工作</w:t>
            </w:r>
            <w:r>
              <w:rPr>
                <w:rFonts w:hint="eastAsia" w:ascii="Times New Roman" w:hAnsi="Times New Roman" w:cs="Times New Roman"/>
                <w:color w:val="auto"/>
                <w:kern w:val="0"/>
                <w:sz w:val="24"/>
                <w:highlight w:val="none"/>
                <w:lang w:val="en-US" w:eastAsia="zh-CN"/>
              </w:rPr>
              <w:t>250</w:t>
            </w:r>
            <w:r>
              <w:rPr>
                <w:rFonts w:hint="default" w:ascii="Times New Roman" w:hAnsi="Times New Roman" w:cs="Times New Roman"/>
                <w:color w:val="auto"/>
                <w:kern w:val="0"/>
                <w:sz w:val="24"/>
                <w:highlight w:val="none"/>
              </w:rPr>
              <w:t>天，垃圾产生量按0.5kg/人·d计，则生活垃</w:t>
            </w:r>
            <w:r>
              <w:rPr>
                <w:rFonts w:hint="default" w:ascii="Times New Roman" w:hAnsi="Times New Roman" w:eastAsia="宋体" w:cs="Times New Roman"/>
                <w:color w:val="auto"/>
                <w:kern w:val="0"/>
                <w:sz w:val="24"/>
                <w:highlight w:val="none"/>
              </w:rPr>
              <w:t>圾产生量约为</w:t>
            </w:r>
            <w:r>
              <w:rPr>
                <w:rFonts w:hint="eastAsia" w:eastAsia="宋体" w:cs="Times New Roman"/>
                <w:color w:val="auto"/>
                <w:kern w:val="0"/>
                <w:sz w:val="24"/>
                <w:highlight w:val="none"/>
                <w:lang w:val="en-US" w:eastAsia="zh-CN"/>
              </w:rPr>
              <w:t>12.5</w:t>
            </w:r>
            <w:r>
              <w:rPr>
                <w:rFonts w:hint="default" w:ascii="Times New Roman" w:hAnsi="Times New Roman" w:eastAsia="宋体" w:cs="Times New Roman"/>
                <w:color w:val="auto"/>
                <w:kern w:val="0"/>
                <w:sz w:val="24"/>
                <w:highlight w:val="none"/>
              </w:rPr>
              <w:t>kg/d，</w:t>
            </w:r>
            <w:r>
              <w:rPr>
                <w:rFonts w:hint="eastAsia" w:eastAsia="宋体" w:cs="Times New Roman"/>
                <w:color w:val="auto"/>
                <w:kern w:val="0"/>
                <w:sz w:val="24"/>
                <w:highlight w:val="none"/>
                <w:lang w:val="en-US" w:eastAsia="zh-CN"/>
              </w:rPr>
              <w:t>3.1</w:t>
            </w:r>
            <w:r>
              <w:rPr>
                <w:rFonts w:hint="eastAsia" w:ascii="Times New Roman" w:hAnsi="Times New Roman" w:eastAsia="宋体" w:cs="Times New Roman"/>
                <w:color w:val="auto"/>
                <w:kern w:val="0"/>
                <w:sz w:val="24"/>
                <w:highlight w:val="none"/>
                <w:lang w:val="en-US" w:eastAsia="zh-CN"/>
              </w:rPr>
              <w:t>25</w:t>
            </w:r>
            <w:r>
              <w:rPr>
                <w:rFonts w:hint="default" w:ascii="Times New Roman" w:hAnsi="Times New Roman" w:eastAsia="宋体" w:cs="Times New Roman"/>
                <w:color w:val="auto"/>
                <w:kern w:val="0"/>
                <w:sz w:val="24"/>
                <w:highlight w:val="none"/>
              </w:rPr>
              <w:t>t/a</w:t>
            </w:r>
            <w:r>
              <w:rPr>
                <w:rFonts w:hint="eastAsia" w:cs="Times New Roman"/>
                <w:color w:val="auto"/>
                <w:kern w:val="0"/>
                <w:sz w:val="24"/>
                <w:highlight w:val="none"/>
                <w:lang w:eastAsia="zh-CN"/>
              </w:rPr>
              <w:t>，</w:t>
            </w:r>
            <w:r>
              <w:rPr>
                <w:rFonts w:hint="default" w:ascii="Times New Roman" w:hAnsi="Times New Roman" w:cs="Times New Roman"/>
                <w:bCs/>
                <w:color w:val="auto"/>
                <w:sz w:val="24"/>
                <w:highlight w:val="none"/>
              </w:rPr>
              <w:t>项目车间内设置垃圾桶收集生活垃圾，放至垃圾收集点，由环卫部门定期清运处理。</w:t>
            </w:r>
          </w:p>
          <w:p>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w:t>
            </w:r>
            <w:r>
              <w:rPr>
                <w:rFonts w:hint="eastAsia" w:ascii="Times New Roman" w:hAnsi="Times New Roman" w:eastAsia="宋体" w:cs="Times New Roman"/>
                <w:color w:val="auto"/>
                <w:kern w:val="0"/>
                <w:sz w:val="24"/>
                <w:highlight w:val="none"/>
                <w:lang w:eastAsia="zh-CN"/>
              </w:rPr>
              <w:t>锡</w:t>
            </w:r>
            <w:r>
              <w:rPr>
                <w:rFonts w:hint="eastAsia" w:ascii="Times New Roman" w:hAnsi="Times New Roman" w:eastAsia="宋体" w:cs="Times New Roman"/>
                <w:color w:val="auto"/>
                <w:kern w:val="0"/>
                <w:sz w:val="24"/>
                <w:highlight w:val="none"/>
                <w:lang w:val="en-US" w:eastAsia="zh-CN"/>
              </w:rPr>
              <w:t>渣：</w:t>
            </w:r>
            <w:r>
              <w:rPr>
                <w:rFonts w:hint="default" w:ascii="Times New Roman" w:hAnsi="Times New Roman" w:eastAsia="宋体" w:cs="Times New Roman"/>
                <w:color w:val="auto"/>
                <w:kern w:val="0"/>
                <w:sz w:val="24"/>
                <w:highlight w:val="none"/>
                <w:lang w:eastAsia="zh-CN"/>
              </w:rPr>
              <w:t>本项目使用的锡条不含铅，不属于《国家危险废物名录》（2021版）中所列危险固废，属于一般固废</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szCs w:val="24"/>
                <w:highlight w:val="none"/>
              </w:rPr>
              <w:t>根据《机加工行业环境影响评价中常见污染物源强估算及污染治理》（许海萍，刘琳，任婷婷，戴岩，李海波，湖北大学学报第32卷第3期），焊渣产生系数为焊丝/焊条使用量×(1/11 +4 %)，本项目焊</w:t>
            </w:r>
            <w:r>
              <w:rPr>
                <w:rFonts w:hint="eastAsia" w:cs="Times New Roman"/>
                <w:color w:val="auto"/>
                <w:kern w:val="0"/>
                <w:sz w:val="24"/>
                <w:szCs w:val="24"/>
                <w:highlight w:val="none"/>
                <w:lang w:val="en-US" w:eastAsia="zh-CN"/>
              </w:rPr>
              <w:t>锡条</w:t>
            </w:r>
            <w:r>
              <w:rPr>
                <w:rFonts w:hint="default" w:ascii="Times New Roman" w:hAnsi="Times New Roman" w:eastAsia="宋体" w:cs="Times New Roman"/>
                <w:color w:val="auto"/>
                <w:kern w:val="0"/>
                <w:sz w:val="24"/>
                <w:szCs w:val="24"/>
                <w:highlight w:val="none"/>
              </w:rPr>
              <w:t>总使用量为</w:t>
            </w:r>
            <w:r>
              <w:rPr>
                <w:rFonts w:hint="eastAsia"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2t/a，则本项目</w:t>
            </w:r>
            <w:r>
              <w:rPr>
                <w:rFonts w:hint="eastAsia" w:cs="Times New Roman"/>
                <w:color w:val="auto"/>
                <w:kern w:val="0"/>
                <w:sz w:val="24"/>
                <w:szCs w:val="24"/>
                <w:highlight w:val="none"/>
                <w:lang w:val="en-US" w:eastAsia="zh-CN"/>
              </w:rPr>
              <w:t>锡</w:t>
            </w:r>
            <w:r>
              <w:rPr>
                <w:rFonts w:hint="default" w:ascii="Times New Roman" w:hAnsi="Times New Roman" w:eastAsia="宋体" w:cs="Times New Roman"/>
                <w:color w:val="auto"/>
                <w:kern w:val="0"/>
                <w:sz w:val="24"/>
                <w:szCs w:val="24"/>
                <w:highlight w:val="none"/>
              </w:rPr>
              <w:t>渣产生量为0.</w:t>
            </w:r>
            <w:r>
              <w:rPr>
                <w:rFonts w:hint="eastAsia" w:cs="Times New Roman"/>
                <w:color w:val="auto"/>
                <w:kern w:val="0"/>
                <w:sz w:val="24"/>
                <w:szCs w:val="24"/>
                <w:highlight w:val="none"/>
                <w:lang w:val="en-US" w:eastAsia="zh-CN"/>
              </w:rPr>
              <w:t>157</w:t>
            </w:r>
            <w:r>
              <w:rPr>
                <w:rFonts w:hint="default" w:ascii="Times New Roman" w:hAnsi="Times New Roman" w:eastAsia="宋体" w:cs="Times New Roman"/>
                <w:color w:val="auto"/>
                <w:kern w:val="0"/>
                <w:sz w:val="24"/>
                <w:szCs w:val="24"/>
                <w:highlight w:val="none"/>
              </w:rPr>
              <w:t>t/a。</w:t>
            </w:r>
            <w:r>
              <w:rPr>
                <w:rFonts w:hint="eastAsia" w:cs="Times New Roman"/>
                <w:color w:val="auto"/>
                <w:kern w:val="0"/>
                <w:sz w:val="24"/>
                <w:szCs w:val="24"/>
                <w:highlight w:val="none"/>
                <w:lang w:val="en-US" w:eastAsia="zh-CN"/>
              </w:rPr>
              <w:t>锡</w:t>
            </w:r>
            <w:r>
              <w:rPr>
                <w:rFonts w:hint="default" w:ascii="Times New Roman" w:hAnsi="Times New Roman" w:eastAsia="宋体" w:cs="Times New Roman"/>
                <w:color w:val="auto"/>
                <w:kern w:val="0"/>
                <w:sz w:val="24"/>
                <w:szCs w:val="24"/>
                <w:highlight w:val="none"/>
              </w:rPr>
              <w:t>渣属于可回收材料，集中收集后，放置于厂区内一般固废堆放区（</w:t>
            </w:r>
            <w:r>
              <w:rPr>
                <w:rFonts w:hint="eastAsia" w:cs="Times New Roman"/>
                <w:color w:val="auto"/>
                <w:kern w:val="0"/>
                <w:sz w:val="24"/>
                <w:szCs w:val="24"/>
                <w:highlight w:val="none"/>
                <w:lang w:val="en-US" w:eastAsia="zh-CN"/>
              </w:rPr>
              <w:t>二楼</w:t>
            </w:r>
            <w:r>
              <w:rPr>
                <w:rFonts w:hint="default" w:ascii="Times New Roman" w:hAnsi="Times New Roman" w:eastAsia="宋体" w:cs="Times New Roman"/>
                <w:color w:val="auto"/>
                <w:kern w:val="0"/>
                <w:sz w:val="24"/>
                <w:szCs w:val="24"/>
                <w:highlight w:val="none"/>
              </w:rPr>
              <w:t>车间</w:t>
            </w:r>
            <w:r>
              <w:rPr>
                <w:rFonts w:hint="eastAsia" w:cs="Times New Roman"/>
                <w:color w:val="auto"/>
                <w:kern w:val="0"/>
                <w:sz w:val="24"/>
                <w:szCs w:val="24"/>
                <w:highlight w:val="none"/>
                <w:lang w:val="en-US" w:eastAsia="zh-CN"/>
              </w:rPr>
              <w:t>西北侧</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0m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），定期外售后综合利用。</w:t>
            </w:r>
          </w:p>
          <w:p>
            <w:pPr>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③</w:t>
            </w:r>
            <w:r>
              <w:rPr>
                <w:rFonts w:hint="eastAsia" w:ascii="Times New Roman" w:hAnsi="Times New Roman" w:eastAsia="宋体" w:cs="Times New Roman"/>
                <w:color w:val="auto"/>
                <w:kern w:val="0"/>
                <w:sz w:val="24"/>
                <w:highlight w:val="none"/>
                <w:lang w:val="en-US" w:eastAsia="zh-CN"/>
              </w:rPr>
              <w:t>废包装</w:t>
            </w:r>
            <w:r>
              <w:rPr>
                <w:rFonts w:hint="eastAsia" w:cs="Times New Roman"/>
                <w:color w:val="auto"/>
                <w:kern w:val="0"/>
                <w:sz w:val="24"/>
                <w:highlight w:val="none"/>
                <w:lang w:val="en-US" w:eastAsia="zh-CN"/>
              </w:rPr>
              <w:t>材料</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sz w:val="24"/>
                <w:highlight w:val="none"/>
              </w:rPr>
              <w:t>本项目运营期间</w:t>
            </w:r>
            <w:r>
              <w:rPr>
                <w:rFonts w:hint="eastAsia" w:ascii="Times New Roman" w:hAnsi="Times New Roman" w:cs="Times New Roman"/>
                <w:color w:val="auto"/>
                <w:sz w:val="24"/>
                <w:highlight w:val="none"/>
                <w:lang w:val="en-US" w:eastAsia="zh-CN"/>
              </w:rPr>
              <w:t>原料拆封时</w:t>
            </w:r>
            <w:r>
              <w:rPr>
                <w:rFonts w:hint="default" w:ascii="Times New Roman" w:hAnsi="Times New Roman" w:cs="Times New Roman"/>
                <w:color w:val="auto"/>
                <w:sz w:val="24"/>
                <w:highlight w:val="none"/>
              </w:rPr>
              <w:t>会产生一定量废包装材料，根据建设单位提供资料，废包装材料产生量约为0.2t/a，属于可回收利用材料，收集后放置于</w:t>
            </w:r>
            <w:r>
              <w:rPr>
                <w:rFonts w:hint="default" w:ascii="Times New Roman" w:hAnsi="Times New Roman" w:cs="Times New Roman"/>
                <w:bCs/>
                <w:color w:val="auto"/>
                <w:sz w:val="24"/>
                <w:highlight w:val="none"/>
              </w:rPr>
              <w:t>一般固废堆放区</w:t>
            </w:r>
            <w:r>
              <w:rPr>
                <w:rFonts w:hint="default" w:ascii="Times New Roman" w:hAnsi="Times New Roman" w:cs="Times New Roman"/>
                <w:color w:val="auto"/>
                <w:sz w:val="24"/>
                <w:szCs w:val="21"/>
                <w:highlight w:val="none"/>
              </w:rPr>
              <w:t>（</w:t>
            </w:r>
            <w:r>
              <w:rPr>
                <w:rFonts w:hint="eastAsia" w:cs="Times New Roman"/>
                <w:color w:val="auto"/>
                <w:kern w:val="0"/>
                <w:sz w:val="24"/>
                <w:szCs w:val="24"/>
                <w:highlight w:val="none"/>
                <w:lang w:val="en-US" w:eastAsia="zh-CN"/>
              </w:rPr>
              <w:t>二楼</w:t>
            </w:r>
            <w:r>
              <w:rPr>
                <w:rFonts w:hint="default" w:ascii="Times New Roman" w:hAnsi="Times New Roman" w:eastAsia="宋体" w:cs="Times New Roman"/>
                <w:color w:val="auto"/>
                <w:kern w:val="0"/>
                <w:sz w:val="24"/>
                <w:szCs w:val="24"/>
                <w:highlight w:val="none"/>
              </w:rPr>
              <w:t>车间</w:t>
            </w:r>
            <w:r>
              <w:rPr>
                <w:rFonts w:hint="eastAsia" w:cs="Times New Roman"/>
                <w:color w:val="auto"/>
                <w:kern w:val="0"/>
                <w:sz w:val="24"/>
                <w:szCs w:val="24"/>
                <w:highlight w:val="none"/>
                <w:lang w:val="en-US" w:eastAsia="zh-CN"/>
              </w:rPr>
              <w:t>西北侧</w:t>
            </w:r>
            <w:r>
              <w:rPr>
                <w:rFonts w:hint="default" w:ascii="Times New Roman" w:hAnsi="Times New Roman" w:eastAsia="宋体"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0m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cs="Times New Roman"/>
                <w:color w:val="auto"/>
                <w:sz w:val="24"/>
                <w:szCs w:val="21"/>
                <w:highlight w:val="none"/>
              </w:rPr>
              <w:t>）</w:t>
            </w:r>
            <w:r>
              <w:rPr>
                <w:rFonts w:hint="default" w:ascii="Times New Roman" w:hAnsi="Times New Roman" w:cs="Times New Roman"/>
                <w:color w:val="auto"/>
                <w:sz w:val="24"/>
                <w:highlight w:val="none"/>
              </w:rPr>
              <w:t>，定期外售综合利用。</w:t>
            </w:r>
          </w:p>
          <w:p>
            <w:pPr>
              <w:spacing w:line="360" w:lineRule="auto"/>
              <w:ind w:firstLine="480" w:firstLineChars="200"/>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④不合格品：</w:t>
            </w:r>
            <w:r>
              <w:rPr>
                <w:rFonts w:hint="default" w:ascii="Times New Roman" w:hAnsi="Times New Roman" w:cs="Times New Roman"/>
                <w:color w:val="auto"/>
                <w:kern w:val="0"/>
                <w:sz w:val="24"/>
                <w:highlight w:val="none"/>
              </w:rPr>
              <w:t>项目不合格产品产生量为</w:t>
            </w:r>
            <w:r>
              <w:rPr>
                <w:rFonts w:hint="eastAsia" w:ascii="Times New Roman" w:hAnsi="Times New Roman" w:cs="Times New Roman"/>
                <w:color w:val="auto"/>
                <w:kern w:val="0"/>
                <w:sz w:val="24"/>
                <w:highlight w:val="none"/>
                <w:lang w:val="en-US" w:eastAsia="zh-CN"/>
              </w:rPr>
              <w:t>0.</w:t>
            </w:r>
            <w:r>
              <w:rPr>
                <w:rFonts w:hint="eastAsia"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t/a，</w:t>
            </w:r>
            <w:r>
              <w:rPr>
                <w:rFonts w:hint="eastAsia" w:cs="Times New Roman"/>
                <w:color w:val="auto"/>
                <w:kern w:val="0"/>
                <w:sz w:val="24"/>
                <w:highlight w:val="none"/>
                <w:lang w:val="en-US" w:eastAsia="zh-CN"/>
              </w:rPr>
              <w:t>需对其进行拆除，拆除的废铜线及绝缘线这部分外售综合利用，其它的碎骨架及废胶带这部分收集后交由环卫部门处理</w:t>
            </w:r>
            <w:r>
              <w:rPr>
                <w:rFonts w:hint="default" w:ascii="Times New Roman" w:hAnsi="Times New Roman" w:cs="Times New Roman"/>
                <w:color w:val="auto"/>
                <w:kern w:val="0"/>
                <w:sz w:val="24"/>
                <w:highlight w:val="none"/>
              </w:rPr>
              <w:t>。</w:t>
            </w:r>
          </w:p>
          <w:p>
            <w:pPr>
              <w:spacing w:line="360" w:lineRule="auto"/>
              <w:ind w:firstLine="480" w:firstLineChars="200"/>
              <w:rPr>
                <w:rFonts w:hint="eastAsia" w:ascii="Times New Roman" w:hAnsi="Times New Roman" w:cs="Times New Roman"/>
                <w:b/>
                <w:bCs/>
                <w:color w:val="auto"/>
                <w:kern w:val="0"/>
                <w:sz w:val="24"/>
                <w:highlight w:val="none"/>
                <w:lang w:val="en-US" w:eastAsia="zh-CN"/>
              </w:rPr>
            </w:pPr>
            <w:r>
              <w:rPr>
                <w:rFonts w:hint="eastAsia" w:ascii="Times New Roman" w:hAnsi="Times New Roman" w:cs="Times New Roman"/>
                <w:b w:val="0"/>
                <w:bCs w:val="0"/>
                <w:color w:val="auto"/>
                <w:kern w:val="0"/>
                <w:sz w:val="24"/>
                <w:highlight w:val="none"/>
                <w:lang w:val="en-US" w:eastAsia="zh-CN"/>
              </w:rPr>
              <w:t>⑤</w:t>
            </w:r>
            <w:r>
              <w:rPr>
                <w:rFonts w:hint="eastAsia" w:cs="Times New Roman"/>
                <w:b w:val="0"/>
                <w:bCs w:val="0"/>
                <w:color w:val="auto"/>
                <w:kern w:val="0"/>
                <w:sz w:val="24"/>
                <w:highlight w:val="none"/>
                <w:lang w:val="en-US" w:eastAsia="zh-CN"/>
              </w:rPr>
              <w:t>边角料</w:t>
            </w:r>
            <w:r>
              <w:rPr>
                <w:rFonts w:hint="eastAsia" w:ascii="Times New Roman" w:hAnsi="Times New Roman" w:cs="Times New Roman"/>
                <w:b w:val="0"/>
                <w:bCs w:val="0"/>
                <w:color w:val="auto"/>
                <w:kern w:val="0"/>
                <w:sz w:val="24"/>
                <w:highlight w:val="none"/>
                <w:lang w:val="en-US" w:eastAsia="zh-CN"/>
              </w:rPr>
              <w:t>：</w:t>
            </w:r>
            <w:r>
              <w:rPr>
                <w:rFonts w:hint="default" w:ascii="Times New Roman" w:hAnsi="Times New Roman" w:cs="Times New Roman"/>
                <w:bCs/>
                <w:color w:val="auto"/>
                <w:sz w:val="24"/>
                <w:highlight w:val="none"/>
              </w:rPr>
              <w:t>本项目</w:t>
            </w:r>
            <w:r>
              <w:rPr>
                <w:rFonts w:hint="eastAsia" w:ascii="Times New Roman" w:hAnsi="Times New Roman" w:cs="Times New Roman"/>
                <w:bCs/>
                <w:color w:val="auto"/>
                <w:sz w:val="24"/>
                <w:highlight w:val="none"/>
                <w:lang w:val="en-US" w:eastAsia="zh-CN"/>
              </w:rPr>
              <w:t>在绕线过程中会对多余的线</w:t>
            </w:r>
            <w:r>
              <w:rPr>
                <w:rFonts w:hint="default" w:ascii="Times New Roman" w:hAnsi="Times New Roman" w:cs="Times New Roman"/>
                <w:bCs/>
                <w:color w:val="auto"/>
                <w:sz w:val="24"/>
                <w:highlight w:val="none"/>
              </w:rPr>
              <w:t>进行</w:t>
            </w:r>
            <w:r>
              <w:rPr>
                <w:rFonts w:hint="eastAsia" w:ascii="Times New Roman" w:hAnsi="Times New Roman" w:cs="Times New Roman"/>
                <w:bCs/>
                <w:color w:val="auto"/>
                <w:sz w:val="24"/>
                <w:highlight w:val="none"/>
                <w:lang w:val="en-US" w:eastAsia="zh-CN"/>
              </w:rPr>
              <w:t>剪切</w:t>
            </w:r>
            <w:r>
              <w:rPr>
                <w:rFonts w:hint="default" w:ascii="Times New Roman" w:hAnsi="Times New Roman" w:cs="Times New Roman"/>
                <w:bCs/>
                <w:color w:val="auto"/>
                <w:sz w:val="24"/>
                <w:highlight w:val="none"/>
              </w:rPr>
              <w:t>，会产生废</w:t>
            </w:r>
            <w:r>
              <w:rPr>
                <w:rFonts w:hint="eastAsia" w:ascii="Times New Roman" w:hAnsi="Times New Roman" w:cs="Times New Roman"/>
                <w:bCs/>
                <w:color w:val="auto"/>
                <w:sz w:val="24"/>
                <w:highlight w:val="none"/>
                <w:lang w:val="en-US" w:eastAsia="zh-CN"/>
              </w:rPr>
              <w:t>铜线</w:t>
            </w:r>
            <w:r>
              <w:rPr>
                <w:rFonts w:hint="default" w:ascii="Times New Roman" w:hAnsi="Times New Roman" w:cs="Times New Roman"/>
                <w:bCs/>
                <w:color w:val="auto"/>
                <w:sz w:val="24"/>
                <w:highlight w:val="none"/>
              </w:rPr>
              <w:t>、废</w:t>
            </w:r>
            <w:r>
              <w:rPr>
                <w:rFonts w:hint="eastAsia" w:ascii="Times New Roman" w:hAnsi="Times New Roman" w:cs="Times New Roman"/>
                <w:bCs/>
                <w:color w:val="auto"/>
                <w:sz w:val="24"/>
                <w:highlight w:val="none"/>
                <w:lang w:val="en-US" w:eastAsia="zh-CN"/>
              </w:rPr>
              <w:t>绝缘线</w:t>
            </w:r>
            <w:r>
              <w:rPr>
                <w:rFonts w:hint="default" w:ascii="Times New Roman" w:hAnsi="Times New Roman" w:cs="Times New Roman"/>
                <w:bCs/>
                <w:color w:val="auto"/>
                <w:sz w:val="24"/>
                <w:highlight w:val="none"/>
              </w:rPr>
              <w:t>等边角废料，根据建设方提供资料，本项目边角废料产生量约0.5t/a。按照不同类别分类收集后，放置于厂区内一般固废堆放区</w:t>
            </w:r>
            <w:r>
              <w:rPr>
                <w:rFonts w:hint="default" w:ascii="Times New Roman" w:hAnsi="Times New Roman" w:cs="Times New Roman"/>
                <w:color w:val="auto"/>
                <w:sz w:val="24"/>
                <w:szCs w:val="21"/>
                <w:highlight w:val="none"/>
              </w:rPr>
              <w:t>（</w:t>
            </w:r>
            <w:r>
              <w:rPr>
                <w:rFonts w:hint="eastAsia" w:cs="Times New Roman"/>
                <w:color w:val="auto"/>
                <w:kern w:val="0"/>
                <w:sz w:val="24"/>
                <w:szCs w:val="24"/>
                <w:highlight w:val="none"/>
                <w:lang w:val="en-US" w:eastAsia="zh-CN"/>
              </w:rPr>
              <w:t>二楼</w:t>
            </w:r>
            <w:r>
              <w:rPr>
                <w:rFonts w:hint="default" w:ascii="Times New Roman" w:hAnsi="Times New Roman" w:eastAsia="宋体" w:cs="Times New Roman"/>
                <w:color w:val="auto"/>
                <w:kern w:val="0"/>
                <w:sz w:val="24"/>
                <w:szCs w:val="24"/>
                <w:highlight w:val="none"/>
              </w:rPr>
              <w:t>车间</w:t>
            </w:r>
            <w:r>
              <w:rPr>
                <w:rFonts w:hint="eastAsia" w:cs="Times New Roman"/>
                <w:color w:val="auto"/>
                <w:kern w:val="0"/>
                <w:sz w:val="24"/>
                <w:szCs w:val="24"/>
                <w:highlight w:val="none"/>
                <w:lang w:val="en-US" w:eastAsia="zh-CN"/>
              </w:rPr>
              <w:t>西北侧</w:t>
            </w:r>
            <w:r>
              <w:rPr>
                <w:rFonts w:hint="default" w:ascii="Times New Roman" w:hAnsi="Times New Roman" w:eastAsia="宋体"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0m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cs="Times New Roman"/>
                <w:color w:val="auto"/>
                <w:sz w:val="24"/>
                <w:szCs w:val="21"/>
                <w:highlight w:val="none"/>
              </w:rPr>
              <w:t>）</w:t>
            </w:r>
            <w:r>
              <w:rPr>
                <w:rFonts w:hint="default" w:ascii="Times New Roman" w:hAnsi="Times New Roman" w:cs="Times New Roman"/>
                <w:bCs/>
                <w:color w:val="auto"/>
                <w:sz w:val="24"/>
                <w:highlight w:val="none"/>
              </w:rPr>
              <w:t>，定期外售后综合利用。</w:t>
            </w:r>
          </w:p>
          <w:p>
            <w:pPr>
              <w:spacing w:line="360" w:lineRule="auto"/>
              <w:ind w:firstLine="482" w:firstLineChars="200"/>
              <w:rPr>
                <w:rFonts w:hint="default" w:ascii="Times New Roman" w:hAnsi="Times New Roman" w:cs="Times New Roman"/>
                <w:b/>
                <w:bCs/>
                <w:color w:val="auto"/>
                <w:kern w:val="0"/>
                <w:sz w:val="24"/>
                <w:highlight w:val="none"/>
              </w:rPr>
            </w:pPr>
            <w:r>
              <w:rPr>
                <w:rFonts w:hint="eastAsia" w:ascii="Times New Roman" w:hAnsi="Times New Roman" w:cs="Times New Roman"/>
                <w:b/>
                <w:bCs/>
                <w:color w:val="auto"/>
                <w:kern w:val="0"/>
                <w:sz w:val="24"/>
                <w:highlight w:val="none"/>
                <w:lang w:val="en-US" w:eastAsia="zh-CN"/>
              </w:rPr>
              <w:t>2、</w:t>
            </w:r>
            <w:r>
              <w:rPr>
                <w:rFonts w:hint="default" w:ascii="Times New Roman" w:hAnsi="Times New Roman" w:cs="Times New Roman"/>
                <w:b/>
                <w:bCs/>
                <w:color w:val="auto"/>
                <w:kern w:val="0"/>
                <w:sz w:val="24"/>
                <w:highlight w:val="none"/>
              </w:rPr>
              <w:t>危险废物</w:t>
            </w:r>
          </w:p>
          <w:p>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①废机油：本项目使用机油量约为</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t/a，以损耗率</w:t>
            </w:r>
            <w:r>
              <w:rPr>
                <w:rFonts w:hint="eastAsia"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%计算，则产生的废机油量为</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t/a。废机油属于《国家危险废物名录（2021版）》中“HW08废矿物油与含矿物油废物—900-249-08—其他生产、销售、使用过程中产生的 废矿物油及沾染矿物油的废弃包装物”范畴</w:t>
            </w:r>
            <w:r>
              <w:rPr>
                <w:rFonts w:hint="eastAsia" w:ascii="Times New Roman" w:hAnsi="Times New Roman" w:cs="Times New Roman"/>
                <w:color w:val="auto"/>
                <w:sz w:val="24"/>
                <w:highlight w:val="none"/>
                <w:lang w:eastAsia="zh-CN"/>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②沾油抹布和手套：项目营运过程中会产生沾油废抹布和手套等，预计产生量约0.0</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t/a。沾油抹布和手套属于《国家危险废物名录（2021版）》中“HW49 其他废物—非特定行业900-041-49—含有或沾染毒性、感染性危险废物的废弃包装物、容器、过滤吸附介质”范畴。</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③废机油桶：本项目设备维修维护过程使用机油后将产生废包装桶，产生量约为0.</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t/a。</w:t>
            </w:r>
            <w:r>
              <w:rPr>
                <w:rFonts w:hint="default" w:ascii="Times New Roman" w:hAnsi="Times New Roman" w:eastAsia="宋体" w:cs="Times New Roman"/>
                <w:color w:val="auto"/>
                <w:sz w:val="24"/>
                <w:highlight w:val="none"/>
              </w:rPr>
              <w:t>废机油桶</w:t>
            </w:r>
            <w:r>
              <w:rPr>
                <w:rFonts w:hint="default" w:ascii="Times New Roman" w:hAnsi="Times New Roman" w:cs="Times New Roman"/>
                <w:color w:val="auto"/>
                <w:sz w:val="24"/>
                <w:highlight w:val="none"/>
              </w:rPr>
              <w:t>属于《国家危险废物名录（2021版）》中“HW08废矿物油与含矿物油废物—900-249-08—其他生产、销售、使用过程中产生的 废矿物油及沾染矿物油的废弃包装物”范畴</w:t>
            </w:r>
            <w:r>
              <w:rPr>
                <w:rFonts w:hint="eastAsia" w:ascii="Times New Roman" w:hAnsi="Times New Roman"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w:t>
            </w:r>
            <w:r>
              <w:rPr>
                <w:rFonts w:hint="default" w:ascii="Times New Roman" w:hAnsi="Times New Roman" w:eastAsia="宋体" w:cs="Times New Roman"/>
                <w:color w:val="auto"/>
                <w:sz w:val="24"/>
                <w:highlight w:val="none"/>
                <w:lang w:eastAsia="zh-CN"/>
              </w:rPr>
              <w:t>废包装桶：</w:t>
            </w:r>
            <w:r>
              <w:rPr>
                <w:rFonts w:hint="default" w:ascii="Times New Roman" w:hAnsi="Times New Roman" w:eastAsia="宋体" w:cs="Times New Roman"/>
                <w:color w:val="auto"/>
                <w:kern w:val="0"/>
                <w:sz w:val="24"/>
                <w:highlight w:val="none"/>
              </w:rPr>
              <w:t>本项目运营期所使用</w:t>
            </w:r>
            <w:r>
              <w:rPr>
                <w:rFonts w:hint="eastAsia" w:cs="Times New Roman"/>
                <w:color w:val="auto"/>
                <w:kern w:val="0"/>
                <w:sz w:val="24"/>
                <w:highlight w:val="none"/>
                <w:lang w:val="en-US" w:eastAsia="zh-CN"/>
              </w:rPr>
              <w:t>的助焊剂、稀释剂、绝缘漆</w:t>
            </w:r>
            <w:r>
              <w:rPr>
                <w:rFonts w:hint="default" w:ascii="Times New Roman" w:hAnsi="Times New Roman" w:eastAsia="宋体" w:cs="Times New Roman"/>
                <w:color w:val="auto"/>
                <w:sz w:val="24"/>
                <w:highlight w:val="none"/>
                <w:lang w:eastAsia="zh-CN"/>
              </w:rPr>
              <w:t>原料</w:t>
            </w:r>
            <w:r>
              <w:rPr>
                <w:rFonts w:hint="eastAsia" w:cs="Times New Roman"/>
                <w:color w:val="auto"/>
                <w:sz w:val="24"/>
                <w:highlight w:val="none"/>
                <w:lang w:val="en-US" w:eastAsia="zh-CN"/>
              </w:rPr>
              <w:t>有</w:t>
            </w:r>
            <w:r>
              <w:rPr>
                <w:rFonts w:hint="default" w:ascii="Times New Roman" w:hAnsi="Times New Roman" w:eastAsia="宋体" w:cs="Times New Roman"/>
                <w:color w:val="auto"/>
                <w:kern w:val="0"/>
                <w:sz w:val="24"/>
                <w:highlight w:val="none"/>
                <w:lang w:eastAsia="zh-CN"/>
              </w:rPr>
              <w:t>包装桶包装，</w:t>
            </w:r>
            <w:r>
              <w:rPr>
                <w:rFonts w:hint="eastAsia" w:cs="Times New Roman"/>
                <w:color w:val="auto"/>
                <w:kern w:val="0"/>
                <w:sz w:val="24"/>
                <w:highlight w:val="none"/>
                <w:lang w:val="en-US" w:eastAsia="zh-CN"/>
              </w:rPr>
              <w:t>使用后</w:t>
            </w:r>
            <w:r>
              <w:rPr>
                <w:rFonts w:hint="default" w:ascii="Times New Roman" w:hAnsi="Times New Roman" w:eastAsia="宋体" w:cs="Times New Roman"/>
                <w:color w:val="auto"/>
                <w:kern w:val="0"/>
                <w:sz w:val="24"/>
                <w:highlight w:val="none"/>
                <w:lang w:eastAsia="zh-CN"/>
              </w:rPr>
              <w:t>会产生废</w:t>
            </w:r>
            <w:r>
              <w:rPr>
                <w:rFonts w:hint="default" w:ascii="Times New Roman" w:hAnsi="Times New Roman" w:eastAsia="宋体" w:cs="Times New Roman"/>
                <w:color w:val="auto"/>
                <w:kern w:val="0"/>
                <w:sz w:val="24"/>
                <w:highlight w:val="none"/>
                <w:lang w:val="en-US" w:eastAsia="zh-CN"/>
              </w:rPr>
              <w:t>包装桶</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产生量约为</w:t>
            </w:r>
            <w:r>
              <w:rPr>
                <w:rFonts w:hint="eastAsia" w:ascii="Times New Roman" w:hAnsi="Times New Roman" w:eastAsia="宋体" w:cs="Times New Roman"/>
                <w:color w:val="auto"/>
                <w:kern w:val="0"/>
                <w:sz w:val="24"/>
                <w:highlight w:val="none"/>
                <w:lang w:val="en-US" w:eastAsia="zh-CN"/>
              </w:rPr>
              <w:t>0.</w:t>
            </w:r>
            <w:r>
              <w:rPr>
                <w:rFonts w:hint="eastAsia" w:cs="Times New Roman"/>
                <w:color w:val="auto"/>
                <w:kern w:val="0"/>
                <w:sz w:val="24"/>
                <w:highlight w:val="none"/>
                <w:lang w:val="en-US" w:eastAsia="zh-CN"/>
              </w:rPr>
              <w:t>10</w:t>
            </w:r>
            <w:r>
              <w:rPr>
                <w:rFonts w:hint="default" w:ascii="Times New Roman" w:hAnsi="Times New Roman" w:eastAsia="宋体" w:cs="Times New Roman"/>
                <w:color w:val="auto"/>
                <w:kern w:val="0"/>
                <w:sz w:val="24"/>
                <w:highlight w:val="none"/>
              </w:rPr>
              <w:t>t/a。</w:t>
            </w:r>
            <w:r>
              <w:rPr>
                <w:rFonts w:hint="default" w:ascii="Times New Roman" w:hAnsi="Times New Roman" w:cs="Times New Roman"/>
                <w:color w:val="auto"/>
                <w:sz w:val="24"/>
                <w:highlight w:val="none"/>
              </w:rPr>
              <w:t>根据《国家危险废物名</w:t>
            </w:r>
            <w:r>
              <w:rPr>
                <w:rFonts w:hint="default" w:ascii="Times New Roman" w:hAnsi="Times New Roman" w:eastAsia="宋体" w:cs="Times New Roman"/>
                <w:color w:val="auto"/>
                <w:sz w:val="24"/>
                <w:highlight w:val="none"/>
              </w:rPr>
              <w:t>录》（2021年版），废</w:t>
            </w:r>
            <w:r>
              <w:rPr>
                <w:rFonts w:hint="default" w:ascii="Times New Roman" w:hAnsi="Times New Roman" w:eastAsia="宋体" w:cs="Times New Roman"/>
                <w:color w:val="auto"/>
                <w:sz w:val="24"/>
                <w:highlight w:val="none"/>
                <w:lang w:eastAsia="zh-CN"/>
              </w:rPr>
              <w:t>包装</w:t>
            </w:r>
            <w:r>
              <w:rPr>
                <w:rFonts w:hint="default" w:ascii="Times New Roman" w:hAnsi="Times New Roman" w:eastAsia="宋体" w:cs="Times New Roman"/>
                <w:color w:val="auto"/>
                <w:sz w:val="24"/>
                <w:highlight w:val="none"/>
              </w:rPr>
              <w:t>桶</w:t>
            </w:r>
            <w:r>
              <w:rPr>
                <w:rFonts w:hint="default" w:ascii="Times New Roman" w:hAnsi="Times New Roman" w:cs="Times New Roman"/>
                <w:color w:val="auto"/>
                <w:sz w:val="24"/>
                <w:highlight w:val="none"/>
              </w:rPr>
              <w:t>属于《国家危险废物名录（2021版）》中“HW</w:t>
            </w:r>
            <w:r>
              <w:rPr>
                <w:rFonts w:hint="eastAsia" w:ascii="Times New Roman" w:hAnsi="Times New Roman" w:cs="Times New Roman"/>
                <w:color w:val="auto"/>
                <w:sz w:val="24"/>
                <w:highlight w:val="none"/>
                <w:lang w:val="en-US" w:eastAsia="zh-CN"/>
              </w:rPr>
              <w:t>49</w:t>
            </w:r>
            <w:r>
              <w:rPr>
                <w:rFonts w:hint="eastAsia" w:ascii="Times New Roman" w:hAnsi="Times New Roman" w:eastAsia="宋体" w:cs="Times New Roman"/>
                <w:color w:val="auto"/>
                <w:sz w:val="24"/>
                <w:highlight w:val="none"/>
              </w:rPr>
              <w:t>其他废物</w:t>
            </w:r>
            <w:r>
              <w:rPr>
                <w:rFonts w:hint="default" w:ascii="Times New Roman" w:hAnsi="Times New Roman" w:cs="Times New Roman"/>
                <w:color w:val="auto"/>
                <w:sz w:val="24"/>
                <w:highlight w:val="none"/>
              </w:rPr>
              <w:t>—</w:t>
            </w:r>
            <w:r>
              <w:rPr>
                <w:rFonts w:hint="eastAsia" w:ascii="Times New Roman" w:hAnsi="Times New Roman" w:eastAsia="宋体" w:cs="Times New Roman"/>
                <w:color w:val="auto"/>
                <w:sz w:val="24"/>
                <w:highlight w:val="none"/>
              </w:rPr>
              <w:t>900-041-49</w:t>
            </w:r>
            <w:r>
              <w:rPr>
                <w:rFonts w:hint="default" w:ascii="Times New Roman" w:hAnsi="Times New Roman" w:cs="Times New Roman"/>
                <w:color w:val="auto"/>
                <w:sz w:val="24"/>
                <w:highlight w:val="none"/>
              </w:rPr>
              <w:t>—含有或沾染毒性、感染性危险废物的废弃包装物、容器、过滤吸附介质”范畴</w:t>
            </w:r>
            <w:r>
              <w:rPr>
                <w:rFonts w:hint="eastAsia" w:ascii="Times New Roman" w:hAnsi="Times New Roman" w:cs="Times New Roman"/>
                <w:color w:val="auto"/>
                <w:sz w:val="24"/>
                <w:highlight w:val="none"/>
                <w:lang w:eastAsia="zh-CN"/>
              </w:rPr>
              <w:t>。</w:t>
            </w:r>
          </w:p>
          <w:p>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⑤</w:t>
            </w:r>
            <w:r>
              <w:rPr>
                <w:rFonts w:hint="eastAsia" w:ascii="Times New Roman" w:hAnsi="Times New Roman" w:eastAsia="宋体" w:cs="Times New Roman"/>
                <w:color w:val="auto"/>
                <w:sz w:val="24"/>
                <w:highlight w:val="none"/>
              </w:rPr>
              <w:t>根据《大气污染治理工程技术导则》 (征求意见稿) 可知，工业上吸附装置多采用固定床，本项目采用蜂窝状活性炭，</w:t>
            </w:r>
            <w:r>
              <w:rPr>
                <w:rFonts w:hint="eastAsia" w:cs="Times New Roman"/>
                <w:color w:val="auto"/>
                <w:sz w:val="24"/>
                <w:highlight w:val="none"/>
                <w:lang w:val="en-US" w:eastAsia="zh-CN"/>
              </w:rPr>
              <w:t>平均三个月换一次，</w:t>
            </w:r>
            <w:r>
              <w:rPr>
                <w:rFonts w:hint="eastAsia" w:ascii="Times New Roman" w:hAnsi="Times New Roman" w:eastAsia="宋体" w:cs="Times New Roman"/>
                <w:color w:val="auto"/>
                <w:sz w:val="24"/>
                <w:highlight w:val="none"/>
              </w:rPr>
              <w:t>蜂窝状吸附剂风速取0.7m/s 按一般活性炭的吸附能力20kg（废气）/100kg(活性炭)计算</w:t>
            </w:r>
            <w:r>
              <w:rPr>
                <w:rFonts w:hint="eastAsia" w:cs="Times New Roman"/>
                <w:color w:val="auto"/>
                <w:sz w:val="24"/>
                <w:highlight w:val="none"/>
                <w:lang w:eastAsia="zh-CN"/>
              </w:rPr>
              <w:t>，</w:t>
            </w:r>
            <w:r>
              <w:rPr>
                <w:rFonts w:hint="eastAsia" w:ascii="Times New Roman" w:hAnsi="Times New Roman" w:cs="Times New Roman"/>
                <w:b w:val="0"/>
                <w:bCs/>
                <w:color w:val="auto"/>
                <w:sz w:val="24"/>
                <w:highlight w:val="none"/>
                <w:lang w:val="en-US" w:eastAsia="zh-CN"/>
              </w:rPr>
              <w:t>项目产生的VOCs量为</w:t>
            </w:r>
            <w:r>
              <w:rPr>
                <w:rFonts w:hint="eastAsia" w:cs="Times New Roman"/>
                <w:b w:val="0"/>
                <w:bCs/>
                <w:color w:val="auto"/>
                <w:sz w:val="24"/>
                <w:highlight w:val="none"/>
                <w:lang w:val="en-US" w:eastAsia="zh-CN"/>
              </w:rPr>
              <w:t>3.238</w:t>
            </w:r>
            <w:r>
              <w:rPr>
                <w:rFonts w:hint="default" w:ascii="Times New Roman" w:hAnsi="Times New Roman" w:cs="Times New Roman"/>
                <w:b w:val="0"/>
                <w:bCs/>
                <w:color w:val="auto"/>
                <w:sz w:val="24"/>
                <w:highlight w:val="none"/>
                <w:lang w:eastAsia="zh-CN"/>
              </w:rPr>
              <w:t>t/a</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废气进入活性炭装置的量为</w:t>
            </w:r>
            <w:r>
              <w:rPr>
                <w:rFonts w:hint="eastAsia" w:cs="Times New Roman"/>
                <w:b w:val="0"/>
                <w:bCs/>
                <w:color w:val="auto"/>
                <w:sz w:val="24"/>
                <w:highlight w:val="none"/>
                <w:lang w:val="en-US" w:eastAsia="zh-CN"/>
              </w:rPr>
              <w:t>2.7134</w:t>
            </w:r>
            <w:r>
              <w:rPr>
                <w:rFonts w:hint="default" w:ascii="Times New Roman" w:hAnsi="Times New Roman" w:cs="Times New Roman"/>
                <w:b w:val="0"/>
                <w:bCs/>
                <w:color w:val="auto"/>
                <w:sz w:val="24"/>
                <w:highlight w:val="none"/>
                <w:lang w:eastAsia="zh-CN"/>
              </w:rPr>
              <w:t>t/a，按吸附能力为20kg（有机废气）/100kg（活性炭）计算，项目设置的活性炭净化系统所需活性炭量为</w:t>
            </w:r>
            <w:r>
              <w:rPr>
                <w:rFonts w:hint="eastAsia" w:cs="Times New Roman"/>
                <w:b w:val="0"/>
                <w:bCs/>
                <w:color w:val="auto"/>
                <w:sz w:val="24"/>
                <w:highlight w:val="none"/>
                <w:lang w:val="en-US" w:eastAsia="zh-CN"/>
              </w:rPr>
              <w:t>13.567</w:t>
            </w:r>
            <w:r>
              <w:rPr>
                <w:rFonts w:hint="default" w:ascii="Times New Roman" w:hAnsi="Times New Roman" w:cs="Times New Roman"/>
                <w:b w:val="0"/>
                <w:bCs/>
                <w:color w:val="auto"/>
                <w:sz w:val="24"/>
                <w:highlight w:val="none"/>
                <w:lang w:eastAsia="zh-CN"/>
              </w:rPr>
              <w:t>t/a</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lang w:eastAsia="zh-CN"/>
              </w:rPr>
              <w:t>废活性炭的产生量为</w:t>
            </w:r>
            <w:r>
              <w:rPr>
                <w:rFonts w:hint="eastAsia" w:cs="Times New Roman"/>
                <w:b w:val="0"/>
                <w:bCs/>
                <w:color w:val="auto"/>
                <w:sz w:val="24"/>
                <w:highlight w:val="none"/>
                <w:lang w:val="en-US" w:eastAsia="zh-CN"/>
              </w:rPr>
              <w:t>16.2804</w:t>
            </w:r>
            <w:r>
              <w:rPr>
                <w:rFonts w:hint="default" w:ascii="Times New Roman" w:hAnsi="Times New Roman" w:cs="Times New Roman"/>
                <w:b w:val="0"/>
                <w:bCs/>
                <w:color w:val="auto"/>
                <w:sz w:val="24"/>
                <w:highlight w:val="none"/>
                <w:lang w:eastAsia="zh-CN"/>
              </w:rPr>
              <w:t>t/a（包括活性炭和吸附的</w:t>
            </w:r>
            <w:r>
              <w:rPr>
                <w:rFonts w:hint="default" w:ascii="Times New Roman" w:hAnsi="Times New Roman" w:cs="Times New Roman"/>
                <w:color w:val="auto"/>
                <w:sz w:val="24"/>
                <w:szCs w:val="24"/>
                <w:highlight w:val="none"/>
                <w:lang w:val="en-US" w:eastAsia="zh-CN"/>
              </w:rPr>
              <w:t>VOCs</w:t>
            </w:r>
            <w:r>
              <w:rPr>
                <w:rFonts w:hint="default" w:ascii="Times New Roman" w:hAnsi="Times New Roman" w:cs="Times New Roman"/>
                <w:b w:val="0"/>
                <w:bCs/>
                <w:color w:val="auto"/>
                <w:sz w:val="24"/>
                <w:highlight w:val="none"/>
                <w:lang w:eastAsia="zh-CN"/>
              </w:rPr>
              <w:t>的量）。</w:t>
            </w:r>
            <w:r>
              <w:rPr>
                <w:rFonts w:hint="eastAsia" w:cs="Times New Roman"/>
                <w:color w:val="auto"/>
                <w:sz w:val="24"/>
                <w:szCs w:val="24"/>
                <w:highlight w:val="none"/>
                <w:lang w:val="en-US" w:eastAsia="zh-CN"/>
              </w:rPr>
              <w:t>废旧活性炭</w:t>
            </w:r>
            <w:r>
              <w:rPr>
                <w:rFonts w:hint="default" w:ascii="Times New Roman" w:hAnsi="Times New Roman" w:cs="Times New Roman"/>
                <w:color w:val="auto"/>
                <w:sz w:val="24"/>
                <w:szCs w:val="24"/>
                <w:highlight w:val="none"/>
              </w:rPr>
              <w:t>属于《国家危</w:t>
            </w:r>
            <w:r>
              <w:rPr>
                <w:rFonts w:hint="default" w:ascii="Times New Roman" w:hAnsi="Times New Roman" w:cs="Times New Roman"/>
                <w:color w:val="auto"/>
                <w:sz w:val="24"/>
                <w:highlight w:val="none"/>
              </w:rPr>
              <w:t>险废物名录（2021版）》中“HW</w:t>
            </w:r>
            <w:r>
              <w:rPr>
                <w:rFonts w:hint="eastAsia" w:ascii="Times New Roman" w:hAnsi="Times New Roman" w:cs="Times New Roman"/>
                <w:color w:val="auto"/>
                <w:sz w:val="24"/>
                <w:highlight w:val="none"/>
                <w:lang w:val="en-US" w:eastAsia="zh-CN"/>
              </w:rPr>
              <w:t>49</w:t>
            </w:r>
            <w:r>
              <w:rPr>
                <w:rFonts w:hint="eastAsia" w:ascii="Times New Roman" w:hAnsi="Times New Roman" w:eastAsia="宋体" w:cs="Times New Roman"/>
                <w:color w:val="auto"/>
                <w:sz w:val="24"/>
                <w:highlight w:val="none"/>
              </w:rPr>
              <w:t>其他废物</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szCs w:val="24"/>
                <w:highlight w:val="none"/>
              </w:rPr>
              <w:t>900-039-49</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pacing w:val="-6"/>
                <w:kern w:val="0"/>
                <w:sz w:val="24"/>
                <w:szCs w:val="24"/>
                <w:highlight w:val="none"/>
              </w:rPr>
              <w:t>烟气、VOCs治理过程（不包括餐饮行业油烟治理过程）产生的废活性炭，化学原料和化学制品脱色（</w:t>
            </w:r>
            <w:r>
              <w:rPr>
                <w:rFonts w:hint="default" w:ascii="Times New Roman" w:hAnsi="Times New Roman" w:cs="Times New Roman"/>
                <w:color w:val="auto"/>
                <w:kern w:val="0"/>
                <w:sz w:val="24"/>
                <w:szCs w:val="24"/>
                <w:highlight w:val="none"/>
              </w:rPr>
              <w:t>不包括有机合成食品添加剂脱色</w:t>
            </w:r>
            <w:r>
              <w:rPr>
                <w:rFonts w:hint="default" w:ascii="Times New Roman" w:hAnsi="Times New Roman" w:cs="Times New Roman"/>
                <w:color w:val="auto"/>
                <w:spacing w:val="-6"/>
                <w:kern w:val="0"/>
                <w:sz w:val="24"/>
                <w:szCs w:val="24"/>
                <w:highlight w:val="none"/>
              </w:rPr>
              <w:t>）、除杂、净化过程产生的废活性炭（不包括900-405-06、</w:t>
            </w:r>
            <w:r>
              <w:rPr>
                <w:rFonts w:hint="default" w:ascii="Times New Roman" w:hAnsi="Times New Roman" w:cs="Times New Roman"/>
                <w:color w:val="auto"/>
                <w:kern w:val="0"/>
                <w:sz w:val="24"/>
                <w:szCs w:val="24"/>
                <w:highlight w:val="none"/>
              </w:rPr>
              <w:t>772-005-18、</w:t>
            </w:r>
            <w:r>
              <w:rPr>
                <w:rFonts w:hint="default" w:ascii="Times New Roman" w:hAnsi="Times New Roman" w:cs="Times New Roman"/>
                <w:color w:val="auto"/>
                <w:spacing w:val="-6"/>
                <w:kern w:val="0"/>
                <w:sz w:val="24"/>
                <w:szCs w:val="24"/>
                <w:highlight w:val="none"/>
              </w:rPr>
              <w:t>261-053-29、265-002-29、384-003-29、387-001-29类废物）</w:t>
            </w:r>
            <w:r>
              <w:rPr>
                <w:rFonts w:hint="default" w:ascii="Times New Roman" w:hAnsi="Times New Roman" w:cs="Times New Roman"/>
                <w:color w:val="auto"/>
                <w:sz w:val="24"/>
                <w:szCs w:val="24"/>
                <w:highlight w:val="none"/>
              </w:rPr>
              <w:t>”范畴</w:t>
            </w:r>
            <w:r>
              <w:rPr>
                <w:rFonts w:hint="eastAsia" w:ascii="Times New Roman" w:hAnsi="Times New Roman" w:cs="Times New Roman"/>
                <w:color w:val="auto"/>
                <w:sz w:val="24"/>
                <w:highlight w:val="none"/>
                <w:lang w:eastAsia="zh-CN"/>
              </w:rPr>
              <w:t>。更换的废活性炭暂存于危废间，定期交由危废处置单位进行处置。</w:t>
            </w:r>
          </w:p>
          <w:p>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⑥</w:t>
            </w:r>
            <w:r>
              <w:rPr>
                <w:rFonts w:hint="eastAsia" w:ascii="Times New Roman" w:hAnsi="Times New Roman" w:eastAsia="宋体" w:cs="Times New Roman"/>
                <w:color w:val="auto"/>
                <w:sz w:val="24"/>
                <w:highlight w:val="none"/>
              </w:rPr>
              <w:t>废过滤棉：由于活性炭的吸附能力无选择性，为了确保气体干燥，保证活性炭的使用寿命，在二级活性炭装置前设置过滤棉，过滤处理</w:t>
            </w:r>
            <w:r>
              <w:rPr>
                <w:rFonts w:hint="eastAsia" w:ascii="Times New Roman" w:hAnsi="Times New Roman" w:eastAsia="宋体" w:cs="Times New Roman"/>
                <w:color w:val="auto"/>
                <w:sz w:val="24"/>
                <w:highlight w:val="none"/>
                <w:lang w:eastAsia="zh-CN"/>
              </w:rPr>
              <w:t>颗粒物</w:t>
            </w:r>
            <w:r>
              <w:rPr>
                <w:rFonts w:hint="eastAsia" w:ascii="Times New Roman" w:hAnsi="Times New Roman" w:eastAsia="宋体" w:cs="Times New Roman"/>
                <w:color w:val="auto"/>
                <w:sz w:val="24"/>
                <w:highlight w:val="none"/>
              </w:rPr>
              <w:t>，此过程会产生少量废过滤棉，产生量约为</w:t>
            </w:r>
            <w:r>
              <w:rPr>
                <w:rFonts w:hint="eastAsia" w:cs="Times New Roman"/>
                <w:color w:val="auto"/>
                <w:sz w:val="24"/>
                <w:highlight w:val="none"/>
                <w:lang w:val="en-US" w:eastAsia="zh-CN"/>
              </w:rPr>
              <w:t>1.2</w:t>
            </w:r>
            <w:r>
              <w:rPr>
                <w:rFonts w:hint="eastAsia" w:ascii="Times New Roman" w:hAnsi="Times New Roman" w:eastAsia="宋体" w:cs="Times New Roman"/>
                <w:color w:val="auto"/>
                <w:sz w:val="24"/>
                <w:highlight w:val="none"/>
              </w:rPr>
              <w:t>t/a。废过滤棉属</w:t>
            </w:r>
            <w:r>
              <w:rPr>
                <w:rFonts w:hint="default" w:ascii="Times New Roman" w:hAnsi="Times New Roman" w:cs="Times New Roman"/>
                <w:color w:val="auto"/>
                <w:sz w:val="24"/>
                <w:highlight w:val="none"/>
              </w:rPr>
              <w:t>于《国家危险废物名录（2021版）》中“HW</w:t>
            </w:r>
            <w:r>
              <w:rPr>
                <w:rFonts w:hint="eastAsia" w:ascii="Times New Roman" w:hAnsi="Times New Roman" w:cs="Times New Roman"/>
                <w:color w:val="auto"/>
                <w:sz w:val="24"/>
                <w:highlight w:val="none"/>
                <w:lang w:val="en-US" w:eastAsia="zh-CN"/>
              </w:rPr>
              <w:t>49</w:t>
            </w:r>
            <w:r>
              <w:rPr>
                <w:rFonts w:hint="eastAsia" w:ascii="Times New Roman" w:hAnsi="Times New Roman" w:eastAsia="宋体" w:cs="Times New Roman"/>
                <w:color w:val="auto"/>
                <w:sz w:val="24"/>
                <w:highlight w:val="none"/>
              </w:rPr>
              <w:t>其他废物</w:t>
            </w:r>
            <w:r>
              <w:rPr>
                <w:rFonts w:hint="default" w:ascii="Times New Roman" w:hAnsi="Times New Roman" w:cs="Times New Roman"/>
                <w:color w:val="auto"/>
                <w:sz w:val="24"/>
                <w:highlight w:val="none"/>
              </w:rPr>
              <w:t>—</w:t>
            </w:r>
            <w:r>
              <w:rPr>
                <w:rFonts w:hint="eastAsia" w:ascii="Times New Roman" w:hAnsi="Times New Roman" w:eastAsia="宋体" w:cs="Times New Roman"/>
                <w:color w:val="auto"/>
                <w:sz w:val="24"/>
                <w:highlight w:val="none"/>
              </w:rPr>
              <w:t>900-041-49</w:t>
            </w:r>
            <w:r>
              <w:rPr>
                <w:rFonts w:hint="default" w:ascii="Times New Roman" w:hAnsi="Times New Roman" w:cs="Times New Roman"/>
                <w:color w:val="auto"/>
                <w:sz w:val="24"/>
                <w:highlight w:val="none"/>
              </w:rPr>
              <w:t>—</w:t>
            </w:r>
            <w:r>
              <w:rPr>
                <w:rFonts w:cs="宋体" w:asciiTheme="minorEastAsia" w:hAnsiTheme="minorEastAsia"/>
                <w:color w:val="auto"/>
                <w:kern w:val="0"/>
                <w:sz w:val="24"/>
                <w:szCs w:val="24"/>
                <w:highlight w:val="none"/>
              </w:rPr>
              <w:t>含有或沾染毒性、感染性危险废物的废弃包装物、容器、过滤吸附介质</w:t>
            </w:r>
            <w:r>
              <w:rPr>
                <w:rFonts w:hint="default" w:ascii="Times New Roman" w:hAnsi="Times New Roman" w:cs="Times New Roman"/>
                <w:color w:val="auto"/>
                <w:sz w:val="24"/>
                <w:highlight w:val="none"/>
              </w:rPr>
              <w:t>”范畴</w:t>
            </w:r>
            <w:r>
              <w:rPr>
                <w:rFonts w:hint="eastAsia" w:ascii="Times New Roman" w:hAnsi="Times New Roman" w:cs="Times New Roman"/>
                <w:color w:val="auto"/>
                <w:sz w:val="24"/>
                <w:highlight w:val="none"/>
                <w:lang w:eastAsia="zh-CN"/>
              </w:rPr>
              <w:t>。更换的</w:t>
            </w:r>
            <w:r>
              <w:rPr>
                <w:rFonts w:hint="eastAsia" w:ascii="Times New Roman" w:hAnsi="Times New Roman" w:cs="Times New Roman"/>
                <w:color w:val="auto"/>
                <w:sz w:val="24"/>
                <w:highlight w:val="none"/>
                <w:lang w:val="en-US" w:eastAsia="zh-CN"/>
              </w:rPr>
              <w:t>废过滤棉</w:t>
            </w:r>
            <w:r>
              <w:rPr>
                <w:rFonts w:hint="eastAsia" w:ascii="Times New Roman" w:hAnsi="Times New Roman" w:cs="Times New Roman"/>
                <w:color w:val="auto"/>
                <w:sz w:val="24"/>
                <w:highlight w:val="none"/>
                <w:lang w:eastAsia="zh-CN"/>
              </w:rPr>
              <w:t>暂存于危废间，定期交由危废处置单位进行处置。</w:t>
            </w:r>
          </w:p>
          <w:p>
            <w:pPr>
              <w:spacing w:line="360" w:lineRule="auto"/>
              <w:ind w:firstLine="480" w:firstLineChars="200"/>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4"/>
                <w:highlight w:val="none"/>
              </w:rPr>
              <w:t>本项目固体废物产生及治理情况</w:t>
            </w:r>
            <w:r>
              <w:rPr>
                <w:rFonts w:hint="eastAsia" w:cs="Times New Roman"/>
                <w:color w:val="auto"/>
                <w:sz w:val="24"/>
                <w:highlight w:val="none"/>
                <w:lang w:val="en-US" w:eastAsia="zh-CN"/>
              </w:rPr>
              <w:t>见下</w:t>
            </w:r>
            <w:r>
              <w:rPr>
                <w:rFonts w:hint="default" w:ascii="Times New Roman" w:hAnsi="Times New Roman" w:eastAsia="宋体" w:cs="Times New Roman"/>
                <w:color w:val="auto"/>
                <w:sz w:val="24"/>
                <w:highlight w:val="none"/>
              </w:rPr>
              <w:t>表：</w:t>
            </w:r>
          </w:p>
          <w:p>
            <w:pPr>
              <w:pStyle w:val="10"/>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ascii="Times New Roman" w:cs="Times New Roman"/>
                <w:b/>
                <w:bCs/>
                <w:color w:val="auto"/>
                <w:sz w:val="21"/>
                <w:szCs w:val="21"/>
                <w:highlight w:val="none"/>
                <w:lang w:val="en-US" w:eastAsia="zh-CN"/>
              </w:rPr>
              <w:t>14</w:t>
            </w:r>
            <w:r>
              <w:rPr>
                <w:rFonts w:hint="default" w:ascii="Times New Roman" w:hAnsi="Times New Roman" w:cs="Times New Roman"/>
                <w:b/>
                <w:bCs/>
                <w:color w:val="auto"/>
                <w:sz w:val="21"/>
                <w:szCs w:val="21"/>
                <w:highlight w:val="none"/>
              </w:rPr>
              <w:t xml:space="preserve">  项目一般固废产排情况一览表</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85"/>
              <w:gridCol w:w="1157"/>
              <w:gridCol w:w="778"/>
              <w:gridCol w:w="1095"/>
              <w:gridCol w:w="1919"/>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产生环节</w:t>
                  </w:r>
                </w:p>
              </w:tc>
              <w:tc>
                <w:tcPr>
                  <w:tcW w:w="839"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名称</w:t>
                  </w:r>
                </w:p>
              </w:tc>
              <w:tc>
                <w:tcPr>
                  <w:tcW w:w="654"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属性</w:t>
                  </w:r>
                </w:p>
              </w:tc>
              <w:tc>
                <w:tcPr>
                  <w:tcW w:w="440"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物理性状</w:t>
                  </w:r>
                </w:p>
              </w:tc>
              <w:tc>
                <w:tcPr>
                  <w:tcW w:w="619"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年产生量</w:t>
                  </w:r>
                </w:p>
              </w:tc>
              <w:tc>
                <w:tcPr>
                  <w:tcW w:w="1085"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利用处置方和去向</w:t>
                  </w:r>
                </w:p>
              </w:tc>
              <w:tc>
                <w:tcPr>
                  <w:tcW w:w="721" w:type="pct"/>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利用或处置量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办公生活</w:t>
                  </w:r>
                </w:p>
              </w:tc>
              <w:tc>
                <w:tcPr>
                  <w:tcW w:w="839"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生活垃圾</w:t>
                  </w:r>
                </w:p>
              </w:tc>
              <w:tc>
                <w:tcPr>
                  <w:tcW w:w="654"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一般固废</w:t>
                  </w:r>
                </w:p>
              </w:tc>
              <w:tc>
                <w:tcPr>
                  <w:tcW w:w="440"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固</w:t>
                  </w:r>
                </w:p>
              </w:tc>
              <w:tc>
                <w:tcPr>
                  <w:tcW w:w="619" w:type="pc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eastAsia" w:eastAsia="宋体" w:cs="Times New Roman"/>
                      <w:color w:val="auto"/>
                      <w:kern w:val="0"/>
                      <w:sz w:val="21"/>
                      <w:szCs w:val="21"/>
                      <w:highlight w:val="none"/>
                      <w:lang w:val="en-US" w:eastAsia="zh-CN"/>
                    </w:rPr>
                    <w:t>3.1</w:t>
                  </w:r>
                  <w:r>
                    <w:rPr>
                      <w:rFonts w:hint="eastAsia" w:ascii="Times New Roman" w:hAnsi="Times New Roman" w:eastAsia="宋体" w:cs="Times New Roman"/>
                      <w:color w:val="auto"/>
                      <w:kern w:val="0"/>
                      <w:sz w:val="21"/>
                      <w:szCs w:val="21"/>
                      <w:highlight w:val="none"/>
                      <w:lang w:val="en-US" w:eastAsia="zh-CN"/>
                    </w:rPr>
                    <w:t>25</w:t>
                  </w:r>
                  <w:r>
                    <w:rPr>
                      <w:rFonts w:hint="default" w:ascii="Times New Roman" w:hAnsi="Times New Roman" w:eastAsia="宋体" w:cs="Times New Roman"/>
                      <w:color w:val="auto"/>
                      <w:kern w:val="0"/>
                      <w:sz w:val="21"/>
                      <w:szCs w:val="21"/>
                      <w:highlight w:val="none"/>
                    </w:rPr>
                    <w:t>t/a</w:t>
                  </w:r>
                </w:p>
              </w:tc>
              <w:tc>
                <w:tcPr>
                  <w:tcW w:w="1085" w:type="pc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定期交由环卫部门清运处置</w:t>
                  </w:r>
                </w:p>
              </w:tc>
              <w:tc>
                <w:tcPr>
                  <w:tcW w:w="721" w:type="pc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eastAsia" w:eastAsia="宋体" w:cs="Times New Roman"/>
                      <w:color w:val="auto"/>
                      <w:kern w:val="0"/>
                      <w:sz w:val="21"/>
                      <w:szCs w:val="21"/>
                      <w:highlight w:val="none"/>
                      <w:lang w:val="en-US" w:eastAsia="zh-CN"/>
                    </w:rPr>
                    <w:t>3.1</w:t>
                  </w:r>
                  <w:r>
                    <w:rPr>
                      <w:rFonts w:hint="eastAsia" w:ascii="Times New Roman" w:hAnsi="Times New Roman" w:eastAsia="宋体" w:cs="Times New Roman"/>
                      <w:color w:val="auto"/>
                      <w:kern w:val="0"/>
                      <w:sz w:val="21"/>
                      <w:szCs w:val="21"/>
                      <w:highlight w:val="none"/>
                      <w:lang w:val="en-US" w:eastAsia="zh-CN"/>
                    </w:rPr>
                    <w:t>25</w:t>
                  </w:r>
                  <w:r>
                    <w:rPr>
                      <w:rFonts w:hint="default" w:ascii="Times New Roman" w:hAnsi="Times New Roman" w:eastAsia="宋体" w:cs="Times New Roman"/>
                      <w:color w:val="auto"/>
                      <w:kern w:val="0"/>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noWrap w:val="0"/>
                  <w:vAlign w:val="center"/>
                </w:tcPr>
                <w:p>
                  <w:pPr>
                    <w:tabs>
                      <w:tab w:val="left" w:pos="195"/>
                    </w:tabs>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焊</w:t>
                  </w:r>
                  <w:r>
                    <w:rPr>
                      <w:rFonts w:hint="eastAsia" w:cs="Times New Roman"/>
                      <w:bCs/>
                      <w:color w:val="auto"/>
                      <w:kern w:val="0"/>
                      <w:szCs w:val="21"/>
                      <w:highlight w:val="none"/>
                      <w:lang w:val="en-US" w:eastAsia="zh-CN"/>
                    </w:rPr>
                    <w:t>锡</w:t>
                  </w:r>
                </w:p>
              </w:tc>
              <w:tc>
                <w:tcPr>
                  <w:tcW w:w="839" w:type="pct"/>
                  <w:noWrap w:val="0"/>
                  <w:vAlign w:val="center"/>
                </w:tcPr>
                <w:p>
                  <w:pPr>
                    <w:tabs>
                      <w:tab w:val="left" w:pos="195"/>
                    </w:tabs>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锡渣</w:t>
                  </w:r>
                </w:p>
              </w:tc>
              <w:tc>
                <w:tcPr>
                  <w:tcW w:w="654"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一般固废</w:t>
                  </w:r>
                </w:p>
              </w:tc>
              <w:tc>
                <w:tcPr>
                  <w:tcW w:w="440"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固</w:t>
                  </w:r>
                </w:p>
              </w:tc>
              <w:tc>
                <w:tcPr>
                  <w:tcW w:w="619" w:type="pc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kern w:val="0"/>
                      <w:sz w:val="21"/>
                      <w:szCs w:val="21"/>
                      <w:highlight w:val="none"/>
                    </w:rPr>
                    <w:t>0.</w:t>
                  </w:r>
                  <w:r>
                    <w:rPr>
                      <w:rFonts w:hint="eastAsia" w:cs="Times New Roman"/>
                      <w:color w:val="auto"/>
                      <w:kern w:val="0"/>
                      <w:sz w:val="21"/>
                      <w:szCs w:val="21"/>
                      <w:highlight w:val="none"/>
                      <w:lang w:val="en-US" w:eastAsia="zh-CN"/>
                    </w:rPr>
                    <w:t>157</w:t>
                  </w:r>
                  <w:r>
                    <w:rPr>
                      <w:rFonts w:hint="default" w:ascii="Times New Roman" w:hAnsi="Times New Roman" w:eastAsia="宋体" w:cs="Times New Roman"/>
                      <w:color w:val="auto"/>
                      <w:kern w:val="0"/>
                      <w:sz w:val="21"/>
                      <w:szCs w:val="21"/>
                      <w:highlight w:val="none"/>
                    </w:rPr>
                    <w:t>t/a</w:t>
                  </w:r>
                </w:p>
              </w:tc>
              <w:tc>
                <w:tcPr>
                  <w:tcW w:w="1085" w:type="pct"/>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color w:val="auto"/>
                      <w:sz w:val="21"/>
                      <w:szCs w:val="21"/>
                      <w:highlight w:val="none"/>
                    </w:rPr>
                    <w:t>定期外售综合利用</w:t>
                  </w:r>
                </w:p>
              </w:tc>
              <w:tc>
                <w:tcPr>
                  <w:tcW w:w="721" w:type="pc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kern w:val="0"/>
                      <w:sz w:val="21"/>
                      <w:szCs w:val="21"/>
                      <w:highlight w:val="none"/>
                    </w:rPr>
                    <w:t>0.</w:t>
                  </w:r>
                  <w:r>
                    <w:rPr>
                      <w:rFonts w:hint="eastAsia" w:cs="Times New Roman"/>
                      <w:color w:val="auto"/>
                      <w:kern w:val="0"/>
                      <w:sz w:val="21"/>
                      <w:szCs w:val="21"/>
                      <w:highlight w:val="none"/>
                      <w:lang w:val="en-US" w:eastAsia="zh-CN"/>
                    </w:rPr>
                    <w:t>157</w:t>
                  </w:r>
                  <w:r>
                    <w:rPr>
                      <w:rFonts w:hint="default" w:ascii="Times New Roman" w:hAnsi="Times New Roman" w:eastAsia="宋体" w:cs="Times New Roman"/>
                      <w:color w:val="auto"/>
                      <w:kern w:val="0"/>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noWrap w:val="0"/>
                  <w:vAlign w:val="center"/>
                </w:tcPr>
                <w:p>
                  <w:pPr>
                    <w:tabs>
                      <w:tab w:val="left" w:pos="195"/>
                    </w:tabs>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生产过程</w:t>
                  </w:r>
                </w:p>
              </w:tc>
              <w:tc>
                <w:tcPr>
                  <w:tcW w:w="839" w:type="pct"/>
                  <w:noWrap w:val="0"/>
                  <w:vAlign w:val="center"/>
                </w:tcPr>
                <w:p>
                  <w:pPr>
                    <w:tabs>
                      <w:tab w:val="left" w:pos="195"/>
                    </w:tabs>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废</w:t>
                  </w:r>
                  <w:r>
                    <w:rPr>
                      <w:rFonts w:hint="eastAsia" w:ascii="Times New Roman" w:hAnsi="Times New Roman" w:cs="Times New Roman"/>
                      <w:bCs/>
                      <w:color w:val="auto"/>
                      <w:kern w:val="0"/>
                      <w:szCs w:val="21"/>
                      <w:highlight w:val="none"/>
                      <w:lang w:val="en-US" w:eastAsia="zh-CN"/>
                    </w:rPr>
                    <w:t>包装</w:t>
                  </w:r>
                  <w:r>
                    <w:rPr>
                      <w:rFonts w:hint="eastAsia" w:cs="Times New Roman"/>
                      <w:bCs/>
                      <w:color w:val="auto"/>
                      <w:kern w:val="0"/>
                      <w:szCs w:val="21"/>
                      <w:highlight w:val="none"/>
                      <w:lang w:val="en-US" w:eastAsia="zh-CN"/>
                    </w:rPr>
                    <w:t>材料</w:t>
                  </w:r>
                </w:p>
              </w:tc>
              <w:tc>
                <w:tcPr>
                  <w:tcW w:w="654"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一般固废</w:t>
                  </w:r>
                </w:p>
              </w:tc>
              <w:tc>
                <w:tcPr>
                  <w:tcW w:w="440" w:type="pct"/>
                  <w:noWrap w:val="0"/>
                  <w:vAlign w:val="center"/>
                </w:tcPr>
                <w:p>
                  <w:pPr>
                    <w:tabs>
                      <w:tab w:val="left" w:pos="195"/>
                    </w:tabs>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固</w:t>
                  </w:r>
                </w:p>
              </w:tc>
              <w:tc>
                <w:tcPr>
                  <w:tcW w:w="619" w:type="pct"/>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color w:val="auto"/>
                      <w:sz w:val="21"/>
                      <w:szCs w:val="21"/>
                      <w:highlight w:val="none"/>
                    </w:rPr>
                    <w:t>0.2t/a</w:t>
                  </w:r>
                </w:p>
              </w:tc>
              <w:tc>
                <w:tcPr>
                  <w:tcW w:w="1085" w:type="pct"/>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color w:val="auto"/>
                      <w:sz w:val="21"/>
                      <w:szCs w:val="21"/>
                      <w:highlight w:val="none"/>
                    </w:rPr>
                    <w:t>定期外售综合利用</w:t>
                  </w:r>
                </w:p>
              </w:tc>
              <w:tc>
                <w:tcPr>
                  <w:tcW w:w="721" w:type="pc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bidi="ar-SA"/>
                    </w:rPr>
                  </w:pPr>
                  <w:r>
                    <w:rPr>
                      <w:rFonts w:hint="eastAsia" w:ascii="Times New Roman" w:hAnsi="Times New Roman" w:cs="Times New Roman"/>
                      <w:bCs/>
                      <w:color w:val="auto"/>
                      <w:kern w:val="0"/>
                      <w:szCs w:val="21"/>
                      <w:highlight w:val="none"/>
                      <w:lang w:val="en-US" w:eastAsia="zh-CN"/>
                    </w:rPr>
                    <w:t>检测</w:t>
                  </w:r>
                </w:p>
              </w:tc>
              <w:tc>
                <w:tcPr>
                  <w:tcW w:w="839" w:type="pct"/>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bidi="ar-SA"/>
                    </w:rPr>
                  </w:pPr>
                  <w:r>
                    <w:rPr>
                      <w:rFonts w:hint="eastAsia" w:ascii="Times New Roman" w:hAnsi="Times New Roman" w:cs="Times New Roman"/>
                      <w:bCs/>
                      <w:color w:val="auto"/>
                      <w:kern w:val="0"/>
                      <w:szCs w:val="21"/>
                      <w:highlight w:val="none"/>
                      <w:lang w:val="en-US" w:eastAsia="zh-CN"/>
                    </w:rPr>
                    <w:t>不合格品</w:t>
                  </w:r>
                </w:p>
              </w:tc>
              <w:tc>
                <w:tcPr>
                  <w:tcW w:w="654" w:type="pct"/>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一般固废</w:t>
                  </w:r>
                </w:p>
              </w:tc>
              <w:tc>
                <w:tcPr>
                  <w:tcW w:w="440" w:type="pct"/>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lang w:eastAsia="zh-CN"/>
                    </w:rPr>
                    <w:t>固</w:t>
                  </w:r>
                </w:p>
              </w:tc>
              <w:tc>
                <w:tcPr>
                  <w:tcW w:w="619" w:type="pct"/>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rPr>
                    <w:t>t/a</w:t>
                  </w:r>
                </w:p>
              </w:tc>
              <w:tc>
                <w:tcPr>
                  <w:tcW w:w="1085" w:type="pct"/>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对其进行拆除，拆除的废铜线及绝缘线这部分外售综合利用，其它的碎骨架及废胶带这部分收集后交由环卫部门处理。</w:t>
                  </w:r>
                </w:p>
              </w:tc>
              <w:tc>
                <w:tcPr>
                  <w:tcW w:w="721" w:type="pct"/>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pct"/>
                  <w:noWrap w:val="0"/>
                  <w:vAlign w:val="center"/>
                </w:tcPr>
                <w:p>
                  <w:pPr>
                    <w:tabs>
                      <w:tab w:val="left" w:pos="195"/>
                    </w:tabs>
                    <w:jc w:val="center"/>
                    <w:rPr>
                      <w:rFonts w:hint="eastAsia" w:ascii="Times New Roman" w:hAnsi="Times New Roman" w:cs="Times New Roman"/>
                      <w:bCs/>
                      <w:color w:val="auto"/>
                      <w:kern w:val="0"/>
                      <w:szCs w:val="21"/>
                      <w:highlight w:val="none"/>
                      <w:lang w:val="en-US" w:eastAsia="zh-CN"/>
                    </w:rPr>
                  </w:pPr>
                  <w:r>
                    <w:rPr>
                      <w:rFonts w:hint="eastAsia" w:cs="Times New Roman"/>
                      <w:bCs/>
                      <w:color w:val="auto"/>
                      <w:kern w:val="0"/>
                      <w:szCs w:val="21"/>
                      <w:highlight w:val="none"/>
                      <w:lang w:val="en-US" w:eastAsia="zh-CN"/>
                    </w:rPr>
                    <w:t>绕线</w:t>
                  </w:r>
                </w:p>
              </w:tc>
              <w:tc>
                <w:tcPr>
                  <w:tcW w:w="839" w:type="pct"/>
                  <w:noWrap w:val="0"/>
                  <w:vAlign w:val="center"/>
                </w:tcPr>
                <w:p>
                  <w:pPr>
                    <w:tabs>
                      <w:tab w:val="left" w:pos="195"/>
                    </w:tabs>
                    <w:jc w:val="center"/>
                    <w:rPr>
                      <w:rFonts w:hint="eastAsia" w:ascii="Times New Roman" w:hAnsi="Times New Roman" w:cs="Times New Roman"/>
                      <w:bCs/>
                      <w:color w:val="auto"/>
                      <w:kern w:val="0"/>
                      <w:szCs w:val="21"/>
                      <w:highlight w:val="none"/>
                      <w:lang w:val="en-US" w:eastAsia="zh-CN"/>
                    </w:rPr>
                  </w:pPr>
                  <w:r>
                    <w:rPr>
                      <w:rFonts w:hint="eastAsia" w:cs="Times New Roman"/>
                      <w:bCs/>
                      <w:color w:val="auto"/>
                      <w:kern w:val="0"/>
                      <w:szCs w:val="21"/>
                      <w:highlight w:val="none"/>
                      <w:lang w:val="en-US" w:eastAsia="zh-CN"/>
                    </w:rPr>
                    <w:t>边角料</w:t>
                  </w:r>
                </w:p>
              </w:tc>
              <w:tc>
                <w:tcPr>
                  <w:tcW w:w="654"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一般固废</w:t>
                  </w:r>
                </w:p>
              </w:tc>
              <w:tc>
                <w:tcPr>
                  <w:tcW w:w="440" w:type="pct"/>
                  <w:noWrap w:val="0"/>
                  <w:vAlign w:val="center"/>
                </w:tcPr>
                <w:p>
                  <w:pPr>
                    <w:tabs>
                      <w:tab w:val="left" w:pos="195"/>
                    </w:tabs>
                    <w:jc w:val="center"/>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固</w:t>
                  </w:r>
                </w:p>
              </w:tc>
              <w:tc>
                <w:tcPr>
                  <w:tcW w:w="619" w:type="pct"/>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sz w:val="21"/>
                      <w:szCs w:val="21"/>
                      <w:highlight w:val="none"/>
                    </w:rPr>
                    <w:t>0.5t/a</w:t>
                  </w:r>
                </w:p>
              </w:tc>
              <w:tc>
                <w:tcPr>
                  <w:tcW w:w="1085" w:type="pct"/>
                  <w:noWrap w:val="0"/>
                  <w:vAlign w:val="center"/>
                </w:tcPr>
                <w:p>
                  <w:pPr>
                    <w:tabs>
                      <w:tab w:val="left" w:pos="195"/>
                    </w:tabs>
                    <w:jc w:val="center"/>
                    <w:rPr>
                      <w:rFonts w:hint="default" w:ascii="Times New Roman" w:hAnsi="Times New Roman" w:cs="Times New Roman"/>
                      <w:bCs/>
                      <w:color w:val="auto"/>
                      <w:kern w:val="0"/>
                      <w:sz w:val="21"/>
                      <w:szCs w:val="21"/>
                      <w:highlight w:val="none"/>
                      <w:lang w:eastAsia="zh-CN"/>
                    </w:rPr>
                  </w:pPr>
                  <w:r>
                    <w:rPr>
                      <w:rFonts w:hint="default" w:ascii="Times New Roman" w:hAnsi="Times New Roman" w:cs="Times New Roman"/>
                      <w:color w:val="auto"/>
                      <w:sz w:val="21"/>
                      <w:szCs w:val="21"/>
                      <w:highlight w:val="none"/>
                    </w:rPr>
                    <w:t>定期外售综合利用</w:t>
                  </w:r>
                </w:p>
              </w:tc>
              <w:tc>
                <w:tcPr>
                  <w:tcW w:w="721" w:type="pct"/>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sz w:val="21"/>
                      <w:szCs w:val="21"/>
                      <w:highlight w:val="none"/>
                    </w:rPr>
                    <w:t>0.5t/a</w:t>
                  </w:r>
                </w:p>
              </w:tc>
            </w:tr>
          </w:tbl>
          <w:p>
            <w:pPr>
              <w:pStyle w:val="10"/>
              <w:spacing w:before="120" w:beforeLines="50"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default" w:ascii="Times New Roman" w:hAnsi="Times New Roman" w:cs="Times New Roman"/>
                <w:b/>
                <w:bCs/>
                <w:color w:val="auto"/>
                <w:sz w:val="21"/>
                <w:szCs w:val="21"/>
                <w:highlight w:val="none"/>
                <w:lang w:val="en-US" w:eastAsia="zh-CN"/>
              </w:rPr>
              <w:t>1</w:t>
            </w:r>
            <w:r>
              <w:rPr>
                <w:rFonts w:hint="eastAsia" w:asci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项目危险废物产排情况一览表</w:t>
            </w:r>
          </w:p>
          <w:tbl>
            <w:tblPr>
              <w:tblStyle w:val="1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967"/>
              <w:gridCol w:w="1429"/>
              <w:gridCol w:w="647"/>
              <w:gridCol w:w="877"/>
              <w:gridCol w:w="1151"/>
              <w:gridCol w:w="993"/>
              <w:gridCol w:w="921"/>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产生环节</w:t>
                  </w:r>
                </w:p>
              </w:tc>
              <w:tc>
                <w:tcPr>
                  <w:tcW w:w="877"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名称</w:t>
                  </w:r>
                </w:p>
              </w:tc>
              <w:tc>
                <w:tcPr>
                  <w:tcW w:w="1294"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eastAsia"/>
                      <w:b/>
                      <w:bCs/>
                      <w:color w:val="auto"/>
                      <w:szCs w:val="21"/>
                      <w:highlight w:val="none"/>
                    </w:rPr>
                    <w:t>危险废物类别及代码</w:t>
                  </w:r>
                </w:p>
              </w:tc>
              <w:tc>
                <w:tcPr>
                  <w:tcW w:w="586"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物理性状</w:t>
                  </w:r>
                </w:p>
              </w:tc>
              <w:tc>
                <w:tcPr>
                  <w:tcW w:w="794"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环境危险特性</w:t>
                  </w:r>
                </w:p>
              </w:tc>
              <w:tc>
                <w:tcPr>
                  <w:tcW w:w="1042"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主要有毒有害物质名称</w:t>
                  </w:r>
                </w:p>
              </w:tc>
              <w:tc>
                <w:tcPr>
                  <w:tcW w:w="899"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年产生量</w:t>
                  </w:r>
                </w:p>
              </w:tc>
              <w:tc>
                <w:tcPr>
                  <w:tcW w:w="834"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利用处置方和去向</w:t>
                  </w:r>
                </w:p>
              </w:tc>
              <w:tc>
                <w:tcPr>
                  <w:tcW w:w="899" w:type="dxa"/>
                  <w:noWrap w:val="0"/>
                  <w:vAlign w:val="center"/>
                </w:tcPr>
                <w:p>
                  <w:pPr>
                    <w:tabs>
                      <w:tab w:val="left" w:pos="195"/>
                    </w:tabs>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利用或处置量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Merge w:val="restar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设备维护</w:t>
                  </w:r>
                </w:p>
              </w:tc>
              <w:tc>
                <w:tcPr>
                  <w:tcW w:w="877" w:type="dxa"/>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废机油</w:t>
                  </w:r>
                </w:p>
              </w:tc>
              <w:tc>
                <w:tcPr>
                  <w:tcW w:w="1294" w:type="dxa"/>
                  <w:noWrap w:val="0"/>
                  <w:vAlign w:val="center"/>
                </w:tcPr>
                <w:p>
                  <w:pPr>
                    <w:tabs>
                      <w:tab w:val="left" w:pos="195"/>
                    </w:tabs>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HW08</w:t>
                  </w:r>
                  <w:r>
                    <w:rPr>
                      <w:rFonts w:hint="eastAsia" w:cs="Times New Roman"/>
                      <w:color w:val="auto"/>
                      <w:sz w:val="21"/>
                      <w:szCs w:val="21"/>
                      <w:highlight w:val="none"/>
                      <w:lang w:eastAsia="zh-CN"/>
                    </w:rPr>
                    <w:t>）</w:t>
                  </w:r>
                </w:p>
                <w:p>
                  <w:pPr>
                    <w:pStyle w:val="12"/>
                    <w:ind w:left="0" w:leftChars="0" w:firstLine="0" w:firstLineChars="0"/>
                    <w:rPr>
                      <w:rFonts w:hint="default"/>
                      <w:color w:val="auto"/>
                      <w:sz w:val="21"/>
                      <w:szCs w:val="21"/>
                      <w:highlight w:val="none"/>
                    </w:rPr>
                  </w:pPr>
                  <w:r>
                    <w:rPr>
                      <w:rFonts w:hint="default" w:ascii="Times New Roman" w:hAnsi="Times New Roman" w:cs="Times New Roman"/>
                      <w:color w:val="auto"/>
                      <w:sz w:val="21"/>
                      <w:szCs w:val="21"/>
                      <w:highlight w:val="none"/>
                    </w:rPr>
                    <w:t>900-249-08</w:t>
                  </w:r>
                </w:p>
              </w:tc>
              <w:tc>
                <w:tcPr>
                  <w:tcW w:w="586"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液</w:t>
                  </w:r>
                </w:p>
              </w:tc>
              <w:tc>
                <w:tcPr>
                  <w:tcW w:w="794" w:type="dxa"/>
                  <w:noWrap w:val="0"/>
                  <w:vAlign w:val="center"/>
                </w:tcPr>
                <w:p>
                  <w:pPr>
                    <w:tabs>
                      <w:tab w:val="left" w:pos="195"/>
                    </w:tabs>
                    <w:jc w:val="center"/>
                    <w:rPr>
                      <w:rFonts w:hint="eastAsia"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rPr>
                    <w:t>T</w:t>
                  </w:r>
                  <w:r>
                    <w:rPr>
                      <w:rFonts w:cs="宋体" w:asciiTheme="minorEastAsia" w:hAnsiTheme="minorEastAsia"/>
                      <w:color w:val="auto"/>
                      <w:kern w:val="0"/>
                      <w:sz w:val="21"/>
                      <w:szCs w:val="21"/>
                      <w:highlight w:val="none"/>
                    </w:rPr>
                    <w:t>，I</w:t>
                  </w:r>
                </w:p>
              </w:tc>
              <w:tc>
                <w:tcPr>
                  <w:tcW w:w="1042"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矿物油</w:t>
                  </w: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t/a</w:t>
                  </w:r>
                </w:p>
              </w:tc>
              <w:tc>
                <w:tcPr>
                  <w:tcW w:w="834" w:type="dxa"/>
                  <w:vMerge w:val="restart"/>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分类收集暂存危废暂存间，定期交由危废资质单位处置</w:t>
                  </w: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Merge w:val="continue"/>
                  <w:noWrap w:val="0"/>
                  <w:vAlign w:val="center"/>
                </w:tcPr>
                <w:p>
                  <w:pPr>
                    <w:tabs>
                      <w:tab w:val="left" w:pos="195"/>
                    </w:tabs>
                    <w:jc w:val="center"/>
                    <w:rPr>
                      <w:rFonts w:hint="default" w:ascii="Times New Roman" w:hAnsi="Times New Roman" w:cs="Times New Roman"/>
                      <w:bCs/>
                      <w:color w:val="auto"/>
                      <w:kern w:val="0"/>
                      <w:szCs w:val="21"/>
                      <w:highlight w:val="none"/>
                    </w:rPr>
                  </w:pPr>
                </w:p>
              </w:tc>
              <w:tc>
                <w:tcPr>
                  <w:tcW w:w="877" w:type="dxa"/>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沾油抹布及手套</w:t>
                  </w:r>
                </w:p>
              </w:tc>
              <w:tc>
                <w:tcPr>
                  <w:tcW w:w="1294" w:type="dxa"/>
                  <w:noWrap w:val="0"/>
                  <w:vAlign w:val="center"/>
                </w:tcPr>
                <w:p>
                  <w:pPr>
                    <w:tabs>
                      <w:tab w:val="left" w:pos="195"/>
                    </w:tabs>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HW</w:t>
                  </w:r>
                  <w:r>
                    <w:rPr>
                      <w:rFonts w:hint="eastAsia" w:ascii="Times New Roman" w:hAnsi="Times New Roman" w:cs="Times New Roman"/>
                      <w:color w:val="auto"/>
                      <w:sz w:val="21"/>
                      <w:szCs w:val="21"/>
                      <w:highlight w:val="none"/>
                      <w:lang w:val="en-US" w:eastAsia="zh-CN"/>
                    </w:rPr>
                    <w:t>49</w:t>
                  </w:r>
                  <w:r>
                    <w:rPr>
                      <w:rFonts w:hint="eastAsia" w:cs="Times New Roman"/>
                      <w:color w:val="auto"/>
                      <w:sz w:val="21"/>
                      <w:szCs w:val="21"/>
                      <w:highlight w:val="none"/>
                      <w:lang w:eastAsia="zh-CN"/>
                    </w:rPr>
                    <w:t>）</w:t>
                  </w:r>
                </w:p>
                <w:p>
                  <w:pPr>
                    <w:tabs>
                      <w:tab w:val="left" w:pos="195"/>
                    </w:tabs>
                    <w:jc w:val="center"/>
                    <w:rPr>
                      <w:rFonts w:hint="default" w:ascii="Times New Roman" w:hAnsi="Times New Roman" w:cs="Times New Roman"/>
                      <w:bCs/>
                      <w:color w:val="auto"/>
                      <w:kern w:val="0"/>
                      <w:sz w:val="21"/>
                      <w:szCs w:val="21"/>
                      <w:highlight w:val="none"/>
                    </w:rPr>
                  </w:pPr>
                  <w:r>
                    <w:rPr>
                      <w:rFonts w:hint="eastAsia" w:ascii="Times New Roman" w:hAnsi="Times New Roman" w:eastAsia="宋体" w:cs="Times New Roman"/>
                      <w:color w:val="auto"/>
                      <w:sz w:val="21"/>
                      <w:szCs w:val="21"/>
                      <w:highlight w:val="none"/>
                    </w:rPr>
                    <w:t>900-041-49</w:t>
                  </w:r>
                </w:p>
              </w:tc>
              <w:tc>
                <w:tcPr>
                  <w:tcW w:w="586"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固</w:t>
                  </w:r>
                </w:p>
              </w:tc>
              <w:tc>
                <w:tcPr>
                  <w:tcW w:w="794" w:type="dxa"/>
                  <w:noWrap w:val="0"/>
                  <w:vAlign w:val="center"/>
                </w:tcPr>
                <w:p>
                  <w:pPr>
                    <w:tabs>
                      <w:tab w:val="left" w:pos="195"/>
                    </w:tabs>
                    <w:jc w:val="center"/>
                    <w:rPr>
                      <w:rFonts w:hint="eastAsia"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rPr>
                    <w:t>T</w:t>
                  </w:r>
                  <w:r>
                    <w:rPr>
                      <w:rFonts w:hint="eastAsia" w:cs="Times New Roman"/>
                      <w:bCs/>
                      <w:color w:val="auto"/>
                      <w:kern w:val="0"/>
                      <w:sz w:val="21"/>
                      <w:szCs w:val="21"/>
                      <w:highlight w:val="none"/>
                      <w:lang w:val="en-US" w:eastAsia="zh-CN"/>
                    </w:rPr>
                    <w:t>/</w:t>
                  </w:r>
                  <w:r>
                    <w:rPr>
                      <w:rFonts w:cs="宋体" w:asciiTheme="minorEastAsia" w:hAnsiTheme="minorEastAsia"/>
                      <w:color w:val="auto"/>
                      <w:kern w:val="0"/>
                      <w:sz w:val="21"/>
                      <w:szCs w:val="21"/>
                      <w:highlight w:val="none"/>
                    </w:rPr>
                    <w:t>In</w:t>
                  </w:r>
                </w:p>
              </w:tc>
              <w:tc>
                <w:tcPr>
                  <w:tcW w:w="1042"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矿物油</w:t>
                  </w: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c>
                <w:tcPr>
                  <w:tcW w:w="834" w:type="dxa"/>
                  <w:vMerge w:val="continue"/>
                  <w:noWrap w:val="0"/>
                  <w:vAlign w:val="center"/>
                </w:tcPr>
                <w:p>
                  <w:pPr>
                    <w:tabs>
                      <w:tab w:val="left" w:pos="195"/>
                    </w:tabs>
                    <w:jc w:val="center"/>
                    <w:rPr>
                      <w:rFonts w:hint="default" w:ascii="Times New Roman" w:hAnsi="Times New Roman" w:cs="Times New Roman"/>
                      <w:bCs/>
                      <w:color w:val="auto"/>
                      <w:kern w:val="0"/>
                      <w:sz w:val="21"/>
                      <w:szCs w:val="21"/>
                      <w:highlight w:val="none"/>
                    </w:rPr>
                  </w:pP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Merge w:val="continue"/>
                  <w:noWrap w:val="0"/>
                  <w:vAlign w:val="center"/>
                </w:tcPr>
                <w:p>
                  <w:pPr>
                    <w:tabs>
                      <w:tab w:val="left" w:pos="195"/>
                    </w:tabs>
                    <w:jc w:val="center"/>
                    <w:rPr>
                      <w:rFonts w:hint="default" w:ascii="Times New Roman" w:hAnsi="Times New Roman" w:cs="Times New Roman"/>
                      <w:bCs/>
                      <w:color w:val="auto"/>
                      <w:kern w:val="0"/>
                      <w:szCs w:val="21"/>
                      <w:highlight w:val="none"/>
                    </w:rPr>
                  </w:pPr>
                </w:p>
              </w:tc>
              <w:tc>
                <w:tcPr>
                  <w:tcW w:w="877"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废机油桶</w:t>
                  </w:r>
                </w:p>
              </w:tc>
              <w:tc>
                <w:tcPr>
                  <w:tcW w:w="1294" w:type="dxa"/>
                  <w:noWrap w:val="0"/>
                  <w:vAlign w:val="center"/>
                </w:tcPr>
                <w:p>
                  <w:pPr>
                    <w:tabs>
                      <w:tab w:val="left" w:pos="195"/>
                    </w:tabs>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HW08</w:t>
                  </w:r>
                  <w:r>
                    <w:rPr>
                      <w:rFonts w:hint="eastAsia" w:cs="Times New Roman"/>
                      <w:color w:val="auto"/>
                      <w:sz w:val="21"/>
                      <w:szCs w:val="21"/>
                      <w:highlight w:val="none"/>
                      <w:lang w:eastAsia="zh-CN"/>
                    </w:rPr>
                    <w:t>）</w:t>
                  </w:r>
                </w:p>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900-249-08</w:t>
                  </w:r>
                </w:p>
              </w:tc>
              <w:tc>
                <w:tcPr>
                  <w:tcW w:w="586"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rPr>
                    <w:t>固</w:t>
                  </w:r>
                </w:p>
              </w:tc>
              <w:tc>
                <w:tcPr>
                  <w:tcW w:w="794" w:type="dxa"/>
                  <w:noWrap w:val="0"/>
                  <w:vAlign w:val="center"/>
                </w:tcPr>
                <w:p>
                  <w:pPr>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rPr>
                    <w:t>T</w:t>
                  </w:r>
                  <w:r>
                    <w:rPr>
                      <w:rFonts w:cs="宋体" w:asciiTheme="minorEastAsia" w:hAnsiTheme="minorEastAsia"/>
                      <w:color w:val="auto"/>
                      <w:kern w:val="0"/>
                      <w:sz w:val="21"/>
                      <w:szCs w:val="21"/>
                      <w:highlight w:val="none"/>
                    </w:rPr>
                    <w:t>，I</w:t>
                  </w:r>
                </w:p>
              </w:tc>
              <w:tc>
                <w:tcPr>
                  <w:tcW w:w="1042"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rPr>
                    <w:t>矿物油</w:t>
                  </w: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c>
                <w:tcPr>
                  <w:tcW w:w="834" w:type="dxa"/>
                  <w:vMerge w:val="continue"/>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noWrap w:val="0"/>
                  <w:vAlign w:val="center"/>
                </w:tcPr>
                <w:p>
                  <w:pPr>
                    <w:tabs>
                      <w:tab w:val="left" w:pos="195"/>
                    </w:tabs>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绝缘漆、</w:t>
                  </w:r>
                  <w:r>
                    <w:rPr>
                      <w:rFonts w:hint="eastAsia" w:cs="Times New Roman"/>
                      <w:bCs/>
                      <w:color w:val="auto"/>
                      <w:kern w:val="0"/>
                      <w:szCs w:val="21"/>
                      <w:highlight w:val="none"/>
                      <w:lang w:val="en-US" w:eastAsia="zh-CN"/>
                    </w:rPr>
                    <w:t>助焊剂、</w:t>
                  </w:r>
                  <w:r>
                    <w:rPr>
                      <w:rFonts w:hint="eastAsia" w:ascii="Times New Roman" w:hAnsi="Times New Roman" w:cs="Times New Roman"/>
                      <w:bCs/>
                      <w:color w:val="auto"/>
                      <w:kern w:val="0"/>
                      <w:szCs w:val="21"/>
                      <w:highlight w:val="none"/>
                      <w:lang w:val="en-US" w:eastAsia="zh-CN"/>
                    </w:rPr>
                    <w:t>稀释剂包装</w:t>
                  </w:r>
                </w:p>
              </w:tc>
              <w:tc>
                <w:tcPr>
                  <w:tcW w:w="877" w:type="dxa"/>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lang w:eastAsia="zh-CN"/>
                    </w:rPr>
                    <w:t>废包装桶</w:t>
                  </w:r>
                </w:p>
              </w:tc>
              <w:tc>
                <w:tcPr>
                  <w:tcW w:w="1294" w:type="dxa"/>
                  <w:noWrap w:val="0"/>
                  <w:vAlign w:val="center"/>
                </w:tcPr>
                <w:p>
                  <w:pPr>
                    <w:tabs>
                      <w:tab w:val="left" w:pos="195"/>
                    </w:tabs>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HW</w:t>
                  </w:r>
                  <w:r>
                    <w:rPr>
                      <w:rFonts w:hint="eastAsia" w:ascii="Times New Roman" w:hAnsi="Times New Roman" w:cs="Times New Roman"/>
                      <w:color w:val="auto"/>
                      <w:sz w:val="21"/>
                      <w:szCs w:val="21"/>
                      <w:highlight w:val="none"/>
                      <w:lang w:val="en-US" w:eastAsia="zh-CN"/>
                    </w:rPr>
                    <w:t>49</w:t>
                  </w:r>
                  <w:r>
                    <w:rPr>
                      <w:rFonts w:hint="eastAsia" w:cs="Times New Roman"/>
                      <w:color w:val="auto"/>
                      <w:sz w:val="21"/>
                      <w:szCs w:val="21"/>
                      <w:highlight w:val="none"/>
                      <w:lang w:eastAsia="zh-CN"/>
                    </w:rPr>
                    <w:t>）</w:t>
                  </w:r>
                </w:p>
                <w:p>
                  <w:pPr>
                    <w:tabs>
                      <w:tab w:val="left" w:pos="195"/>
                    </w:tabs>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900-041-49</w:t>
                  </w:r>
                </w:p>
              </w:tc>
              <w:tc>
                <w:tcPr>
                  <w:tcW w:w="586"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rPr>
                    <w:t>固</w:t>
                  </w:r>
                </w:p>
              </w:tc>
              <w:tc>
                <w:tcPr>
                  <w:tcW w:w="794" w:type="dxa"/>
                  <w:noWrap w:val="0"/>
                  <w:vAlign w:val="center"/>
                </w:tcPr>
                <w:p>
                  <w:pPr>
                    <w:tabs>
                      <w:tab w:val="left" w:pos="195"/>
                    </w:tabs>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rPr>
                    <w:t>T</w:t>
                  </w:r>
                  <w:r>
                    <w:rPr>
                      <w:rFonts w:hint="eastAsia" w:cs="Times New Roman"/>
                      <w:bCs/>
                      <w:color w:val="auto"/>
                      <w:kern w:val="0"/>
                      <w:sz w:val="21"/>
                      <w:szCs w:val="21"/>
                      <w:highlight w:val="none"/>
                      <w:lang w:val="en-US" w:eastAsia="zh-CN"/>
                    </w:rPr>
                    <w:t>/</w:t>
                  </w:r>
                  <w:r>
                    <w:rPr>
                      <w:rFonts w:cs="宋体" w:asciiTheme="minorEastAsia" w:hAnsiTheme="minorEastAsia"/>
                      <w:color w:val="auto"/>
                      <w:kern w:val="0"/>
                      <w:sz w:val="21"/>
                      <w:szCs w:val="21"/>
                      <w:highlight w:val="none"/>
                    </w:rPr>
                    <w:t>In</w:t>
                  </w:r>
                </w:p>
              </w:tc>
              <w:tc>
                <w:tcPr>
                  <w:tcW w:w="1042" w:type="dxa"/>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eastAsia="zh-CN"/>
                    </w:rPr>
                    <w:t>化学品</w:t>
                  </w: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t/a</w:t>
                  </w:r>
                </w:p>
              </w:tc>
              <w:tc>
                <w:tcPr>
                  <w:tcW w:w="834" w:type="dxa"/>
                  <w:vMerge w:val="continue"/>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Merge w:val="restart"/>
                  <w:noWrap w:val="0"/>
                  <w:vAlign w:val="center"/>
                </w:tcPr>
                <w:p>
                  <w:pPr>
                    <w:tabs>
                      <w:tab w:val="left" w:pos="195"/>
                    </w:tabs>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环保处理措施</w:t>
                  </w:r>
                </w:p>
              </w:tc>
              <w:tc>
                <w:tcPr>
                  <w:tcW w:w="877" w:type="dxa"/>
                  <w:noWrap w:val="0"/>
                  <w:vAlign w:val="center"/>
                </w:tcPr>
                <w:p>
                  <w:pPr>
                    <w:tabs>
                      <w:tab w:val="left" w:pos="195"/>
                    </w:tabs>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废活性炭</w:t>
                  </w:r>
                </w:p>
              </w:tc>
              <w:tc>
                <w:tcPr>
                  <w:tcW w:w="1294" w:type="dxa"/>
                  <w:noWrap w:val="0"/>
                  <w:vAlign w:val="center"/>
                </w:tcPr>
                <w:p>
                  <w:pPr>
                    <w:tabs>
                      <w:tab w:val="left" w:pos="195"/>
                    </w:tabs>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HW</w:t>
                  </w:r>
                  <w:r>
                    <w:rPr>
                      <w:rFonts w:hint="eastAsia" w:ascii="Times New Roman" w:hAnsi="Times New Roman" w:cs="Times New Roman"/>
                      <w:color w:val="auto"/>
                      <w:sz w:val="21"/>
                      <w:szCs w:val="21"/>
                      <w:highlight w:val="none"/>
                      <w:lang w:val="en-US" w:eastAsia="zh-CN"/>
                    </w:rPr>
                    <w:t>49</w:t>
                  </w:r>
                  <w:r>
                    <w:rPr>
                      <w:rFonts w:hint="eastAsia" w:cs="Times New Roman"/>
                      <w:color w:val="auto"/>
                      <w:sz w:val="21"/>
                      <w:szCs w:val="21"/>
                      <w:highlight w:val="none"/>
                      <w:lang w:eastAsia="zh-CN"/>
                    </w:rPr>
                    <w:t>）</w:t>
                  </w:r>
                </w:p>
                <w:p>
                  <w:pPr>
                    <w:tabs>
                      <w:tab w:val="left" w:pos="195"/>
                    </w:tabs>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900-039-49</w:t>
                  </w:r>
                </w:p>
              </w:tc>
              <w:tc>
                <w:tcPr>
                  <w:tcW w:w="586"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固</w:t>
                  </w:r>
                </w:p>
              </w:tc>
              <w:tc>
                <w:tcPr>
                  <w:tcW w:w="794" w:type="dxa"/>
                  <w:noWrap w:val="0"/>
                  <w:vAlign w:val="center"/>
                </w:tcPr>
                <w:p>
                  <w:pPr>
                    <w:tabs>
                      <w:tab w:val="left" w:pos="195"/>
                    </w:tabs>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T</w:t>
                  </w:r>
                </w:p>
              </w:tc>
              <w:tc>
                <w:tcPr>
                  <w:tcW w:w="1042" w:type="dxa"/>
                  <w:vMerge w:val="restart"/>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eastAsia="zh-CN"/>
                    </w:rPr>
                    <w:t>化学品</w:t>
                  </w:r>
                </w:p>
              </w:tc>
              <w:tc>
                <w:tcPr>
                  <w:tcW w:w="899" w:type="dxa"/>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16.2804</w:t>
                  </w:r>
                  <w:r>
                    <w:rPr>
                      <w:rFonts w:hint="eastAsia" w:ascii="Times New Roman" w:hAnsi="Times New Roman" w:eastAsia="宋体" w:cs="Times New Roman"/>
                      <w:color w:val="auto"/>
                      <w:sz w:val="21"/>
                      <w:szCs w:val="21"/>
                      <w:highlight w:val="none"/>
                      <w:lang w:eastAsia="zh-CN"/>
                    </w:rPr>
                    <w:t>t</w:t>
                  </w:r>
                  <w:r>
                    <w:rPr>
                      <w:rFonts w:hint="eastAsia" w:ascii="Times New Roman" w:hAnsi="Times New Roman" w:cs="Times New Roman"/>
                      <w:color w:val="auto"/>
                      <w:sz w:val="21"/>
                      <w:szCs w:val="21"/>
                      <w:highlight w:val="none"/>
                      <w:lang w:val="en-US" w:eastAsia="zh-CN"/>
                    </w:rPr>
                    <w:t>/a</w:t>
                  </w:r>
                </w:p>
              </w:tc>
              <w:tc>
                <w:tcPr>
                  <w:tcW w:w="834" w:type="dxa"/>
                  <w:vMerge w:val="continue"/>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p>
              </w:tc>
              <w:tc>
                <w:tcPr>
                  <w:tcW w:w="899" w:type="dxa"/>
                  <w:noWrap w:val="0"/>
                  <w:vAlign w:val="center"/>
                </w:tcPr>
                <w:p>
                  <w:pPr>
                    <w:tabs>
                      <w:tab w:val="left" w:pos="195"/>
                    </w:tabs>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16.2804</w:t>
                  </w:r>
                  <w:r>
                    <w:rPr>
                      <w:rFonts w:hint="eastAsia" w:ascii="Times New Roman" w:hAnsi="Times New Roman" w:eastAsia="宋体" w:cs="Times New Roman"/>
                      <w:color w:val="auto"/>
                      <w:sz w:val="21"/>
                      <w:szCs w:val="21"/>
                      <w:highlight w:val="none"/>
                      <w:lang w:eastAsia="zh-CN"/>
                    </w:rPr>
                    <w:t>t</w:t>
                  </w:r>
                  <w:r>
                    <w:rPr>
                      <w:rFonts w:hint="eastAsia" w:ascii="Times New Roman" w:hAnsi="Times New Roman" w:cs="Times New Roman"/>
                      <w:color w:val="auto"/>
                      <w:sz w:val="21"/>
                      <w:szCs w:val="21"/>
                      <w:highlight w:val="no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Merge w:val="continue"/>
                  <w:noWrap w:val="0"/>
                  <w:vAlign w:val="center"/>
                </w:tcPr>
                <w:p>
                  <w:pPr>
                    <w:tabs>
                      <w:tab w:val="left" w:pos="195"/>
                    </w:tabs>
                    <w:jc w:val="center"/>
                    <w:rPr>
                      <w:rFonts w:hint="eastAsia" w:ascii="Times New Roman" w:hAnsi="Times New Roman" w:cs="Times New Roman"/>
                      <w:bCs/>
                      <w:color w:val="auto"/>
                      <w:kern w:val="0"/>
                      <w:szCs w:val="21"/>
                      <w:highlight w:val="none"/>
                      <w:lang w:val="en-US" w:eastAsia="zh-CN"/>
                    </w:rPr>
                  </w:pPr>
                </w:p>
              </w:tc>
              <w:tc>
                <w:tcPr>
                  <w:tcW w:w="877" w:type="dxa"/>
                  <w:noWrap w:val="0"/>
                  <w:vAlign w:val="center"/>
                </w:tcPr>
                <w:p>
                  <w:pPr>
                    <w:autoSpaceDE w:val="0"/>
                    <w:autoSpaceDN w:val="0"/>
                    <w:adjustRightInd w:val="0"/>
                    <w:snapToGrid w:val="0"/>
                    <w:jc w:val="center"/>
                    <w:rPr>
                      <w:rFonts w:hint="eastAsia" w:ascii="Times New Roman" w:hAnsi="Times New Roman" w:eastAsia="宋体" w:cs="Calibri"/>
                      <w:color w:val="auto"/>
                      <w:kern w:val="2"/>
                      <w:sz w:val="21"/>
                      <w:szCs w:val="21"/>
                      <w:highlight w:val="none"/>
                      <w:shd w:val="clear" w:color="auto" w:fill="auto"/>
                      <w:lang w:val="en-US" w:eastAsia="zh-CN" w:bidi="ar-SA"/>
                    </w:rPr>
                  </w:pPr>
                  <w:r>
                    <w:rPr>
                      <w:rFonts w:hint="eastAsia" w:ascii="Times New Roman" w:hAnsi="Times New Roman" w:eastAsia="宋体" w:cs="Calibri"/>
                      <w:color w:val="auto"/>
                      <w:sz w:val="21"/>
                      <w:szCs w:val="21"/>
                      <w:highlight w:val="none"/>
                      <w:shd w:val="clear" w:color="auto" w:fill="auto"/>
                      <w:lang w:eastAsia="zh-CN"/>
                    </w:rPr>
                    <w:t>废过滤棉</w:t>
                  </w:r>
                </w:p>
              </w:tc>
              <w:tc>
                <w:tcPr>
                  <w:tcW w:w="1294" w:type="dxa"/>
                  <w:noWrap w:val="0"/>
                  <w:vAlign w:val="center"/>
                </w:tcPr>
                <w:p>
                  <w:pPr>
                    <w:tabs>
                      <w:tab w:val="left" w:pos="195"/>
                    </w:tabs>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HW</w:t>
                  </w:r>
                  <w:r>
                    <w:rPr>
                      <w:rFonts w:hint="eastAsia" w:ascii="Times New Roman" w:hAnsi="Times New Roman" w:cs="Times New Roman"/>
                      <w:color w:val="auto"/>
                      <w:sz w:val="21"/>
                      <w:szCs w:val="21"/>
                      <w:highlight w:val="none"/>
                      <w:lang w:val="en-US" w:eastAsia="zh-CN"/>
                    </w:rPr>
                    <w:t>49</w:t>
                  </w:r>
                  <w:r>
                    <w:rPr>
                      <w:rFonts w:hint="eastAsia" w:cs="Times New Roman"/>
                      <w:color w:val="auto"/>
                      <w:sz w:val="21"/>
                      <w:szCs w:val="21"/>
                      <w:highlight w:val="none"/>
                      <w:lang w:eastAsia="zh-CN"/>
                    </w:rPr>
                    <w:t>）</w:t>
                  </w:r>
                </w:p>
                <w:p>
                  <w:pPr>
                    <w:pStyle w:val="41"/>
                    <w:jc w:val="center"/>
                    <w:rPr>
                      <w:rFonts w:hint="default" w:ascii="Times New Roman" w:hAnsi="Times New Roman" w:eastAsia="宋体" w:cs="Calibri"/>
                      <w:snapToGrid w:val="0"/>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rPr>
                    <w:t>900-041-49</w:t>
                  </w:r>
                </w:p>
              </w:tc>
              <w:tc>
                <w:tcPr>
                  <w:tcW w:w="586" w:type="dxa"/>
                  <w:noWrap w:val="0"/>
                  <w:vAlign w:val="center"/>
                </w:tcPr>
                <w:p>
                  <w:pPr>
                    <w:pStyle w:val="41"/>
                    <w:jc w:val="center"/>
                    <w:rPr>
                      <w:rFonts w:hint="default" w:ascii="Times New Roman" w:hAnsi="Times New Roman" w:eastAsia="宋体" w:cs="Calibri"/>
                      <w:snapToGrid w:val="0"/>
                      <w:color w:val="auto"/>
                      <w:kern w:val="2"/>
                      <w:sz w:val="21"/>
                      <w:szCs w:val="21"/>
                      <w:highlight w:val="none"/>
                      <w:shd w:val="clear" w:color="auto" w:fill="auto"/>
                      <w:lang w:val="en-US" w:eastAsia="zh-CN" w:bidi="ar-SA"/>
                    </w:rPr>
                  </w:pPr>
                  <w:r>
                    <w:rPr>
                      <w:rFonts w:hint="eastAsia" w:ascii="Times New Roman" w:hAnsi="Times New Roman" w:cs="Calibri"/>
                      <w:snapToGrid w:val="0"/>
                      <w:color w:val="auto"/>
                      <w:kern w:val="2"/>
                      <w:sz w:val="21"/>
                      <w:szCs w:val="21"/>
                      <w:highlight w:val="none"/>
                      <w:shd w:val="clear" w:color="auto" w:fill="auto"/>
                      <w:lang w:val="en-US" w:eastAsia="zh-CN" w:bidi="ar-SA"/>
                    </w:rPr>
                    <w:t>固</w:t>
                  </w:r>
                </w:p>
              </w:tc>
              <w:tc>
                <w:tcPr>
                  <w:tcW w:w="794" w:type="dxa"/>
                  <w:noWrap w:val="0"/>
                  <w:vAlign w:val="center"/>
                </w:tcPr>
                <w:p>
                  <w:pPr>
                    <w:autoSpaceDE w:val="0"/>
                    <w:autoSpaceDN w:val="0"/>
                    <w:adjustRightInd w:val="0"/>
                    <w:snapToGrid w:val="0"/>
                    <w:jc w:val="center"/>
                    <w:rPr>
                      <w:rFonts w:hint="default" w:ascii="Times New Roman" w:hAnsi="Times New Roman" w:eastAsia="宋体" w:cs="Calibri"/>
                      <w:color w:val="auto"/>
                      <w:kern w:val="2"/>
                      <w:sz w:val="21"/>
                      <w:szCs w:val="21"/>
                      <w:highlight w:val="none"/>
                      <w:shd w:val="clear" w:color="auto" w:fill="auto"/>
                      <w:lang w:val="en-US" w:eastAsia="zh-CN" w:bidi="ar-SA"/>
                    </w:rPr>
                  </w:pPr>
                  <w:r>
                    <w:rPr>
                      <w:rFonts w:hint="eastAsia" w:ascii="Times New Roman" w:hAnsi="Times New Roman" w:eastAsia="宋体" w:cs="Calibri"/>
                      <w:color w:val="auto"/>
                      <w:kern w:val="2"/>
                      <w:sz w:val="21"/>
                      <w:szCs w:val="21"/>
                      <w:highlight w:val="none"/>
                      <w:shd w:val="clear" w:color="auto" w:fill="auto"/>
                      <w:lang w:val="en-US" w:eastAsia="zh-CN" w:bidi="ar-SA"/>
                    </w:rPr>
                    <w:t>T</w:t>
                  </w:r>
                  <w:r>
                    <w:rPr>
                      <w:rFonts w:hint="eastAsia" w:cs="Calibri"/>
                      <w:color w:val="auto"/>
                      <w:kern w:val="2"/>
                      <w:sz w:val="21"/>
                      <w:szCs w:val="21"/>
                      <w:highlight w:val="none"/>
                      <w:shd w:val="clear" w:color="auto" w:fill="auto"/>
                      <w:lang w:val="en-US" w:eastAsia="zh-CN" w:bidi="ar-SA"/>
                    </w:rPr>
                    <w:t>/</w:t>
                  </w:r>
                  <w:r>
                    <w:rPr>
                      <w:rFonts w:cs="宋体" w:asciiTheme="minorEastAsia" w:hAnsiTheme="minorEastAsia"/>
                      <w:color w:val="auto"/>
                      <w:kern w:val="0"/>
                      <w:sz w:val="21"/>
                      <w:szCs w:val="21"/>
                      <w:highlight w:val="none"/>
                    </w:rPr>
                    <w:t>In</w:t>
                  </w:r>
                </w:p>
              </w:tc>
              <w:tc>
                <w:tcPr>
                  <w:tcW w:w="1042" w:type="dxa"/>
                  <w:vMerge w:val="continue"/>
                  <w:noWrap w:val="0"/>
                  <w:vAlign w:val="center"/>
                </w:tcPr>
                <w:p>
                  <w:pPr>
                    <w:autoSpaceDE w:val="0"/>
                    <w:autoSpaceDN w:val="0"/>
                    <w:adjustRightInd w:val="0"/>
                    <w:snapToGrid w:val="0"/>
                    <w:jc w:val="center"/>
                    <w:rPr>
                      <w:rFonts w:hint="default" w:ascii="Times New Roman" w:hAnsi="Times New Roman" w:eastAsia="宋体" w:cs="Calibri"/>
                      <w:color w:val="auto"/>
                      <w:kern w:val="2"/>
                      <w:sz w:val="21"/>
                      <w:szCs w:val="21"/>
                      <w:highlight w:val="none"/>
                      <w:shd w:val="clear" w:color="auto" w:fill="auto"/>
                      <w:lang w:val="en-US" w:eastAsia="zh-CN" w:bidi="ar-SA"/>
                    </w:rPr>
                  </w:pPr>
                </w:p>
              </w:tc>
              <w:tc>
                <w:tcPr>
                  <w:tcW w:w="899" w:type="dxa"/>
                  <w:noWrap w:val="0"/>
                  <w:vAlign w:val="center"/>
                </w:tcPr>
                <w:p>
                  <w:pPr>
                    <w:tabs>
                      <w:tab w:val="left" w:pos="195"/>
                    </w:tabs>
                    <w:jc w:val="center"/>
                    <w:rPr>
                      <w:rFonts w:hint="eastAsia" w:ascii="Times New Roman" w:hAnsi="Times New Roman"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rPr>
                    <w:t>t/a</w:t>
                  </w:r>
                </w:p>
              </w:tc>
              <w:tc>
                <w:tcPr>
                  <w:tcW w:w="834" w:type="dxa"/>
                  <w:vMerge w:val="continue"/>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bidi="ar-SA"/>
                    </w:rPr>
                  </w:pPr>
                </w:p>
              </w:tc>
              <w:tc>
                <w:tcPr>
                  <w:tcW w:w="899" w:type="dxa"/>
                  <w:noWrap w:val="0"/>
                  <w:vAlign w:val="center"/>
                </w:tcPr>
                <w:p>
                  <w:pPr>
                    <w:tabs>
                      <w:tab w:val="left" w:pos="195"/>
                    </w:tabs>
                    <w:jc w:val="center"/>
                    <w:rPr>
                      <w:rFonts w:hint="default" w:ascii="Times New Roman" w:hAnsi="Times New Roman"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1.2</w:t>
                  </w:r>
                  <w:r>
                    <w:rPr>
                      <w:rFonts w:hint="eastAsia" w:ascii="Times New Roman" w:hAnsi="Times New Roman" w:eastAsia="宋体" w:cs="Times New Roman"/>
                      <w:color w:val="auto"/>
                      <w:sz w:val="21"/>
                      <w:szCs w:val="21"/>
                      <w:highlight w:val="none"/>
                    </w:rPr>
                    <w:t>t/a</w:t>
                  </w:r>
                </w:p>
              </w:tc>
            </w:tr>
          </w:tbl>
          <w:p>
            <w:pPr>
              <w:spacing w:line="360" w:lineRule="auto"/>
              <w:ind w:firstLine="482" w:firstLineChars="200"/>
              <w:rPr>
                <w:b/>
                <w:bCs/>
                <w:color w:val="auto"/>
                <w:sz w:val="24"/>
                <w:highlight w:val="none"/>
              </w:rPr>
            </w:pPr>
            <w:r>
              <w:rPr>
                <w:b/>
                <w:bCs/>
                <w:color w:val="auto"/>
                <w:sz w:val="24"/>
                <w:highlight w:val="none"/>
              </w:rPr>
              <w:t>危废暂存间</w:t>
            </w:r>
            <w:r>
              <w:rPr>
                <w:rFonts w:hint="eastAsia"/>
                <w:b/>
                <w:bCs/>
                <w:color w:val="auto"/>
                <w:sz w:val="24"/>
                <w:highlight w:val="none"/>
              </w:rPr>
              <w:t>设置</w:t>
            </w:r>
            <w:r>
              <w:rPr>
                <w:b/>
                <w:bCs/>
                <w:color w:val="auto"/>
                <w:sz w:val="24"/>
                <w:highlight w:val="none"/>
              </w:rPr>
              <w:t>要求：</w:t>
            </w:r>
          </w:p>
          <w:p>
            <w:pPr>
              <w:spacing w:line="360" w:lineRule="auto"/>
              <w:ind w:firstLine="482"/>
              <w:jc w:val="left"/>
              <w:rPr>
                <w:rFonts w:ascii="宋体" w:hAnsi="宋体"/>
                <w:color w:val="auto"/>
                <w:sz w:val="24"/>
                <w:highlight w:val="none"/>
              </w:rPr>
            </w:pPr>
            <w:r>
              <w:rPr>
                <w:rFonts w:ascii="宋体" w:hAnsi="宋体"/>
                <w:color w:val="auto"/>
                <w:sz w:val="24"/>
                <w:highlight w:val="none"/>
              </w:rPr>
              <w:fldChar w:fldCharType="begin"/>
            </w:r>
            <w:r>
              <w:rPr>
                <w:rFonts w:ascii="宋体" w:hAnsi="宋体"/>
                <w:color w:val="auto"/>
                <w:sz w:val="24"/>
                <w:highlight w:val="none"/>
              </w:rPr>
              <w:instrText xml:space="preserve"> = 1 \* GB3 \* MERGEFORMAT </w:instrText>
            </w:r>
            <w:r>
              <w:rPr>
                <w:rFonts w:ascii="宋体" w:hAnsi="宋体"/>
                <w:color w:val="auto"/>
                <w:sz w:val="24"/>
                <w:highlight w:val="none"/>
              </w:rPr>
              <w:fldChar w:fldCharType="separate"/>
            </w:r>
            <w:r>
              <w:rPr>
                <w:rFonts w:ascii="宋体" w:hAnsi="宋体"/>
                <w:color w:val="auto"/>
                <w:sz w:val="24"/>
                <w:highlight w:val="none"/>
              </w:rPr>
              <w:t>①</w:t>
            </w:r>
            <w:r>
              <w:rPr>
                <w:rFonts w:ascii="宋体" w:hAnsi="宋体"/>
                <w:color w:val="auto"/>
                <w:sz w:val="24"/>
                <w:highlight w:val="none"/>
              </w:rPr>
              <w:fldChar w:fldCharType="end"/>
            </w:r>
            <w:r>
              <w:rPr>
                <w:rFonts w:hint="eastAsia" w:ascii="宋体" w:hAnsi="宋体"/>
                <w:color w:val="auto"/>
                <w:sz w:val="24"/>
                <w:highlight w:val="none"/>
              </w:rPr>
              <w:t>根据危险废物的形态、物理化学性质、包装形式和污染物迁移途径，采取必要的防风、防晒、防雨、防漏、防渗、防腐以及其他环境污染防治措施，不应露天堆放危险废物。</w:t>
            </w:r>
          </w:p>
          <w:p>
            <w:pPr>
              <w:spacing w:line="360" w:lineRule="auto"/>
              <w:ind w:firstLine="482"/>
              <w:jc w:val="left"/>
              <w:rPr>
                <w:rFonts w:ascii="宋体" w:hAnsi="宋体"/>
                <w:color w:val="auto"/>
                <w:sz w:val="24"/>
                <w:highlight w:val="none"/>
              </w:rPr>
            </w:pPr>
            <w:r>
              <w:rPr>
                <w:rFonts w:ascii="宋体" w:hAnsi="宋体"/>
                <w:color w:val="auto"/>
                <w:sz w:val="24"/>
                <w:highlight w:val="none"/>
              </w:rPr>
              <w:fldChar w:fldCharType="begin"/>
            </w:r>
            <w:r>
              <w:rPr>
                <w:rFonts w:ascii="宋体" w:hAnsi="宋体"/>
                <w:color w:val="auto"/>
                <w:sz w:val="24"/>
                <w:highlight w:val="none"/>
              </w:rPr>
              <w:instrText xml:space="preserve"> = 2 \* GB3 \* MERGEFORMAT </w:instrText>
            </w:r>
            <w:r>
              <w:rPr>
                <w:rFonts w:ascii="宋体" w:hAnsi="宋体"/>
                <w:color w:val="auto"/>
                <w:sz w:val="24"/>
                <w:highlight w:val="none"/>
              </w:rPr>
              <w:fldChar w:fldCharType="separate"/>
            </w:r>
            <w:r>
              <w:rPr>
                <w:rFonts w:ascii="宋体" w:hAnsi="宋体"/>
                <w:color w:val="auto"/>
                <w:sz w:val="24"/>
                <w:highlight w:val="none"/>
              </w:rPr>
              <w:t>②</w:t>
            </w:r>
            <w:r>
              <w:rPr>
                <w:rFonts w:ascii="宋体" w:hAnsi="宋体"/>
                <w:color w:val="auto"/>
                <w:sz w:val="24"/>
                <w:highlight w:val="none"/>
              </w:rPr>
              <w:fldChar w:fldCharType="end"/>
            </w:r>
            <w:r>
              <w:rPr>
                <w:rFonts w:hint="eastAsia" w:ascii="宋体" w:hAnsi="宋体"/>
                <w:color w:val="auto"/>
                <w:sz w:val="24"/>
                <w:highlight w:val="none"/>
              </w:rPr>
              <w:t>根据危险废物的类别、数量、形态、物理化学性质和污染防治等要求设置必要的购存分区，避免不相容的危险废物接触、混合。</w:t>
            </w:r>
          </w:p>
          <w:p>
            <w:pPr>
              <w:spacing w:line="360" w:lineRule="auto"/>
              <w:ind w:firstLine="482"/>
              <w:jc w:val="left"/>
              <w:rPr>
                <w:rFonts w:hint="eastAsia" w:ascii="宋体" w:hAnsi="宋体"/>
                <w:color w:val="auto"/>
                <w:sz w:val="24"/>
                <w:highlight w:val="none"/>
              </w:rPr>
            </w:pPr>
            <w:r>
              <w:rPr>
                <w:rFonts w:ascii="宋体" w:hAnsi="宋体"/>
                <w:color w:val="auto"/>
                <w:sz w:val="24"/>
                <w:highlight w:val="none"/>
              </w:rPr>
              <w:fldChar w:fldCharType="begin"/>
            </w:r>
            <w:r>
              <w:rPr>
                <w:rFonts w:ascii="宋体" w:hAnsi="宋体"/>
                <w:color w:val="auto"/>
                <w:sz w:val="24"/>
                <w:highlight w:val="none"/>
              </w:rPr>
              <w:instrText xml:space="preserve"> = 3 \* GB3 \* MERGEFORMAT </w:instrText>
            </w:r>
            <w:r>
              <w:rPr>
                <w:rFonts w:ascii="宋体" w:hAnsi="宋体"/>
                <w:color w:val="auto"/>
                <w:sz w:val="24"/>
                <w:highlight w:val="none"/>
              </w:rPr>
              <w:fldChar w:fldCharType="separate"/>
            </w:r>
            <w:r>
              <w:rPr>
                <w:rFonts w:ascii="宋体" w:hAnsi="宋体"/>
                <w:color w:val="auto"/>
                <w:sz w:val="24"/>
                <w:highlight w:val="none"/>
              </w:rPr>
              <w:t>③</w:t>
            </w:r>
            <w:r>
              <w:rPr>
                <w:rFonts w:ascii="宋体" w:hAnsi="宋体"/>
                <w:color w:val="auto"/>
                <w:sz w:val="24"/>
                <w:highlight w:val="none"/>
              </w:rPr>
              <w:fldChar w:fldCharType="end"/>
            </w:r>
            <w:r>
              <w:rPr>
                <w:rFonts w:hint="eastAsia" w:ascii="宋体" w:hAnsi="宋体"/>
                <w:color w:val="auto"/>
                <w:sz w:val="24"/>
                <w:highlight w:val="none"/>
                <w:lang w:val="en-US" w:eastAsia="zh-CN"/>
              </w:rPr>
              <w:t>危废暂存间</w:t>
            </w:r>
            <w:r>
              <w:rPr>
                <w:rFonts w:hint="eastAsia" w:ascii="宋体" w:hAnsi="宋体"/>
                <w:color w:val="auto"/>
                <w:sz w:val="24"/>
                <w:highlight w:val="none"/>
              </w:rPr>
              <w:t>地面、墙面裙脚、堵截泄漏的围堰、接触危险废物的隔板和墙体等应采用坚固的材料建造，表面无裂缝。</w:t>
            </w:r>
          </w:p>
          <w:p>
            <w:pPr>
              <w:spacing w:line="360" w:lineRule="auto"/>
              <w:ind w:firstLine="482"/>
              <w:jc w:val="left"/>
              <w:rPr>
                <w:rFonts w:ascii="宋体" w:hAnsi="宋体"/>
                <w:color w:val="auto"/>
                <w:sz w:val="24"/>
                <w:highlight w:val="none"/>
              </w:rPr>
            </w:pPr>
            <w:r>
              <w:rPr>
                <w:rFonts w:ascii="宋体" w:hAnsi="宋体"/>
                <w:color w:val="auto"/>
                <w:sz w:val="24"/>
                <w:highlight w:val="none"/>
              </w:rPr>
              <w:fldChar w:fldCharType="begin"/>
            </w:r>
            <w:r>
              <w:rPr>
                <w:rFonts w:ascii="宋体" w:hAnsi="宋体"/>
                <w:color w:val="auto"/>
                <w:sz w:val="24"/>
                <w:highlight w:val="none"/>
              </w:rPr>
              <w:instrText xml:space="preserve"> = 4 \* GB3 \* MERGEFORMAT </w:instrText>
            </w:r>
            <w:r>
              <w:rPr>
                <w:rFonts w:ascii="宋体" w:hAnsi="宋体"/>
                <w:color w:val="auto"/>
                <w:sz w:val="24"/>
                <w:highlight w:val="none"/>
              </w:rPr>
              <w:fldChar w:fldCharType="separate"/>
            </w:r>
            <w:r>
              <w:rPr>
                <w:rFonts w:ascii="宋体" w:hAnsi="宋体"/>
                <w:color w:val="auto"/>
                <w:sz w:val="24"/>
                <w:highlight w:val="none"/>
              </w:rPr>
              <w:t>④</w:t>
            </w:r>
            <w:r>
              <w:rPr>
                <w:rFonts w:ascii="宋体" w:hAnsi="宋体"/>
                <w:color w:val="auto"/>
                <w:sz w:val="24"/>
                <w:highlight w:val="none"/>
              </w:rPr>
              <w:fldChar w:fldCharType="end"/>
            </w:r>
            <w:r>
              <w:rPr>
                <w:rFonts w:hint="eastAsia" w:ascii="宋体" w:hAnsi="宋体"/>
                <w:color w:val="auto"/>
                <w:sz w:val="24"/>
                <w:highlight w:val="none"/>
                <w:lang w:val="en-US" w:eastAsia="zh-CN"/>
              </w:rPr>
              <w:t>危废暂存间</w:t>
            </w:r>
            <w:r>
              <w:rPr>
                <w:rFonts w:hint="eastAsia" w:ascii="宋体" w:hAnsi="宋体"/>
                <w:color w:val="auto"/>
                <w:sz w:val="24"/>
                <w:highlight w:val="none"/>
              </w:rPr>
              <w:t>地面与裙脚应采取表面防渗措施，表面防渗材料应与所接触的物料或污染物相容，可采用抗渗混凝土、高密度聚乙烯膜、钠基膨润土防水毯或其他防渗性能等效的材料。</w:t>
            </w:r>
            <w:r>
              <w:rPr>
                <w:rFonts w:hint="eastAsia" w:ascii="Times New Roman" w:hAnsi="Times New Roman"/>
                <w:color w:val="auto"/>
                <w:sz w:val="24"/>
                <w:highlight w:val="none"/>
              </w:rPr>
              <w:t>贮存的危险废物直接接触地面的，还应进行基础防渗，防渗层为至少1m厚</w:t>
            </w:r>
            <w:r>
              <w:rPr>
                <w:rFonts w:hint="eastAsia" w:ascii="Times New Roman" w:hAnsi="Times New Roman"/>
                <w:color w:val="auto"/>
                <w:sz w:val="24"/>
                <w:highlight w:val="none"/>
                <w:lang w:val="en-US" w:eastAsia="zh-CN"/>
              </w:rPr>
              <w:t>黏土</w:t>
            </w:r>
            <w:r>
              <w:rPr>
                <w:rFonts w:hint="eastAsia" w:ascii="Times New Roman" w:hAnsi="Times New Roman"/>
                <w:color w:val="auto"/>
                <w:sz w:val="24"/>
                <w:highlight w:val="none"/>
              </w:rPr>
              <w:t>层(渗透系数不大于</w:t>
            </w:r>
            <w:r>
              <w:rPr>
                <w:rFonts w:hint="eastAsia" w:ascii="Times New Roman" w:hAnsi="Times New Roman"/>
                <w:color w:val="auto"/>
                <w:sz w:val="24"/>
                <w:highlight w:val="none"/>
                <w:lang w:val="en-US" w:eastAsia="zh-CN"/>
              </w:rPr>
              <w:t>10</w:t>
            </w:r>
            <w:r>
              <w:rPr>
                <w:rFonts w:hint="eastAsia" w:ascii="Times New Roman" w:hAnsi="Times New Roman"/>
                <w:color w:val="auto"/>
                <w:sz w:val="24"/>
                <w:highlight w:val="none"/>
                <w:vertAlign w:val="superscript"/>
                <w:lang w:val="en-US" w:eastAsia="zh-CN"/>
              </w:rPr>
              <w:t>-7</w:t>
            </w:r>
            <w:r>
              <w:rPr>
                <w:rFonts w:hint="eastAsia" w:ascii="Times New Roman" w:hAnsi="Times New Roman"/>
                <w:color w:val="auto"/>
                <w:sz w:val="24"/>
                <w:highlight w:val="none"/>
                <w:lang w:val="en-US" w:eastAsia="zh-CN"/>
              </w:rPr>
              <w:t>cm/s</w:t>
            </w:r>
            <w:r>
              <w:rPr>
                <w:rFonts w:hint="eastAsia" w:ascii="Times New Roman" w:hAnsi="Times New Roman"/>
                <w:color w:val="auto"/>
                <w:sz w:val="24"/>
                <w:highlight w:val="none"/>
              </w:rPr>
              <w:t>)，或至少2mm厚高密度聚乙烯膜等人工防渗材料(渗透系数不大于10</w:t>
            </w:r>
            <w:r>
              <w:rPr>
                <w:rFonts w:hint="eastAsia" w:ascii="Times New Roman" w:hAnsi="Times New Roman"/>
                <w:color w:val="auto"/>
                <w:sz w:val="24"/>
                <w:highlight w:val="none"/>
                <w:vertAlign w:val="superscript"/>
              </w:rPr>
              <w:t>-1</w:t>
            </w:r>
            <w:r>
              <w:rPr>
                <w:rFonts w:hint="eastAsia" w:ascii="Times New Roman" w:hAnsi="Times New Roman"/>
                <w:color w:val="auto"/>
                <w:sz w:val="24"/>
                <w:highlight w:val="none"/>
                <w:vertAlign w:val="superscript"/>
                <w:lang w:val="en-US" w:eastAsia="zh-CN"/>
              </w:rPr>
              <w:t>0</w:t>
            </w:r>
            <w:r>
              <w:rPr>
                <w:rFonts w:hint="eastAsia" w:ascii="Times New Roman" w:hAnsi="Times New Roman"/>
                <w:color w:val="auto"/>
                <w:sz w:val="24"/>
                <w:highlight w:val="none"/>
              </w:rPr>
              <w:t xml:space="preserve"> cm/s)，或其他防渗性能等效的材料</w:t>
            </w:r>
            <w:r>
              <w:rPr>
                <w:rFonts w:ascii="宋体" w:hAnsi="宋体"/>
                <w:color w:val="auto"/>
                <w:sz w:val="24"/>
                <w:highlight w:val="none"/>
              </w:rPr>
              <w:t>。</w:t>
            </w:r>
          </w:p>
          <w:p>
            <w:pPr>
              <w:spacing w:line="360" w:lineRule="auto"/>
              <w:ind w:firstLine="482"/>
              <w:rPr>
                <w:rFonts w:hint="default" w:eastAsia="宋体"/>
                <w:b/>
                <w:bCs/>
                <w:color w:val="auto"/>
                <w:sz w:val="24"/>
                <w:highlight w:val="none"/>
                <w:lang w:val="en-US" w:eastAsia="zh-CN"/>
              </w:rPr>
            </w:pPr>
            <w:r>
              <w:rPr>
                <w:rFonts w:hint="eastAsia"/>
                <w:b/>
                <w:bCs/>
                <w:color w:val="auto"/>
                <w:sz w:val="24"/>
                <w:highlight w:val="none"/>
                <w:lang w:val="en-US" w:eastAsia="zh-CN"/>
              </w:rPr>
              <w:t>容器和包装物污染控制要求：</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①</w:t>
            </w:r>
            <w:r>
              <w:rPr>
                <w:rFonts w:hint="eastAsia"/>
                <w:b w:val="0"/>
                <w:bCs w:val="0"/>
                <w:color w:val="auto"/>
                <w:sz w:val="24"/>
                <w:highlight w:val="none"/>
              </w:rPr>
              <w:t>容器和包装物材质、内衬应与盛装的危险废物相容。</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②</w:t>
            </w:r>
            <w:r>
              <w:rPr>
                <w:rFonts w:hint="eastAsia"/>
                <w:b w:val="0"/>
                <w:bCs w:val="0"/>
                <w:color w:val="auto"/>
                <w:sz w:val="24"/>
                <w:highlight w:val="none"/>
              </w:rPr>
              <w:t>针对不同类别、形杰、物理化学性质的危险废物，其容器和包装物应满足相应的防渗、防漏、防腐和强度等要求。</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③</w:t>
            </w:r>
            <w:r>
              <w:rPr>
                <w:rFonts w:hint="eastAsia"/>
                <w:b w:val="0"/>
                <w:bCs w:val="0"/>
                <w:color w:val="auto"/>
                <w:sz w:val="24"/>
                <w:highlight w:val="none"/>
              </w:rPr>
              <w:t>硬质容器和包装物及其支护结构堆叠码放时不应有明显变形，无破损泄漏</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④</w:t>
            </w:r>
            <w:r>
              <w:rPr>
                <w:rFonts w:hint="eastAsia"/>
                <w:b w:val="0"/>
                <w:bCs w:val="0"/>
                <w:color w:val="auto"/>
                <w:sz w:val="24"/>
                <w:highlight w:val="none"/>
              </w:rPr>
              <w:t>柔性容器和包装物堆叠码放时应封口严密，无破损泄漏。</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⑤</w:t>
            </w:r>
            <w:r>
              <w:rPr>
                <w:rFonts w:hint="eastAsia"/>
                <w:b w:val="0"/>
                <w:bCs w:val="0"/>
                <w:color w:val="auto"/>
                <w:sz w:val="24"/>
                <w:highlight w:val="none"/>
              </w:rPr>
              <w:t>使用容器盛装液态、半固态危险废物时，容器内部应留有适当的空间，以适应因温度变化等可能引发的收缩和膨胀，防止其导致容器渗漏或永久变形。</w:t>
            </w:r>
          </w:p>
          <w:p>
            <w:pPr>
              <w:spacing w:line="360" w:lineRule="auto"/>
              <w:ind w:firstLine="482"/>
              <w:rPr>
                <w:b w:val="0"/>
                <w:bCs w:val="0"/>
                <w:color w:val="auto"/>
                <w:sz w:val="24"/>
                <w:highlight w:val="none"/>
              </w:rPr>
            </w:pPr>
            <w:r>
              <w:rPr>
                <w:rFonts w:hint="eastAsia" w:ascii="宋体" w:hAnsi="宋体" w:eastAsia="宋体" w:cs="宋体"/>
                <w:b w:val="0"/>
                <w:bCs w:val="0"/>
                <w:color w:val="auto"/>
                <w:sz w:val="24"/>
                <w:highlight w:val="none"/>
              </w:rPr>
              <w:t>⑥</w:t>
            </w:r>
            <w:r>
              <w:rPr>
                <w:rFonts w:hint="eastAsia"/>
                <w:b w:val="0"/>
                <w:bCs w:val="0"/>
                <w:color w:val="auto"/>
                <w:sz w:val="24"/>
                <w:highlight w:val="none"/>
              </w:rPr>
              <w:t>容器和包装物外表面应保持清洁。</w:t>
            </w:r>
          </w:p>
          <w:p>
            <w:pPr>
              <w:spacing w:line="360" w:lineRule="auto"/>
              <w:ind w:firstLine="482"/>
              <w:rPr>
                <w:rFonts w:hint="default" w:eastAsia="宋体"/>
                <w:b/>
                <w:bCs/>
                <w:color w:val="auto"/>
                <w:sz w:val="24"/>
                <w:highlight w:val="none"/>
                <w:lang w:val="en-US" w:eastAsia="zh-CN"/>
              </w:rPr>
            </w:pPr>
            <w:r>
              <w:rPr>
                <w:rFonts w:hint="eastAsia"/>
                <w:b/>
                <w:bCs/>
                <w:color w:val="auto"/>
                <w:sz w:val="24"/>
                <w:highlight w:val="none"/>
                <w:lang w:val="en-US" w:eastAsia="zh-CN"/>
              </w:rPr>
              <w:t>危废暂存间运行环境管理要求：</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①</w:t>
            </w:r>
            <w:r>
              <w:rPr>
                <w:rFonts w:hint="eastAsia"/>
                <w:b w:val="0"/>
                <w:bCs w:val="0"/>
                <w:color w:val="auto"/>
                <w:sz w:val="24"/>
                <w:highlight w:val="none"/>
              </w:rPr>
              <w:t>危险废物存入贮存设施前应对危险废物类别和特性与危险废物标签等危险废物识别标志的一致性进行核验，不一致的或类别、特性不明的不应存入。</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②</w:t>
            </w:r>
            <w:r>
              <w:rPr>
                <w:rFonts w:hint="eastAsia"/>
                <w:b w:val="0"/>
                <w:bCs w:val="0"/>
                <w:color w:val="auto"/>
                <w:sz w:val="24"/>
                <w:highlight w:val="none"/>
              </w:rPr>
              <w:t>应定期检查危险废物的贮存状况，及时清理贮存设施地面，更换破损泄漏的危险废物贮存容器和包装物，保证堆存危险废物的防雨、防风、防扬尘等设施功能完好。</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③</w:t>
            </w:r>
            <w:r>
              <w:rPr>
                <w:rFonts w:hint="eastAsia"/>
                <w:b w:val="0"/>
                <w:bCs w:val="0"/>
                <w:color w:val="auto"/>
                <w:sz w:val="24"/>
                <w:highlight w:val="none"/>
              </w:rPr>
              <w:t>作业设备及车辆等结束作业离开贮存设施时，应对其残留的危险废物进行清理，清理的废物或清洗废水应收集处理。</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④</w:t>
            </w:r>
            <w:r>
              <w:rPr>
                <w:rFonts w:hint="eastAsia"/>
                <w:b w:val="0"/>
                <w:bCs w:val="0"/>
                <w:color w:val="auto"/>
                <w:sz w:val="24"/>
                <w:highlight w:val="none"/>
              </w:rPr>
              <w:t>贮存设施运行期间，应按国家有关标准和规定建立危险废物管理台账并保存。</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⑤</w:t>
            </w:r>
            <w:r>
              <w:rPr>
                <w:rFonts w:hint="eastAsia"/>
                <w:b w:val="0"/>
                <w:bCs w:val="0"/>
                <w:color w:val="auto"/>
                <w:sz w:val="24"/>
                <w:highlight w:val="none"/>
              </w:rPr>
              <w:t>贮存设施所有者或运营者应建立贮存设施环境管理制度、管理人员岗位职责制度、设施运行操作制度、人员岗位培训制度等。</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⑥</w:t>
            </w:r>
            <w:r>
              <w:rPr>
                <w:rFonts w:hint="eastAsia"/>
                <w:b w:val="0"/>
                <w:bCs w:val="0"/>
                <w:color w:val="auto"/>
                <w:sz w:val="24"/>
                <w:highlight w:val="none"/>
              </w:rPr>
              <w:t>贮存设施所有者或运营者应依据国家土壤和地下水污染防治的有关规定，结合贮存设施特点建立土壤和地下水污染隐患排查制度，并定期开展隐患排查</w:t>
            </w:r>
            <w:r>
              <w:rPr>
                <w:rFonts w:hint="eastAsia"/>
                <w:b w:val="0"/>
                <w:bCs w:val="0"/>
                <w:color w:val="auto"/>
                <w:sz w:val="24"/>
                <w:highlight w:val="none"/>
                <w:lang w:eastAsia="zh-CN"/>
              </w:rPr>
              <w:t>；</w:t>
            </w:r>
            <w:r>
              <w:rPr>
                <w:rFonts w:hint="eastAsia"/>
                <w:b w:val="0"/>
                <w:bCs w:val="0"/>
                <w:color w:val="auto"/>
                <w:sz w:val="24"/>
                <w:highlight w:val="none"/>
              </w:rPr>
              <w:t>发现隐患应及时采取措施消除隐患，并建立档案。</w:t>
            </w:r>
          </w:p>
          <w:p>
            <w:pPr>
              <w:spacing w:line="360" w:lineRule="auto"/>
              <w:ind w:firstLine="482"/>
              <w:rPr>
                <w:rFonts w:hint="eastAsia"/>
                <w:b w:val="0"/>
                <w:bCs w:val="0"/>
                <w:color w:val="auto"/>
                <w:sz w:val="24"/>
                <w:highlight w:val="none"/>
              </w:rPr>
            </w:pPr>
            <w:r>
              <w:rPr>
                <w:rFonts w:hint="eastAsia" w:ascii="宋体" w:hAnsi="宋体" w:eastAsia="宋体" w:cs="宋体"/>
                <w:b w:val="0"/>
                <w:bCs w:val="0"/>
                <w:color w:val="auto"/>
                <w:sz w:val="24"/>
                <w:highlight w:val="none"/>
              </w:rPr>
              <w:t>⑦</w:t>
            </w:r>
            <w:r>
              <w:rPr>
                <w:rFonts w:hint="eastAsia"/>
                <w:b w:val="0"/>
                <w:bCs w:val="0"/>
                <w:color w:val="auto"/>
                <w:sz w:val="24"/>
                <w:highlight w:val="none"/>
              </w:rPr>
              <w:t>贮存设施所有者或运营者应建立贮存设施全部档案，包括设计、施工、验收、运行、监测和环境应急等，应按国家有关档案管理的法律法规进行整理和归档。</w:t>
            </w:r>
          </w:p>
          <w:p>
            <w:pPr>
              <w:spacing w:line="360" w:lineRule="auto"/>
              <w:ind w:firstLine="482"/>
              <w:rPr>
                <w:b/>
                <w:bCs/>
                <w:color w:val="auto"/>
                <w:sz w:val="24"/>
                <w:highlight w:val="none"/>
              </w:rPr>
            </w:pPr>
            <w:r>
              <w:rPr>
                <w:b/>
                <w:bCs/>
                <w:color w:val="auto"/>
                <w:sz w:val="24"/>
                <w:highlight w:val="none"/>
              </w:rPr>
              <w:t>危险废物收集和暂存：</w:t>
            </w:r>
          </w:p>
          <w:p>
            <w:pPr>
              <w:spacing w:line="360" w:lineRule="auto"/>
              <w:ind w:firstLine="480"/>
              <w:rPr>
                <w:color w:val="auto"/>
                <w:sz w:val="24"/>
                <w:highlight w:val="none"/>
              </w:rPr>
            </w:pPr>
            <w:r>
              <w:rPr>
                <w:rFonts w:hint="eastAsia" w:ascii="宋体" w:hAnsi="宋体" w:cs="宋体"/>
                <w:color w:val="auto"/>
                <w:sz w:val="24"/>
                <w:highlight w:val="none"/>
              </w:rPr>
              <w:t>①</w:t>
            </w:r>
            <w:r>
              <w:rPr>
                <w:color w:val="auto"/>
                <w:sz w:val="24"/>
                <w:highlight w:val="none"/>
              </w:rPr>
              <w:t>按废弃物类别配备相应的收集容器，容器不能有破损、盖子损坏或其它可能导致废弃物泄漏的隐患。废弃物收集容器应粘贴危险废弃物标签，明显标示其中的废弃物名称、主要成分与性质，并保持清晰可见。</w:t>
            </w:r>
          </w:p>
          <w:p>
            <w:pPr>
              <w:spacing w:line="360" w:lineRule="auto"/>
              <w:ind w:firstLine="480"/>
              <w:rPr>
                <w:color w:val="auto"/>
                <w:sz w:val="24"/>
                <w:highlight w:val="none"/>
              </w:rPr>
            </w:pPr>
            <w:r>
              <w:rPr>
                <w:rFonts w:hint="eastAsia" w:ascii="宋体" w:hAnsi="宋体" w:cs="宋体"/>
                <w:color w:val="auto"/>
                <w:sz w:val="24"/>
                <w:highlight w:val="none"/>
              </w:rPr>
              <w:t>②</w:t>
            </w:r>
            <w:r>
              <w:rPr>
                <w:color w:val="auto"/>
                <w:sz w:val="24"/>
                <w:highlight w:val="none"/>
              </w:rPr>
              <w:t>危险废弃物严格投放在相应的收集容器中，严禁将危险废弃物与生活垃圾混装。</w:t>
            </w:r>
          </w:p>
          <w:p>
            <w:pPr>
              <w:spacing w:line="360" w:lineRule="auto"/>
              <w:ind w:firstLine="480"/>
              <w:rPr>
                <w:color w:val="auto"/>
                <w:sz w:val="24"/>
                <w:highlight w:val="none"/>
              </w:rPr>
            </w:pPr>
            <w:r>
              <w:rPr>
                <w:rFonts w:hint="eastAsia" w:ascii="宋体" w:hAnsi="宋体" w:cs="宋体"/>
                <w:color w:val="auto"/>
                <w:sz w:val="24"/>
                <w:highlight w:val="none"/>
              </w:rPr>
              <w:t>③</w:t>
            </w:r>
            <w:r>
              <w:rPr>
                <w:color w:val="auto"/>
                <w:sz w:val="24"/>
                <w:highlight w:val="none"/>
              </w:rPr>
              <w:t>危险废弃物收集容器应存放在符合安全与环保要求的专门场所及室内特定区域，要避免高温、日晒、雨淋，远离火源。存放危险废弃物的场所应张贴危险废弃物标志、危险废物管理制度、危险化学品及危险废物意外事故防范措施和应急预案、危险废物储存库房管理规定等。</w:t>
            </w:r>
          </w:p>
          <w:p>
            <w:pPr>
              <w:spacing w:line="360" w:lineRule="auto"/>
              <w:ind w:firstLine="482"/>
              <w:rPr>
                <w:b/>
                <w:bCs/>
                <w:color w:val="auto"/>
                <w:sz w:val="24"/>
                <w:highlight w:val="none"/>
              </w:rPr>
            </w:pPr>
            <w:r>
              <w:rPr>
                <w:b/>
                <w:bCs/>
                <w:color w:val="auto"/>
                <w:sz w:val="24"/>
                <w:highlight w:val="none"/>
              </w:rPr>
              <w:t>危险废物转运和处理：</w:t>
            </w:r>
          </w:p>
          <w:p>
            <w:pPr>
              <w:spacing w:line="360" w:lineRule="auto"/>
              <w:ind w:firstLine="559" w:firstLineChars="233"/>
              <w:rPr>
                <w:rFonts w:ascii="宋体" w:hAnsi="宋体"/>
                <w:color w:val="auto"/>
                <w:sz w:val="24"/>
                <w:highlight w:val="none"/>
              </w:rPr>
            </w:pPr>
            <w:r>
              <w:rPr>
                <w:rFonts w:ascii="宋体" w:hAnsi="宋体"/>
                <w:color w:val="auto"/>
                <w:sz w:val="24"/>
                <w:highlight w:val="none"/>
              </w:rPr>
              <w:t>根据</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危险废物转移管理办法</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部令第</w:t>
            </w:r>
            <w:r>
              <w:rPr>
                <w:rFonts w:hint="default" w:ascii="Times New Roman" w:hAnsi="Times New Roman" w:cs="Times New Roman"/>
                <w:color w:val="auto"/>
                <w:sz w:val="24"/>
                <w:highlight w:val="none"/>
                <w:lang w:val="en-US" w:eastAsia="zh-CN"/>
              </w:rPr>
              <w:t>23</w:t>
            </w:r>
            <w:r>
              <w:rPr>
                <w:rFonts w:hint="eastAsia" w:ascii="宋体" w:hAnsi="宋体"/>
                <w:color w:val="auto"/>
                <w:sz w:val="24"/>
                <w:highlight w:val="none"/>
                <w:lang w:val="en-US" w:eastAsia="zh-CN"/>
              </w:rPr>
              <w:t>号</w:t>
            </w:r>
            <w:r>
              <w:rPr>
                <w:rFonts w:hint="eastAsia" w:ascii="宋体" w:hAnsi="宋体"/>
                <w:color w:val="auto"/>
                <w:sz w:val="24"/>
                <w:highlight w:val="none"/>
                <w:lang w:eastAsia="zh-CN"/>
              </w:rPr>
              <w:t>）</w:t>
            </w:r>
            <w:r>
              <w:rPr>
                <w:rFonts w:hint="eastAsia" w:ascii="宋体" w:hAnsi="宋体"/>
                <w:color w:val="auto"/>
                <w:sz w:val="24"/>
                <w:highlight w:val="none"/>
              </w:rPr>
              <w:t>的有关规定，</w:t>
            </w:r>
            <w:r>
              <w:rPr>
                <w:rFonts w:hint="eastAsia" w:ascii="宋体" w:hAnsi="宋体"/>
                <w:color w:val="auto"/>
                <w:sz w:val="24"/>
                <w:highlight w:val="none"/>
                <w:lang w:val="en-US" w:eastAsia="zh-CN"/>
              </w:rPr>
              <w:t>在危险废物运输时</w:t>
            </w:r>
            <w:r>
              <w:rPr>
                <w:rFonts w:hint="eastAsia" w:ascii="宋体" w:hAnsi="宋体"/>
                <w:color w:val="auto"/>
                <w:sz w:val="24"/>
                <w:highlight w:val="none"/>
              </w:rPr>
              <w:t>必须严格遵守以下要求：</w:t>
            </w:r>
          </w:p>
          <w:p>
            <w:pPr>
              <w:spacing w:line="360" w:lineRule="auto"/>
              <w:ind w:firstLine="559" w:firstLineChars="233"/>
              <w:rPr>
                <w:rFonts w:hint="eastAsia" w:ascii="宋体" w:hAnsi="宋体"/>
                <w:color w:val="auto"/>
                <w:sz w:val="24"/>
                <w:highlight w:val="none"/>
              </w:rPr>
            </w:pPr>
            <w:r>
              <w:rPr>
                <w:rFonts w:ascii="宋体" w:hAnsi="宋体"/>
                <w:color w:val="auto"/>
                <w:sz w:val="24"/>
                <w:highlight w:val="none"/>
              </w:rPr>
              <w:t>①</w:t>
            </w:r>
            <w:r>
              <w:rPr>
                <w:rFonts w:hint="eastAsia" w:ascii="宋体" w:hAnsi="宋体"/>
                <w:color w:val="auto"/>
                <w:sz w:val="24"/>
                <w:highlight w:val="none"/>
              </w:rPr>
              <w:t>转移危险废物的，应当通过国家危险废物信息管理系统填写、运行危险废物电子转移联单，并依照国家有关规定公开危险废物转移相关污染环境防治信息。</w:t>
            </w:r>
          </w:p>
          <w:p>
            <w:pPr>
              <w:spacing w:line="360" w:lineRule="auto"/>
              <w:ind w:firstLine="559" w:firstLineChars="233"/>
              <w:rPr>
                <w:rFonts w:ascii="宋体" w:hAnsi="宋体"/>
                <w:color w:val="auto"/>
                <w:sz w:val="24"/>
                <w:highlight w:val="none"/>
              </w:rPr>
            </w:pPr>
            <w:r>
              <w:rPr>
                <w:rFonts w:ascii="宋体" w:hAnsi="宋体"/>
                <w:color w:val="auto"/>
                <w:sz w:val="24"/>
                <w:highlight w:val="none"/>
              </w:rPr>
              <w:t>②</w:t>
            </w:r>
            <w:r>
              <w:rPr>
                <w:rFonts w:hint="eastAsia" w:ascii="宋体" w:hAnsi="宋体"/>
                <w:color w:val="auto"/>
                <w:sz w:val="24"/>
                <w:highlight w:val="none"/>
              </w:rPr>
              <w:t>运输危险废物的，应当遵守国家有关危险货物运输管理的规定。未经公安机关批准，危险废物运输车辆不得进入危险货物运输车辆限制通行的区域。</w:t>
            </w:r>
          </w:p>
          <w:p>
            <w:pPr>
              <w:spacing w:line="360" w:lineRule="auto"/>
              <w:ind w:firstLine="559" w:firstLineChars="233"/>
              <w:rPr>
                <w:rFonts w:hint="eastAsia" w:ascii="宋体" w:hAnsi="宋体"/>
                <w:color w:val="auto"/>
                <w:sz w:val="24"/>
                <w:highlight w:val="none"/>
              </w:rPr>
            </w:pPr>
            <w:r>
              <w:rPr>
                <w:rFonts w:ascii="宋体" w:hAnsi="宋体"/>
                <w:color w:val="auto"/>
                <w:sz w:val="24"/>
                <w:highlight w:val="none"/>
              </w:rPr>
              <w:t>③</w:t>
            </w:r>
            <w:r>
              <w:rPr>
                <w:rFonts w:hint="eastAsia" w:ascii="宋体" w:hAnsi="宋体"/>
                <w:color w:val="auto"/>
                <w:sz w:val="24"/>
                <w:highlight w:val="none"/>
              </w:rPr>
              <w:t>第九条危险废物移出人、危险废物承运人、危险废物接受人(以下分别简称移出人、承运人和接受人) 在危险废物转移过程中应当采取防扬散、防流失、防渗漏或者其他防止污染环境的措施，不得擅自倾倒、堆放、丢弃、遗撒危险废物，并对所造成的环境污染及生态破坏依法承担责任。</w:t>
            </w:r>
          </w:p>
          <w:p>
            <w:pPr>
              <w:spacing w:line="360" w:lineRule="auto"/>
              <w:ind w:firstLine="559" w:firstLineChars="233"/>
              <w:rPr>
                <w:rFonts w:ascii="宋体" w:hAnsi="宋体"/>
                <w:color w:val="auto"/>
                <w:sz w:val="24"/>
                <w:highlight w:val="none"/>
              </w:rPr>
            </w:pPr>
            <w:r>
              <w:rPr>
                <w:rFonts w:hint="eastAsia" w:ascii="宋体" w:hAnsi="宋体"/>
                <w:color w:val="auto"/>
                <w:sz w:val="24"/>
                <w:highlight w:val="none"/>
              </w:rPr>
              <w:t>移出人、承运人、接受人应当依法制定突发环境事件的防范措施和应急预案，并报有关部门备案: 发生危险废物突发环境事件时，应当立即采取有效措施消除或者减轻对环境的污染危害，并按相关规定向事故发生地有关部门报告，接受调查处理</w:t>
            </w:r>
            <w:r>
              <w:rPr>
                <w:rFonts w:ascii="宋体" w:hAnsi="宋体"/>
                <w:color w:val="auto"/>
                <w:sz w:val="24"/>
                <w:highlight w:val="none"/>
              </w:rPr>
              <w:t>。</w:t>
            </w:r>
          </w:p>
          <w:p>
            <w:pPr>
              <w:spacing w:line="360" w:lineRule="auto"/>
              <w:ind w:firstLine="559" w:firstLineChars="233"/>
              <w:rPr>
                <w:rFonts w:hint="eastAsia" w:ascii="宋体" w:hAnsi="宋体"/>
                <w:color w:val="auto"/>
                <w:sz w:val="24"/>
                <w:highlight w:val="none"/>
                <w:lang w:val="en-US" w:eastAsia="zh-CN"/>
              </w:rPr>
            </w:pPr>
            <w:r>
              <w:rPr>
                <w:rFonts w:ascii="宋体" w:hAnsi="宋体"/>
                <w:color w:val="auto"/>
                <w:sz w:val="24"/>
                <w:highlight w:val="none"/>
              </w:rPr>
              <w:t>④</w:t>
            </w:r>
            <w:r>
              <w:rPr>
                <w:rFonts w:hint="eastAsia" w:ascii="宋体" w:hAnsi="宋体"/>
                <w:color w:val="auto"/>
                <w:sz w:val="24"/>
                <w:highlight w:val="none"/>
                <w:lang w:val="en-US" w:eastAsia="zh-CN"/>
              </w:rPr>
              <w:t>移出人应当履行以下义务：</w:t>
            </w:r>
          </w:p>
          <w:p>
            <w:pPr>
              <w:spacing w:line="360" w:lineRule="auto"/>
              <w:ind w:firstLine="559" w:firstLineChars="233"/>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(一) 对承运人或者接受人的主体资格和技术能力进行核实，依法签订书面合同，并在合同中约定运输、贮存、利用、处置危险废物的污染防治要求及相关责任；</w:t>
            </w:r>
          </w:p>
          <w:p>
            <w:pPr>
              <w:spacing w:line="360" w:lineRule="auto"/>
              <w:ind w:firstLine="559" w:firstLineChars="233"/>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(二)制定危险废物管理计划，明确拟转移危险废物的和类、重量(数量) 和流向等信息；</w:t>
            </w:r>
          </w:p>
          <w:p>
            <w:pPr>
              <w:spacing w:line="360" w:lineRule="auto"/>
              <w:ind w:firstLine="559" w:firstLineChars="233"/>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(三)建立危险废物管理台账，对转移的危险废物进行计量称重如实记录、妥善保管转移危险废物的种类、重量(数量) 和接受人等相关信息；</w:t>
            </w:r>
          </w:p>
          <w:p>
            <w:pPr>
              <w:spacing w:line="360" w:lineRule="auto"/>
              <w:ind w:firstLine="559" w:firstLineChars="233"/>
              <w:rPr>
                <w:rFonts w:hint="eastAsia" w:ascii="宋体" w:hAnsi="宋体"/>
                <w:color w:val="auto"/>
                <w:sz w:val="24"/>
                <w:highlight w:val="none"/>
                <w:lang w:val="en-US" w:eastAsia="zh-CN"/>
              </w:rPr>
            </w:pPr>
            <w:r>
              <w:rPr>
                <w:rFonts w:hint="eastAsia" w:ascii="宋体" w:hAnsi="宋体"/>
                <w:color w:val="auto"/>
                <w:sz w:val="24"/>
                <w:highlight w:val="none"/>
                <w:lang w:val="en-US" w:eastAsia="zh-CN"/>
              </w:rPr>
              <w:t>(四) 填写、运行危险废物转移联单，在危险废物转移联单中如实填写移出人、承运人、接受人信息，转移危险废物的种类、重量(数量)、危险特性等信息，以及突发环境事件的防范措施等；</w:t>
            </w:r>
          </w:p>
          <w:p>
            <w:pPr>
              <w:spacing w:line="360" w:lineRule="auto"/>
              <w:ind w:firstLine="559" w:firstLineChars="233"/>
              <w:rPr>
                <w:rFonts w:hint="eastAsia" w:ascii="宋体" w:hAnsi="宋体" w:eastAsia="宋体"/>
                <w:color w:val="auto"/>
                <w:sz w:val="24"/>
                <w:highlight w:val="none"/>
                <w:lang w:eastAsia="zh-CN"/>
              </w:rPr>
            </w:pPr>
            <w:r>
              <w:rPr>
                <w:rFonts w:hint="eastAsia" w:ascii="宋体" w:hAnsi="宋体"/>
                <w:color w:val="auto"/>
                <w:sz w:val="24"/>
                <w:highlight w:val="none"/>
              </w:rPr>
              <w:t>( 五) 及时核实接受人贮存、利用或者处置相关危险废物情况</w:t>
            </w:r>
            <w:r>
              <w:rPr>
                <w:rFonts w:hint="eastAsia" w:ascii="宋体" w:hAnsi="宋体"/>
                <w:color w:val="auto"/>
                <w:sz w:val="24"/>
                <w:highlight w:val="none"/>
                <w:lang w:eastAsia="zh-CN"/>
              </w:rPr>
              <w:t>；</w:t>
            </w:r>
          </w:p>
          <w:p>
            <w:pPr>
              <w:spacing w:line="360" w:lineRule="auto"/>
              <w:ind w:firstLine="559" w:firstLineChars="233"/>
              <w:rPr>
                <w:rFonts w:ascii="宋体" w:hAnsi="宋体"/>
                <w:color w:val="auto"/>
                <w:sz w:val="24"/>
                <w:highlight w:val="none"/>
              </w:rPr>
            </w:pPr>
            <w:r>
              <w:rPr>
                <w:rFonts w:hint="eastAsia" w:ascii="宋体" w:hAnsi="宋体"/>
                <w:color w:val="auto"/>
                <w:sz w:val="24"/>
                <w:highlight w:val="none"/>
              </w:rPr>
              <w:t>移出人应当按照国家有关要求开展危险废物鉴别。禁止将危险废物以副产品等名义提供或者委托给无危险废物经营许可证的单位或者其他生产经营者从事收集、贮存、利用、处置活动。</w:t>
            </w:r>
          </w:p>
          <w:p>
            <w:pPr>
              <w:spacing w:line="360" w:lineRule="auto"/>
              <w:ind w:firstLine="480"/>
              <w:rPr>
                <w:rFonts w:hint="eastAsia" w:ascii="宋体" w:hAnsi="宋体"/>
                <w:color w:val="auto"/>
                <w:sz w:val="24"/>
                <w:highlight w:val="none"/>
                <w:lang w:val="en-US" w:eastAsia="zh-CN"/>
              </w:rPr>
            </w:pPr>
            <w:r>
              <w:rPr>
                <w:rFonts w:ascii="宋体" w:hAnsi="宋体"/>
                <w:color w:val="auto"/>
                <w:sz w:val="24"/>
                <w:highlight w:val="none"/>
              </w:rPr>
              <w:t>⑤</w:t>
            </w:r>
            <w:r>
              <w:rPr>
                <w:rFonts w:hint="eastAsia" w:ascii="宋体" w:hAnsi="宋体"/>
                <w:color w:val="auto"/>
                <w:sz w:val="24"/>
                <w:highlight w:val="none"/>
                <w:lang w:val="en-US" w:eastAsia="zh-CN"/>
              </w:rPr>
              <w:t>承运人应当履行以下义务：</w:t>
            </w:r>
          </w:p>
          <w:p>
            <w:pPr>
              <w:numPr>
                <w:ilvl w:val="0"/>
                <w:numId w:val="1"/>
              </w:numPr>
              <w:spacing w:line="360" w:lineRule="auto"/>
              <w:ind w:firstLine="48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核实危险废物转移联单，没有转移联单的，应当拒绝运输；</w:t>
            </w:r>
          </w:p>
          <w:p>
            <w:pPr>
              <w:numPr>
                <w:ilvl w:val="0"/>
                <w:numId w:val="1"/>
              </w:numPr>
              <w:spacing w:line="360" w:lineRule="auto"/>
              <w:ind w:firstLine="48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填写、运行危险废物转移联单，在危险废物转移联单中如实填写承运人名称、运输工具及其营运证件号，以及运输起点和终点等运输相关信息，并与危险货物运单一并随运输工具携带；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(三) 按照危险废物污染环境防治和危险货物运输相关规定运输危险废物，记录运输轨迹，防范危险废物丢失、包装破损、泄漏或者发生突发环境事件；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bCs/>
                <w:color w:val="auto"/>
                <w:spacing w:val="0"/>
                <w:position w:val="0"/>
                <w:sz w:val="21"/>
                <w:szCs w:val="21"/>
                <w:highlight w:val="none"/>
              </w:rPr>
            </w:pPr>
            <w:r>
              <w:rPr>
                <w:rFonts w:hint="eastAsia" w:ascii="宋体" w:hAnsi="宋体"/>
                <w:color w:val="auto"/>
                <w:sz w:val="24"/>
                <w:highlight w:val="none"/>
                <w:lang w:val="en-US" w:eastAsia="zh-CN"/>
              </w:rPr>
              <w:t>(四) 将运输的危险废物运抵接受人地址，交付给危险废物转移联单上指定的接受人，并将运输情况及时告知移出人。</w:t>
            </w:r>
          </w:p>
          <w:p>
            <w:pPr>
              <w:spacing w:line="360" w:lineRule="auto"/>
              <w:ind w:firstLine="482"/>
              <w:rPr>
                <w:b/>
                <w:bCs/>
                <w:color w:val="auto"/>
                <w:sz w:val="24"/>
                <w:highlight w:val="none"/>
              </w:rPr>
            </w:pPr>
            <w:r>
              <w:rPr>
                <w:b/>
                <w:bCs/>
                <w:color w:val="auto"/>
                <w:sz w:val="24"/>
                <w:highlight w:val="none"/>
              </w:rPr>
              <w:t>危险废物管理制度：</w:t>
            </w:r>
          </w:p>
          <w:p>
            <w:pPr>
              <w:spacing w:line="360" w:lineRule="auto"/>
              <w:ind w:firstLine="480"/>
              <w:jc w:val="left"/>
              <w:rPr>
                <w:color w:val="auto"/>
                <w:sz w:val="24"/>
                <w:highlight w:val="none"/>
              </w:rPr>
            </w:pPr>
            <w:r>
              <w:rPr>
                <w:rFonts w:hint="eastAsia" w:ascii="宋体" w:hAnsi="宋体" w:cs="宋体"/>
                <w:color w:val="auto"/>
                <w:sz w:val="24"/>
                <w:highlight w:val="none"/>
              </w:rPr>
              <w:t>①</w:t>
            </w:r>
            <w:r>
              <w:rPr>
                <w:color w:val="auto"/>
                <w:sz w:val="24"/>
                <w:highlight w:val="none"/>
              </w:rPr>
              <w:t>危险废物的收集、暂存、转移、综合利用活动必须遵守国家和地方有关规定。</w:t>
            </w:r>
          </w:p>
          <w:p>
            <w:pPr>
              <w:spacing w:line="360" w:lineRule="auto"/>
              <w:ind w:firstLine="480"/>
              <w:jc w:val="left"/>
              <w:rPr>
                <w:color w:val="auto"/>
                <w:sz w:val="24"/>
                <w:highlight w:val="none"/>
              </w:rPr>
            </w:pPr>
            <w:r>
              <w:rPr>
                <w:rFonts w:hint="eastAsia" w:ascii="宋体" w:hAnsi="宋体" w:cs="宋体"/>
                <w:color w:val="auto"/>
                <w:sz w:val="24"/>
                <w:highlight w:val="none"/>
              </w:rPr>
              <w:t>②</w:t>
            </w:r>
            <w:r>
              <w:rPr>
                <w:color w:val="auto"/>
                <w:sz w:val="24"/>
                <w:highlight w:val="none"/>
              </w:rPr>
              <w:t>危险废物的容器和包装物以及收集、暂存、转移、处置危险废物的设施、场所，必须设置危险废物识别标志。</w:t>
            </w:r>
          </w:p>
          <w:p>
            <w:pPr>
              <w:spacing w:line="360" w:lineRule="auto"/>
              <w:ind w:firstLine="480"/>
              <w:jc w:val="left"/>
              <w:rPr>
                <w:color w:val="auto"/>
                <w:sz w:val="24"/>
                <w:highlight w:val="none"/>
              </w:rPr>
            </w:pPr>
            <w:r>
              <w:rPr>
                <w:rFonts w:hint="eastAsia" w:ascii="宋体" w:hAnsi="宋体" w:cs="宋体"/>
                <w:color w:val="auto"/>
                <w:sz w:val="24"/>
                <w:highlight w:val="none"/>
              </w:rPr>
              <w:t>③</w:t>
            </w:r>
            <w:r>
              <w:rPr>
                <w:color w:val="auto"/>
                <w:sz w:val="24"/>
                <w:highlight w:val="none"/>
              </w:rPr>
              <w:t>对危险废物暂时贮存场所要加强管理，定期巡检，确保危险废物不扩散、不渗漏、不丢失等。</w:t>
            </w:r>
          </w:p>
          <w:p>
            <w:pPr>
              <w:spacing w:line="360" w:lineRule="auto"/>
              <w:ind w:firstLine="480"/>
              <w:jc w:val="left"/>
              <w:rPr>
                <w:color w:val="auto"/>
                <w:sz w:val="24"/>
                <w:highlight w:val="none"/>
              </w:rPr>
            </w:pPr>
            <w:r>
              <w:rPr>
                <w:rFonts w:hint="eastAsia" w:ascii="宋体" w:hAnsi="宋体" w:cs="宋体"/>
                <w:color w:val="auto"/>
                <w:sz w:val="24"/>
                <w:highlight w:val="none"/>
              </w:rPr>
              <w:t>④</w:t>
            </w:r>
            <w:r>
              <w:rPr>
                <w:color w:val="auto"/>
                <w:sz w:val="24"/>
                <w:highlight w:val="none"/>
              </w:rPr>
              <w:t>制定危险废物管理计划，并向</w:t>
            </w:r>
            <w:r>
              <w:rPr>
                <w:rFonts w:hint="eastAsia"/>
                <w:color w:val="auto"/>
                <w:sz w:val="24"/>
                <w:highlight w:val="none"/>
              </w:rPr>
              <w:t>县</w:t>
            </w:r>
            <w:r>
              <w:rPr>
                <w:color w:val="auto"/>
                <w:sz w:val="24"/>
                <w:highlight w:val="none"/>
              </w:rPr>
              <w:t>环境保护部门申报危险废物的种类、产生量、流向、贮存、处置等有关资料。</w:t>
            </w:r>
          </w:p>
          <w:p>
            <w:pPr>
              <w:spacing w:line="360" w:lineRule="auto"/>
              <w:ind w:firstLine="480"/>
              <w:jc w:val="left"/>
              <w:rPr>
                <w:color w:val="auto"/>
                <w:sz w:val="24"/>
                <w:highlight w:val="none"/>
              </w:rPr>
            </w:pPr>
            <w:r>
              <w:rPr>
                <w:rFonts w:hint="eastAsia" w:ascii="宋体" w:hAnsi="宋体" w:cs="宋体"/>
                <w:color w:val="auto"/>
                <w:sz w:val="24"/>
                <w:highlight w:val="none"/>
              </w:rPr>
              <w:t>⑤</w:t>
            </w:r>
            <w:r>
              <w:rPr>
                <w:color w:val="auto"/>
                <w:sz w:val="24"/>
                <w:highlight w:val="none"/>
              </w:rPr>
              <w:t>禁止向环境倾倒、堆置危险废物。</w:t>
            </w:r>
          </w:p>
          <w:p>
            <w:pPr>
              <w:spacing w:line="360" w:lineRule="auto"/>
              <w:ind w:firstLine="480"/>
              <w:jc w:val="left"/>
              <w:rPr>
                <w:color w:val="auto"/>
                <w:sz w:val="24"/>
                <w:highlight w:val="none"/>
              </w:rPr>
            </w:pPr>
            <w:r>
              <w:rPr>
                <w:rFonts w:hint="eastAsia" w:ascii="宋体" w:hAnsi="宋体" w:cs="宋体"/>
                <w:color w:val="auto"/>
                <w:sz w:val="24"/>
                <w:highlight w:val="none"/>
              </w:rPr>
              <w:t>⑥</w:t>
            </w:r>
            <w:r>
              <w:rPr>
                <w:color w:val="auto"/>
                <w:sz w:val="24"/>
                <w:highlight w:val="none"/>
              </w:rPr>
              <w:t>禁止将危险废物混入非危险废物中收集、暂存、转移、处置。</w:t>
            </w:r>
          </w:p>
          <w:p>
            <w:pPr>
              <w:spacing w:line="360" w:lineRule="auto"/>
              <w:ind w:firstLine="480"/>
              <w:jc w:val="left"/>
              <w:rPr>
                <w:color w:val="auto"/>
                <w:sz w:val="24"/>
                <w:highlight w:val="none"/>
              </w:rPr>
            </w:pPr>
            <w:r>
              <w:rPr>
                <w:rFonts w:hint="eastAsia" w:ascii="宋体" w:hAnsi="宋体" w:cs="宋体"/>
                <w:color w:val="auto"/>
                <w:sz w:val="24"/>
                <w:highlight w:val="none"/>
              </w:rPr>
              <w:t>⑦</w:t>
            </w:r>
            <w:r>
              <w:rPr>
                <w:color w:val="auto"/>
                <w:sz w:val="24"/>
                <w:highlight w:val="none"/>
              </w:rPr>
              <w:t>需要转移危险废物时，严格按照《危险废物转移管理办法》对危险废物进行转移处置，必须按照相关规定办理危险废物转移联单，未经批准，不得进行转移。</w:t>
            </w:r>
          </w:p>
          <w:p>
            <w:pPr>
              <w:spacing w:line="360" w:lineRule="auto"/>
              <w:ind w:firstLine="480"/>
              <w:jc w:val="left"/>
              <w:rPr>
                <w:color w:val="auto"/>
                <w:sz w:val="24"/>
                <w:highlight w:val="none"/>
              </w:rPr>
            </w:pPr>
            <w:r>
              <w:rPr>
                <w:rFonts w:hint="eastAsia" w:ascii="宋体" w:hAnsi="宋体" w:cs="宋体"/>
                <w:color w:val="auto"/>
                <w:sz w:val="24"/>
                <w:highlight w:val="none"/>
              </w:rPr>
              <w:t>⑧</w:t>
            </w:r>
            <w:r>
              <w:rPr>
                <w:color w:val="auto"/>
                <w:sz w:val="24"/>
                <w:highlight w:val="none"/>
              </w:rPr>
              <w:t>禁止将危险废物转移至无危险废物经营资质的单位。</w:t>
            </w:r>
          </w:p>
          <w:p>
            <w:pPr>
              <w:spacing w:line="360" w:lineRule="auto"/>
              <w:ind w:firstLine="480"/>
              <w:jc w:val="left"/>
              <w:rPr>
                <w:color w:val="auto"/>
                <w:sz w:val="24"/>
                <w:highlight w:val="none"/>
              </w:rPr>
            </w:pPr>
            <w:r>
              <w:rPr>
                <w:rFonts w:hint="eastAsia" w:ascii="宋体" w:hAnsi="宋体" w:cs="宋体"/>
                <w:color w:val="auto"/>
                <w:sz w:val="24"/>
                <w:highlight w:val="none"/>
              </w:rPr>
              <w:t>⑨</w:t>
            </w:r>
            <w:r>
              <w:rPr>
                <w:color w:val="auto"/>
                <w:sz w:val="24"/>
                <w:highlight w:val="none"/>
              </w:rPr>
              <w:t>运输危险废物，必须采取防止污染环境的措施，并遵守国家有关危险货物运输管理的规定。禁止将危险废物与旅客在同一运输工具上载运。</w:t>
            </w:r>
          </w:p>
          <w:p>
            <w:pPr>
              <w:spacing w:line="360" w:lineRule="auto"/>
              <w:ind w:firstLine="480"/>
              <w:jc w:val="left"/>
              <w:rPr>
                <w:color w:val="auto"/>
                <w:sz w:val="24"/>
                <w:highlight w:val="none"/>
              </w:rPr>
            </w:pPr>
            <w:r>
              <w:rPr>
                <w:rFonts w:hint="eastAsia" w:ascii="宋体" w:hAnsi="宋体" w:cs="宋体"/>
                <w:color w:val="auto"/>
                <w:sz w:val="24"/>
                <w:highlight w:val="none"/>
              </w:rPr>
              <w:t>⑩</w:t>
            </w:r>
            <w:r>
              <w:rPr>
                <w:color w:val="auto"/>
                <w:sz w:val="24"/>
                <w:highlight w:val="none"/>
              </w:rPr>
              <w:t>制定危险废物污染事故防范措施和应急预案，并报</w:t>
            </w:r>
            <w:r>
              <w:rPr>
                <w:rFonts w:hint="eastAsia"/>
                <w:color w:val="auto"/>
                <w:sz w:val="24"/>
                <w:highlight w:val="none"/>
              </w:rPr>
              <w:t>县生态环境</w:t>
            </w:r>
            <w:r>
              <w:rPr>
                <w:color w:val="auto"/>
                <w:sz w:val="24"/>
                <w:highlight w:val="none"/>
              </w:rPr>
              <w:t>部门进行备案，建立健全危险废物管理台帐。</w:t>
            </w:r>
          </w:p>
          <w:p>
            <w:pPr>
              <w:spacing w:line="360" w:lineRule="auto"/>
              <w:ind w:firstLine="480"/>
              <w:jc w:val="left"/>
              <w:rPr>
                <w:color w:val="auto"/>
                <w:sz w:val="24"/>
                <w:highlight w:val="none"/>
              </w:rPr>
            </w:pPr>
            <w:r>
              <w:rPr>
                <w:rFonts w:hint="eastAsia" w:ascii="宋体" w:hAnsi="宋体" w:eastAsia="宋体" w:cs="宋体"/>
                <w:color w:val="auto"/>
                <w:sz w:val="24"/>
                <w:highlight w:val="none"/>
              </w:rPr>
              <w:t>⑪</w:t>
            </w:r>
            <w:r>
              <w:rPr>
                <w:color w:val="auto"/>
                <w:sz w:val="24"/>
                <w:highlight w:val="none"/>
              </w:rPr>
              <w:t>因发生事故或者其他突发性事件，造成危险废物严重污染环境时，必须立即采取措施消除或者减轻对环境的污染危害，及时通报可能受到污染危害的单位和居民，并向</w:t>
            </w:r>
            <w:r>
              <w:rPr>
                <w:rFonts w:hint="eastAsia"/>
                <w:color w:val="auto"/>
                <w:sz w:val="24"/>
                <w:highlight w:val="none"/>
              </w:rPr>
              <w:t>市生态环境</w:t>
            </w:r>
            <w:r>
              <w:rPr>
                <w:color w:val="auto"/>
                <w:sz w:val="24"/>
                <w:highlight w:val="none"/>
              </w:rPr>
              <w:t>部门和有关部门报告，接受调查处理。</w:t>
            </w:r>
          </w:p>
          <w:p>
            <w:pPr>
              <w:adjustRightInd w:val="0"/>
              <w:snapToGrid w:val="0"/>
              <w:spacing w:line="360" w:lineRule="auto"/>
              <w:ind w:firstLine="480" w:firstLineChars="200"/>
              <w:rPr>
                <w:rFonts w:ascii="Times New Roman" w:hAnsi="Times New Roman" w:eastAsia="宋体"/>
                <w:b/>
                <w:color w:val="auto"/>
                <w:spacing w:val="0"/>
                <w:position w:val="0"/>
                <w:sz w:val="24"/>
                <w:highlight w:val="none"/>
              </w:rPr>
            </w:pPr>
            <w:r>
              <w:rPr>
                <w:bCs/>
                <w:color w:val="auto"/>
                <w:sz w:val="24"/>
                <w:highlight w:val="none"/>
              </w:rPr>
              <w:t>综上所述，在采取以上措施后，项目运营期产生的固体废弃物去向明确，处置合理，不会造成二次污染。</w:t>
            </w:r>
          </w:p>
          <w:p>
            <w:pPr>
              <w:adjustRightInd w:val="0"/>
              <w:snapToGrid w:val="0"/>
              <w:spacing w:line="360" w:lineRule="auto"/>
              <w:rPr>
                <w:rFonts w:hint="default" w:ascii="Times New Roman" w:hAnsi="Times New Roman" w:cs="Times New Roman"/>
                <w:b/>
                <w:bCs/>
                <w:color w:val="auto"/>
                <w:spacing w:val="-10"/>
                <w:sz w:val="24"/>
                <w:highlight w:val="none"/>
              </w:rPr>
            </w:pPr>
            <w:r>
              <w:rPr>
                <w:rFonts w:hint="default" w:ascii="Times New Roman" w:hAnsi="Times New Roman" w:cs="Times New Roman"/>
                <w:b/>
                <w:color w:val="auto"/>
                <w:spacing w:val="-10"/>
                <w:sz w:val="24"/>
                <w:highlight w:val="none"/>
              </w:rPr>
              <w:t>五、</w:t>
            </w:r>
            <w:r>
              <w:rPr>
                <w:rFonts w:hint="default" w:ascii="Times New Roman" w:hAnsi="Times New Roman" w:cs="Times New Roman"/>
                <w:b/>
                <w:bCs/>
                <w:color w:val="auto"/>
                <w:spacing w:val="-10"/>
                <w:sz w:val="24"/>
                <w:highlight w:val="none"/>
              </w:rPr>
              <w:t>地下水防治措施</w:t>
            </w:r>
          </w:p>
          <w:p>
            <w:pPr>
              <w:spacing w:line="360" w:lineRule="auto"/>
              <w:ind w:firstLine="482" w:firstLineChars="200"/>
              <w:outlineLvl w:val="1"/>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1、地下水污染途径</w:t>
            </w:r>
          </w:p>
          <w:p>
            <w:pPr>
              <w:adjustRightInd w:val="0"/>
              <w:snapToGrid w:val="0"/>
              <w:spacing w:line="360" w:lineRule="auto"/>
              <w:ind w:firstLine="480" w:firstLineChars="200"/>
              <w:rPr>
                <w:color w:val="auto"/>
                <w:sz w:val="24"/>
                <w:highlight w:val="none"/>
              </w:rPr>
            </w:pPr>
            <w:r>
              <w:rPr>
                <w:color w:val="auto"/>
                <w:sz w:val="24"/>
                <w:highlight w:val="none"/>
              </w:rPr>
              <w:t>本项目用水</w:t>
            </w:r>
            <w:r>
              <w:rPr>
                <w:rFonts w:hint="eastAsia"/>
                <w:color w:val="auto"/>
                <w:sz w:val="24"/>
                <w:highlight w:val="none"/>
              </w:rPr>
              <w:t>为自来水供给</w:t>
            </w:r>
            <w:r>
              <w:rPr>
                <w:color w:val="auto"/>
                <w:sz w:val="24"/>
                <w:highlight w:val="none"/>
              </w:rPr>
              <w:t>，</w:t>
            </w:r>
            <w:r>
              <w:rPr>
                <w:rFonts w:hint="eastAsia"/>
                <w:color w:val="auto"/>
                <w:sz w:val="24"/>
                <w:highlight w:val="none"/>
              </w:rPr>
              <w:t>项目仅产生生活污水经预处理池处理后排入市政污水管网，进入</w:t>
            </w:r>
            <w:r>
              <w:rPr>
                <w:rFonts w:hint="eastAsia"/>
                <w:color w:val="auto"/>
                <w:sz w:val="24"/>
                <w:highlight w:val="none"/>
                <w:lang w:val="en-US" w:eastAsia="zh-CN"/>
              </w:rPr>
              <w:t>蓬溪县经济开发区废水处理厂</w:t>
            </w:r>
            <w:r>
              <w:rPr>
                <w:rFonts w:hint="eastAsia"/>
                <w:color w:val="auto"/>
                <w:sz w:val="24"/>
                <w:highlight w:val="none"/>
              </w:rPr>
              <w:t>处理达标后外排至</w:t>
            </w:r>
            <w:r>
              <w:rPr>
                <w:rFonts w:hint="eastAsia"/>
                <w:color w:val="auto"/>
                <w:sz w:val="24"/>
                <w:highlight w:val="none"/>
                <w:lang w:val="en-US" w:eastAsia="zh-CN"/>
              </w:rPr>
              <w:t>芝溪河</w:t>
            </w:r>
            <w:r>
              <w:rPr>
                <w:rFonts w:hint="eastAsia"/>
                <w:color w:val="auto"/>
                <w:sz w:val="24"/>
                <w:highlight w:val="none"/>
              </w:rPr>
              <w:t>。</w:t>
            </w:r>
            <w:r>
              <w:rPr>
                <w:color w:val="auto"/>
                <w:sz w:val="24"/>
                <w:highlight w:val="none"/>
              </w:rPr>
              <w:t>通过分析可知，本项目给、排水</w:t>
            </w:r>
            <w:r>
              <w:rPr>
                <w:rFonts w:hint="eastAsia"/>
                <w:color w:val="auto"/>
                <w:sz w:val="24"/>
                <w:highlight w:val="none"/>
              </w:rPr>
              <w:t>沟</w:t>
            </w:r>
            <w:r>
              <w:rPr>
                <w:color w:val="auto"/>
                <w:sz w:val="24"/>
                <w:highlight w:val="none"/>
              </w:rPr>
              <w:t>不会与地下水直接发生联系</w:t>
            </w:r>
            <w:r>
              <w:rPr>
                <w:rFonts w:hint="eastAsia"/>
                <w:color w:val="auto"/>
                <w:sz w:val="24"/>
                <w:highlight w:val="none"/>
              </w:rPr>
              <w:t>。</w:t>
            </w:r>
            <w:r>
              <w:rPr>
                <w:color w:val="auto"/>
                <w:sz w:val="24"/>
                <w:highlight w:val="none"/>
              </w:rPr>
              <w:t>污染物进入地下水的途径主要是降雨</w:t>
            </w:r>
            <w:r>
              <w:rPr>
                <w:rFonts w:hint="eastAsia"/>
                <w:color w:val="auto"/>
                <w:sz w:val="24"/>
                <w:highlight w:val="none"/>
              </w:rPr>
              <w:t>、</w:t>
            </w:r>
            <w:r>
              <w:rPr>
                <w:color w:val="auto"/>
                <w:sz w:val="24"/>
                <w:highlight w:val="none"/>
              </w:rPr>
              <w:t>废水排放</w:t>
            </w:r>
            <w:r>
              <w:rPr>
                <w:rFonts w:hint="eastAsia"/>
                <w:color w:val="auto"/>
                <w:sz w:val="24"/>
                <w:highlight w:val="none"/>
              </w:rPr>
              <w:t>、</w:t>
            </w:r>
            <w:r>
              <w:rPr>
                <w:color w:val="auto"/>
                <w:sz w:val="24"/>
                <w:highlight w:val="none"/>
              </w:rPr>
              <w:t>危废泄露等通过垂直渗透进入包气带，进入包气带的污染物在物理、化学和生物作用下经吸附、转化、迁移和分解后输入地下水。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color w:val="auto"/>
                <w:sz w:val="24"/>
                <w:highlight w:val="none"/>
              </w:rPr>
              <w:t>根据工程所处区域的地质情况，本项目可能对地下水造成污染的途径主要有：</w:t>
            </w:r>
            <w:r>
              <w:rPr>
                <w:rFonts w:hint="eastAsia"/>
                <w:b/>
                <w:bCs/>
                <w:color w:val="auto"/>
                <w:sz w:val="24"/>
                <w:highlight w:val="none"/>
                <w:lang w:val="en-US" w:eastAsia="zh-CN"/>
              </w:rPr>
              <w:t>机油</w:t>
            </w:r>
            <w:r>
              <w:rPr>
                <w:b/>
                <w:bCs/>
                <w:color w:val="auto"/>
                <w:sz w:val="24"/>
                <w:highlight w:val="none"/>
              </w:rPr>
              <w:t>泄露</w:t>
            </w:r>
            <w:r>
              <w:rPr>
                <w:rFonts w:hint="eastAsia"/>
                <w:b/>
                <w:bCs/>
                <w:color w:val="auto"/>
                <w:sz w:val="24"/>
                <w:highlight w:val="none"/>
                <w:lang w:eastAsia="zh-CN"/>
              </w:rPr>
              <w:t>、</w:t>
            </w:r>
            <w:r>
              <w:rPr>
                <w:rFonts w:hint="eastAsia"/>
                <w:b/>
                <w:bCs/>
                <w:color w:val="auto"/>
                <w:sz w:val="24"/>
                <w:highlight w:val="none"/>
              </w:rPr>
              <w:t>危废</w:t>
            </w:r>
            <w:r>
              <w:rPr>
                <w:b/>
                <w:bCs/>
                <w:color w:val="auto"/>
                <w:sz w:val="24"/>
                <w:highlight w:val="none"/>
              </w:rPr>
              <w:t>泄漏</w:t>
            </w:r>
            <w:r>
              <w:rPr>
                <w:rFonts w:hint="eastAsia"/>
                <w:b/>
                <w:bCs/>
                <w:color w:val="auto"/>
                <w:sz w:val="24"/>
                <w:highlight w:val="none"/>
                <w:lang w:eastAsia="zh-CN"/>
              </w:rPr>
              <w:t>、</w:t>
            </w:r>
            <w:r>
              <w:rPr>
                <w:rFonts w:hint="eastAsia"/>
                <w:b/>
                <w:bCs/>
                <w:color w:val="auto"/>
                <w:sz w:val="24"/>
                <w:highlight w:val="none"/>
                <w:lang w:val="en-US" w:eastAsia="zh-CN"/>
              </w:rPr>
              <w:t>液态化学品（绝缘漆、稀释剂、助焊剂）泄露</w:t>
            </w:r>
            <w:r>
              <w:rPr>
                <w:color w:val="auto"/>
                <w:sz w:val="24"/>
                <w:highlight w:val="none"/>
              </w:rPr>
              <w:t>对地下水造成的污染。</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2、防治措施</w:t>
            </w:r>
          </w:p>
          <w:p>
            <w:pPr>
              <w:pStyle w:val="10"/>
              <w:spacing w:line="360" w:lineRule="auto"/>
              <w:ind w:lef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 1 \* GB3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①</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t>源头控制措施实施清洁生产，实现废物资源化利用，减少污染物的排放；加强环境管理，污水管道等选用做防渗、防腐处理的管道，将污染物“跑、冒、滴、漏”降到最低程度。</w:t>
            </w:r>
          </w:p>
          <w:p>
            <w:pPr>
              <w:pStyle w:val="10"/>
              <w:spacing w:line="360" w:lineRule="auto"/>
              <w:ind w:lef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 2 \* GB3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②</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t>分区防渗措施</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根据《环境影响评价技术导则地下水环境》（HJ610-2016）防渗分区原则，</w:t>
            </w:r>
            <w:r>
              <w:rPr>
                <w:rFonts w:hint="default" w:ascii="Times New Roman" w:hAnsi="Times New Roman" w:cs="Times New Roman"/>
                <w:color w:val="auto"/>
                <w:sz w:val="24"/>
                <w:highlight w:val="none"/>
              </w:rPr>
              <w:t>将全厂按物料或者污染物泄漏的途径和生产功能单元所处的位置划分为重点防渗区、一般防渗区、简单防渗区。</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重点防渗区：危废暂存间</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辅料库房、</w:t>
            </w:r>
            <w:r>
              <w:rPr>
                <w:rFonts w:hint="eastAsia" w:ascii="Times New Roman" w:hAnsi="Times New Roman" w:cs="Times New Roman"/>
                <w:color w:val="auto"/>
                <w:sz w:val="24"/>
                <w:highlight w:val="none"/>
                <w:lang w:val="en-US" w:eastAsia="zh-CN"/>
              </w:rPr>
              <w:t>浸</w:t>
            </w:r>
            <w:r>
              <w:rPr>
                <w:rFonts w:hint="eastAsia" w:cs="Times New Roman"/>
                <w:color w:val="auto"/>
                <w:sz w:val="24"/>
                <w:highlight w:val="none"/>
                <w:lang w:val="en-US" w:eastAsia="zh-CN"/>
              </w:rPr>
              <w:t>漆烘干区</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一般防渗区：生产车间</w:t>
            </w:r>
            <w:r>
              <w:rPr>
                <w:rFonts w:hint="default" w:ascii="Times New Roman" w:hAnsi="Times New Roman" w:cs="Times New Roman"/>
                <w:color w:val="auto"/>
                <w:sz w:val="24"/>
                <w:highlight w:val="none"/>
                <w:lang w:eastAsia="zh-CN"/>
              </w:rPr>
              <w:t>其余区域</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简单防渗区：</w:t>
            </w:r>
            <w:r>
              <w:rPr>
                <w:rFonts w:hint="eastAsia" w:cs="Times New Roman"/>
                <w:color w:val="auto"/>
                <w:sz w:val="24"/>
                <w:highlight w:val="none"/>
                <w:lang w:val="en-US" w:eastAsia="zh-CN"/>
              </w:rPr>
              <w:t>二楼车间均为简单防渗、三楼车间均为简单防渗、一楼的</w:t>
            </w:r>
            <w:r>
              <w:rPr>
                <w:rFonts w:hint="default" w:ascii="Times New Roman" w:hAnsi="Times New Roman" w:cs="Times New Roman"/>
                <w:color w:val="auto"/>
                <w:sz w:val="24"/>
                <w:highlight w:val="none"/>
                <w:lang w:eastAsia="zh-CN"/>
              </w:rPr>
              <w:t>办公区。</w:t>
            </w:r>
          </w:p>
          <w:p>
            <w:pPr>
              <w:snapToGrid w:val="0"/>
              <w:spacing w:line="360" w:lineRule="auto"/>
              <w:ind w:firstLine="482" w:firstLineChars="200"/>
              <w:rPr>
                <w:b/>
                <w:color w:val="auto"/>
                <w:sz w:val="24"/>
                <w:highlight w:val="none"/>
              </w:rPr>
            </w:pPr>
            <w:r>
              <w:rPr>
                <w:rFonts w:hint="eastAsia"/>
                <w:b/>
                <w:color w:val="auto"/>
                <w:sz w:val="24"/>
                <w:highlight w:val="none"/>
              </w:rPr>
              <w:t>重点防渗区防渗措施：</w:t>
            </w:r>
          </w:p>
          <w:p>
            <w:pPr>
              <w:snapToGrid w:val="0"/>
              <w:spacing w:line="360" w:lineRule="auto"/>
              <w:ind w:firstLine="480" w:firstLineChars="200"/>
              <w:rPr>
                <w:color w:val="auto"/>
                <w:sz w:val="24"/>
                <w:highlight w:val="none"/>
              </w:rPr>
            </w:pPr>
            <w:r>
              <w:rPr>
                <w:rFonts w:hint="eastAsia"/>
                <w:color w:val="auto"/>
                <w:sz w:val="24"/>
                <w:highlight w:val="none"/>
              </w:rPr>
              <w:t>危废暂存间</w:t>
            </w:r>
            <w:r>
              <w:rPr>
                <w:rFonts w:hint="eastAsia"/>
                <w:color w:val="auto"/>
                <w:sz w:val="24"/>
                <w:highlight w:val="none"/>
                <w:lang w:eastAsia="zh-CN"/>
              </w:rPr>
              <w:t>、</w:t>
            </w:r>
            <w:r>
              <w:rPr>
                <w:rFonts w:hint="eastAsia"/>
                <w:color w:val="auto"/>
                <w:sz w:val="24"/>
                <w:highlight w:val="none"/>
                <w:lang w:val="en-US" w:eastAsia="zh-CN"/>
              </w:rPr>
              <w:t>浸漆烘干区、辅料库房</w:t>
            </w:r>
            <w:r>
              <w:rPr>
                <w:rFonts w:hint="eastAsia"/>
                <w:color w:val="auto"/>
                <w:sz w:val="24"/>
                <w:highlight w:val="none"/>
              </w:rPr>
              <w:t>采取防渗混凝土+2mm厚HDPE（高密度聚乙烯膜），</w:t>
            </w:r>
            <w:r>
              <w:rPr>
                <w:rFonts w:hint="eastAsia"/>
                <w:color w:val="auto"/>
                <w:sz w:val="24"/>
                <w:highlight w:val="none"/>
                <w:lang w:val="en-US" w:eastAsia="zh-CN"/>
              </w:rPr>
              <w:t>废机油桶、废包装桶</w:t>
            </w:r>
            <w:r>
              <w:rPr>
                <w:rFonts w:hint="eastAsia"/>
                <w:color w:val="auto"/>
                <w:sz w:val="24"/>
                <w:highlight w:val="none"/>
              </w:rPr>
              <w:t>等其他重点防渗区域采取防渗混凝土+2mm防渗涂层</w:t>
            </w:r>
            <w:r>
              <w:rPr>
                <w:rFonts w:hint="eastAsia"/>
                <w:color w:val="auto"/>
                <w:sz w:val="24"/>
                <w:highlight w:val="none"/>
                <w:lang w:eastAsia="zh-CN"/>
              </w:rPr>
              <w:t>，</w:t>
            </w:r>
            <w:r>
              <w:rPr>
                <w:rFonts w:hint="eastAsia"/>
                <w:color w:val="auto"/>
                <w:sz w:val="24"/>
                <w:highlight w:val="none"/>
                <w:lang w:val="en-US" w:eastAsia="zh-CN"/>
              </w:rPr>
              <w:t>危废间内部、废机油桶废包装桶四周设置围堰，并在危废间设置防渗托盘和专用空桶</w:t>
            </w:r>
            <w:r>
              <w:rPr>
                <w:rFonts w:hint="eastAsia"/>
                <w:color w:val="auto"/>
                <w:sz w:val="24"/>
                <w:highlight w:val="none"/>
              </w:rPr>
              <w:t>。</w:t>
            </w:r>
          </w:p>
          <w:p>
            <w:pPr>
              <w:snapToGrid w:val="0"/>
              <w:spacing w:line="360" w:lineRule="auto"/>
              <w:ind w:firstLine="482" w:firstLineChars="200"/>
              <w:rPr>
                <w:b/>
                <w:color w:val="auto"/>
                <w:sz w:val="24"/>
                <w:highlight w:val="none"/>
              </w:rPr>
            </w:pPr>
            <w:r>
              <w:rPr>
                <w:b/>
                <w:color w:val="auto"/>
                <w:sz w:val="24"/>
                <w:highlight w:val="none"/>
              </w:rPr>
              <w:t>一般防渗区防渗措施</w:t>
            </w:r>
            <w:r>
              <w:rPr>
                <w:rFonts w:hint="eastAsia"/>
                <w:b/>
                <w:color w:val="auto"/>
                <w:sz w:val="24"/>
                <w:highlight w:val="none"/>
              </w:rPr>
              <w:t>：</w:t>
            </w:r>
          </w:p>
          <w:p>
            <w:pPr>
              <w:snapToGrid w:val="0"/>
              <w:spacing w:line="360" w:lineRule="auto"/>
              <w:ind w:firstLine="480" w:firstLineChars="200"/>
              <w:rPr>
                <w:rFonts w:hint="eastAsia" w:eastAsia="宋体"/>
                <w:b/>
                <w:bCs/>
                <w:color w:val="auto"/>
                <w:sz w:val="24"/>
                <w:highlight w:val="none"/>
                <w:lang w:eastAsia="zh-CN"/>
              </w:rPr>
            </w:pPr>
            <w:r>
              <w:rPr>
                <w:rFonts w:hint="eastAsia"/>
                <w:color w:val="auto"/>
                <w:sz w:val="24"/>
                <w:highlight w:val="none"/>
                <w:lang w:val="en-US" w:eastAsia="zh-CN"/>
              </w:rPr>
              <w:t>厂区除重点防渗和简单防渗后剩余的</w:t>
            </w:r>
            <w:r>
              <w:rPr>
                <w:rFonts w:hint="eastAsia"/>
                <w:color w:val="auto"/>
                <w:sz w:val="24"/>
                <w:highlight w:val="none"/>
              </w:rPr>
              <w:t>其他区域等进行一般防渗，一般防渗区地面采取粘土铺底，上层铺10～15cm的水泥进行硬化</w:t>
            </w:r>
            <w:r>
              <w:rPr>
                <w:rFonts w:hint="eastAsia"/>
                <w:color w:val="auto"/>
                <w:sz w:val="24"/>
                <w:highlight w:val="none"/>
                <w:lang w:eastAsia="zh-CN"/>
              </w:rPr>
              <w:t>。</w:t>
            </w:r>
          </w:p>
          <w:p>
            <w:pPr>
              <w:pStyle w:val="8"/>
              <w:spacing w:before="0" w:after="0" w:line="360" w:lineRule="auto"/>
              <w:ind w:right="0" w:firstLine="482" w:firstLineChars="200"/>
              <w:rPr>
                <w:b/>
                <w:bCs/>
                <w:color w:val="auto"/>
                <w:sz w:val="24"/>
                <w:szCs w:val="24"/>
                <w:highlight w:val="none"/>
                <w:lang w:val="en-US"/>
              </w:rPr>
            </w:pPr>
            <w:r>
              <w:rPr>
                <w:rFonts w:hint="eastAsia"/>
                <w:b/>
                <w:bCs/>
                <w:color w:val="auto"/>
                <w:sz w:val="24"/>
                <w:szCs w:val="24"/>
                <w:highlight w:val="none"/>
                <w:lang w:val="en-US"/>
              </w:rPr>
              <w:t>简单防渗区措施：</w:t>
            </w:r>
          </w:p>
          <w:p>
            <w:pPr>
              <w:spacing w:line="360" w:lineRule="auto"/>
              <w:ind w:firstLine="480" w:firstLineChars="200"/>
              <w:rPr>
                <w:rFonts w:hint="default" w:ascii="Times New Roman" w:hAnsi="Times New Roman" w:cs="Times New Roman"/>
                <w:color w:val="auto"/>
                <w:sz w:val="21"/>
                <w:szCs w:val="21"/>
                <w:highlight w:val="none"/>
              </w:rPr>
            </w:pPr>
            <w:r>
              <w:rPr>
                <w:rFonts w:hint="eastAsia"/>
                <w:bCs/>
                <w:color w:val="auto"/>
                <w:sz w:val="24"/>
                <w:highlight w:val="none"/>
              </w:rPr>
              <w:t>厂区内</w:t>
            </w:r>
            <w:r>
              <w:rPr>
                <w:rFonts w:hint="eastAsia"/>
                <w:bCs/>
                <w:color w:val="auto"/>
                <w:sz w:val="24"/>
                <w:highlight w:val="none"/>
                <w:lang w:val="en-US" w:eastAsia="zh-CN"/>
              </w:rPr>
              <w:t>一楼办公区、二楼车间整体以及三楼车间整体均为简单防渗，</w:t>
            </w:r>
            <w:r>
              <w:rPr>
                <w:rFonts w:hint="eastAsia"/>
                <w:bCs/>
                <w:color w:val="auto"/>
                <w:sz w:val="24"/>
                <w:highlight w:val="none"/>
              </w:rPr>
              <w:t>所有地面</w:t>
            </w:r>
            <w:r>
              <w:rPr>
                <w:rFonts w:hint="eastAsia"/>
                <w:color w:val="auto"/>
                <w:sz w:val="24"/>
                <w:highlight w:val="none"/>
              </w:rPr>
              <w:t>均采用水泥一般硬化。</w:t>
            </w:r>
          </w:p>
          <w:p>
            <w:pPr>
              <w:pStyle w:val="17"/>
              <w:spacing w:before="0" w:after="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 xml:space="preserve">  地下水污染防渗分区情况表</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338"/>
              <w:gridCol w:w="2261"/>
              <w:gridCol w:w="2550"/>
              <w:gridCol w:w="12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分区类别</w:t>
                  </w:r>
                </w:p>
              </w:tc>
              <w:tc>
                <w:tcPr>
                  <w:tcW w:w="756"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区域名称</w:t>
                  </w:r>
                </w:p>
              </w:tc>
              <w:tc>
                <w:tcPr>
                  <w:tcW w:w="1278" w:type="pct"/>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防渗技术要求</w:t>
                  </w:r>
                </w:p>
              </w:tc>
              <w:tc>
                <w:tcPr>
                  <w:tcW w:w="1442" w:type="pct"/>
                  <w:noWrap w:val="0"/>
                  <w:vAlign w:val="center"/>
                </w:tcPr>
                <w:p>
                  <w:pPr>
                    <w:jc w:val="center"/>
                    <w:rPr>
                      <w:rFonts w:hint="eastAsia" w:ascii="Times New Roman" w:hAnsi="Times New Roman" w:eastAsia="宋体" w:cs="Times New Roman"/>
                      <w:b/>
                      <w:bCs/>
                      <w:color w:val="auto"/>
                      <w:szCs w:val="21"/>
                      <w:highlight w:val="none"/>
                      <w:lang w:val="en-US" w:eastAsia="zh-CN"/>
                    </w:rPr>
                  </w:pPr>
                  <w:r>
                    <w:rPr>
                      <w:rFonts w:ascii="Times New Roman" w:hAnsi="Times New Roman" w:eastAsia="宋体"/>
                      <w:b/>
                      <w:bCs/>
                      <w:color w:val="auto"/>
                      <w:sz w:val="21"/>
                      <w:szCs w:val="21"/>
                      <w:highlight w:val="none"/>
                    </w:rPr>
                    <w:t>防渗</w:t>
                  </w:r>
                  <w:r>
                    <w:rPr>
                      <w:rFonts w:hint="eastAsia" w:ascii="Times New Roman" w:hAnsi="Times New Roman" w:eastAsia="宋体"/>
                      <w:b/>
                      <w:bCs/>
                      <w:color w:val="auto"/>
                      <w:sz w:val="21"/>
                      <w:szCs w:val="21"/>
                      <w:highlight w:val="none"/>
                    </w:rPr>
                    <w:t>措施</w:t>
                  </w:r>
                </w:p>
              </w:tc>
              <w:tc>
                <w:tcPr>
                  <w:tcW w:w="734" w:type="pct"/>
                  <w:noWrap w:val="0"/>
                  <w:vAlign w:val="center"/>
                </w:tcPr>
                <w:p>
                  <w:pPr>
                    <w:jc w:val="center"/>
                    <w:rPr>
                      <w:rFonts w:hint="eastAsia" w:cs="Times New Roman"/>
                      <w:b/>
                      <w:bCs/>
                      <w:color w:val="auto"/>
                      <w:szCs w:val="21"/>
                      <w:highlight w:val="none"/>
                      <w:lang w:val="en-US" w:eastAsia="zh-CN"/>
                    </w:rPr>
                  </w:pPr>
                  <w:r>
                    <w:rPr>
                      <w:rFonts w:hint="eastAsia" w:cs="Times New Roman"/>
                      <w:b/>
                      <w:bCs/>
                      <w:color w:val="auto"/>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重点防渗区</w:t>
                  </w:r>
                </w:p>
              </w:tc>
              <w:tc>
                <w:tcPr>
                  <w:tcW w:w="75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危废暂存间</w:t>
                  </w:r>
                </w:p>
              </w:tc>
              <w:tc>
                <w:tcPr>
                  <w:tcW w:w="1278"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eastAsia="宋体" w:cs="Times New Roman"/>
                      <w:b w:val="0"/>
                      <w:bCs/>
                      <w:color w:val="auto"/>
                      <w:sz w:val="21"/>
                      <w:szCs w:val="21"/>
                      <w:highlight w:val="none"/>
                    </w:rPr>
                    <w:t>等效黏土防渗层Mb≥6.0m，K≤1×10</w:t>
                  </w:r>
                  <w:r>
                    <w:rPr>
                      <w:rFonts w:hint="eastAsia" w:ascii="Times New Roman" w:hAnsi="Times New Roman" w:eastAsia="宋体" w:cs="Times New Roman"/>
                      <w:b w:val="0"/>
                      <w:bCs/>
                      <w:color w:val="auto"/>
                      <w:sz w:val="21"/>
                      <w:szCs w:val="21"/>
                      <w:highlight w:val="none"/>
                      <w:vertAlign w:val="superscript"/>
                    </w:rPr>
                    <w:t>-10</w:t>
                  </w:r>
                  <w:r>
                    <w:rPr>
                      <w:rFonts w:hint="eastAsia" w:ascii="Times New Roman" w:hAnsi="Times New Roman" w:eastAsia="宋体" w:cs="Times New Roman"/>
                      <w:b w:val="0"/>
                      <w:bCs/>
                      <w:color w:val="auto"/>
                      <w:sz w:val="21"/>
                      <w:szCs w:val="21"/>
                      <w:highlight w:val="none"/>
                    </w:rPr>
                    <w:t>cm/s）</w:t>
                  </w:r>
                </w:p>
              </w:tc>
              <w:tc>
                <w:tcPr>
                  <w:tcW w:w="1442" w:type="pct"/>
                  <w:noWrap w:val="0"/>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rPr>
                    <w:t>防渗混凝土+2mm厚HDPE（高密度聚乙烯膜）</w:t>
                  </w:r>
                  <w:r>
                    <w:rPr>
                      <w:rFonts w:hint="eastAsia"/>
                      <w:color w:val="auto"/>
                      <w:sz w:val="21"/>
                      <w:szCs w:val="21"/>
                      <w:highlight w:val="none"/>
                      <w:lang w:eastAsia="zh-CN"/>
                    </w:rPr>
                    <w:t>，</w:t>
                  </w:r>
                  <w:r>
                    <w:rPr>
                      <w:color w:val="auto"/>
                      <w:sz w:val="21"/>
                      <w:szCs w:val="21"/>
                      <w:highlight w:val="none"/>
                    </w:rPr>
                    <w:t>满足防渗要求</w:t>
                  </w:r>
                  <w:r>
                    <w:rPr>
                      <w:rFonts w:hint="eastAsia"/>
                      <w:color w:val="auto"/>
                      <w:sz w:val="21"/>
                      <w:szCs w:val="21"/>
                      <w:highlight w:val="none"/>
                      <w:lang w:eastAsia="zh-CN"/>
                    </w:rPr>
                    <w:t>，</w:t>
                  </w:r>
                  <w:r>
                    <w:rPr>
                      <w:rFonts w:hint="eastAsia"/>
                      <w:color w:val="auto"/>
                      <w:sz w:val="21"/>
                      <w:szCs w:val="21"/>
                      <w:highlight w:val="none"/>
                      <w:lang w:val="en-US" w:eastAsia="zh-CN"/>
                    </w:rPr>
                    <w:t>并设置围堰和防渗托盘</w:t>
                  </w:r>
                </w:p>
              </w:tc>
              <w:tc>
                <w:tcPr>
                  <w:tcW w:w="734" w:type="pct"/>
                  <w:noWrap w:val="0"/>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continue"/>
                  <w:noWrap w:val="0"/>
                  <w:vAlign w:val="center"/>
                </w:tcPr>
                <w:p>
                  <w:pPr>
                    <w:jc w:val="center"/>
                    <w:rPr>
                      <w:rFonts w:hint="default" w:ascii="Times New Roman" w:hAnsi="Times New Roman" w:cs="Times New Roman"/>
                      <w:color w:val="auto"/>
                      <w:szCs w:val="21"/>
                      <w:highlight w:val="none"/>
                    </w:rPr>
                  </w:pPr>
                </w:p>
              </w:tc>
              <w:tc>
                <w:tcPr>
                  <w:tcW w:w="756"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辅料库房</w:t>
                  </w:r>
                </w:p>
              </w:tc>
              <w:tc>
                <w:tcPr>
                  <w:tcW w:w="1278" w:type="pct"/>
                  <w:noWrap w:val="0"/>
                  <w:vAlign w:val="center"/>
                </w:tcPr>
                <w:p>
                  <w:pPr>
                    <w:jc w:val="center"/>
                    <w:rPr>
                      <w:rFonts w:hint="eastAsia"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rPr>
                    <w:t>等效黏土防渗层Mb≥6.0m，K≤1×10</w:t>
                  </w:r>
                  <w:r>
                    <w:rPr>
                      <w:rFonts w:hint="eastAsia" w:ascii="Times New Roman" w:hAnsi="Times New Roman" w:eastAsia="宋体" w:cs="Times New Roman"/>
                      <w:b w:val="0"/>
                      <w:bCs/>
                      <w:color w:val="auto"/>
                      <w:sz w:val="21"/>
                      <w:szCs w:val="21"/>
                      <w:highlight w:val="none"/>
                      <w:vertAlign w:val="superscript"/>
                    </w:rPr>
                    <w:t>-10</w:t>
                  </w:r>
                  <w:r>
                    <w:rPr>
                      <w:rFonts w:hint="eastAsia" w:ascii="Times New Roman" w:hAnsi="Times New Roman" w:eastAsia="宋体" w:cs="Times New Roman"/>
                      <w:b w:val="0"/>
                      <w:bCs/>
                      <w:color w:val="auto"/>
                      <w:sz w:val="21"/>
                      <w:szCs w:val="21"/>
                      <w:highlight w:val="none"/>
                    </w:rPr>
                    <w:t>cm/s）</w:t>
                  </w:r>
                </w:p>
              </w:tc>
              <w:tc>
                <w:tcPr>
                  <w:tcW w:w="1442" w:type="pct"/>
                  <w:noWrap w:val="0"/>
                  <w:vAlign w:val="center"/>
                </w:tcPr>
                <w:p>
                  <w:pPr>
                    <w:jc w:val="center"/>
                    <w:rPr>
                      <w:rFonts w:hint="eastAsia"/>
                      <w:color w:val="auto"/>
                      <w:sz w:val="21"/>
                      <w:szCs w:val="21"/>
                      <w:highlight w:val="none"/>
                    </w:rPr>
                  </w:pPr>
                  <w:r>
                    <w:rPr>
                      <w:rFonts w:hint="eastAsia"/>
                      <w:color w:val="auto"/>
                      <w:sz w:val="21"/>
                      <w:szCs w:val="21"/>
                      <w:highlight w:val="none"/>
                    </w:rPr>
                    <w:t>防渗混凝土+2mm厚HDPE（高密度聚乙烯膜）</w:t>
                  </w:r>
                  <w:r>
                    <w:rPr>
                      <w:rFonts w:hint="eastAsia"/>
                      <w:color w:val="auto"/>
                      <w:sz w:val="21"/>
                      <w:szCs w:val="21"/>
                      <w:highlight w:val="none"/>
                      <w:lang w:eastAsia="zh-CN"/>
                    </w:rPr>
                    <w:t>，</w:t>
                  </w:r>
                  <w:r>
                    <w:rPr>
                      <w:color w:val="auto"/>
                      <w:sz w:val="21"/>
                      <w:szCs w:val="21"/>
                      <w:highlight w:val="none"/>
                    </w:rPr>
                    <w:t>满足防渗要求</w:t>
                  </w:r>
                  <w:r>
                    <w:rPr>
                      <w:rFonts w:hint="eastAsia"/>
                      <w:color w:val="auto"/>
                      <w:sz w:val="21"/>
                      <w:szCs w:val="21"/>
                      <w:highlight w:val="none"/>
                      <w:lang w:eastAsia="zh-CN"/>
                    </w:rPr>
                    <w:t>，</w:t>
                  </w:r>
                  <w:r>
                    <w:rPr>
                      <w:rFonts w:hint="eastAsia"/>
                      <w:color w:val="auto"/>
                      <w:sz w:val="21"/>
                      <w:szCs w:val="21"/>
                      <w:highlight w:val="none"/>
                      <w:lang w:val="en-US" w:eastAsia="zh-CN"/>
                    </w:rPr>
                    <w:t>并设置围堰和防渗托盘</w:t>
                  </w:r>
                </w:p>
              </w:tc>
              <w:tc>
                <w:tcPr>
                  <w:tcW w:w="734" w:type="pct"/>
                  <w:noWrap w:val="0"/>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87" w:type="pct"/>
                  <w:vMerge w:val="continue"/>
                  <w:noWrap w:val="0"/>
                  <w:vAlign w:val="center"/>
                </w:tcPr>
                <w:p>
                  <w:pPr>
                    <w:jc w:val="center"/>
                    <w:rPr>
                      <w:rFonts w:hint="default" w:ascii="Times New Roman" w:hAnsi="Times New Roman" w:cs="Times New Roman"/>
                      <w:color w:val="auto"/>
                      <w:szCs w:val="21"/>
                      <w:highlight w:val="none"/>
                    </w:rPr>
                  </w:pPr>
                </w:p>
              </w:tc>
              <w:tc>
                <w:tcPr>
                  <w:tcW w:w="75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浸漆、</w:t>
                  </w:r>
                  <w:r>
                    <w:rPr>
                      <w:rFonts w:hint="eastAsia" w:cs="Times New Roman"/>
                      <w:color w:val="auto"/>
                      <w:szCs w:val="21"/>
                      <w:highlight w:val="none"/>
                      <w:lang w:val="en-US" w:eastAsia="zh-CN"/>
                    </w:rPr>
                    <w:t>烘干区</w:t>
                  </w:r>
                </w:p>
              </w:tc>
              <w:tc>
                <w:tcPr>
                  <w:tcW w:w="1278" w:type="pc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eastAsia="宋体" w:cs="Times New Roman"/>
                      <w:b w:val="0"/>
                      <w:bCs/>
                      <w:color w:val="auto"/>
                      <w:sz w:val="21"/>
                      <w:szCs w:val="21"/>
                      <w:highlight w:val="none"/>
                    </w:rPr>
                    <w:t>等效黏土防渗层Mb≥6.0m，K≤1×10</w:t>
                  </w:r>
                  <w:r>
                    <w:rPr>
                      <w:rFonts w:hint="eastAsia" w:ascii="Times New Roman" w:hAnsi="Times New Roman" w:eastAsia="宋体" w:cs="Times New Roman"/>
                      <w:b w:val="0"/>
                      <w:bCs/>
                      <w:color w:val="auto"/>
                      <w:sz w:val="21"/>
                      <w:szCs w:val="21"/>
                      <w:highlight w:val="none"/>
                      <w:vertAlign w:val="superscript"/>
                    </w:rPr>
                    <w:t>-10</w:t>
                  </w:r>
                  <w:r>
                    <w:rPr>
                      <w:rFonts w:hint="eastAsia" w:ascii="Times New Roman" w:hAnsi="Times New Roman" w:eastAsia="宋体" w:cs="Times New Roman"/>
                      <w:b w:val="0"/>
                      <w:bCs/>
                      <w:color w:val="auto"/>
                      <w:sz w:val="21"/>
                      <w:szCs w:val="21"/>
                      <w:highlight w:val="none"/>
                    </w:rPr>
                    <w:t>cm/s）</w:t>
                  </w:r>
                </w:p>
              </w:tc>
              <w:tc>
                <w:tcPr>
                  <w:tcW w:w="1442" w:type="pct"/>
                  <w:noWrap w:val="0"/>
                  <w:vAlign w:val="center"/>
                </w:tcPr>
                <w:p>
                  <w:pPr>
                    <w:jc w:val="center"/>
                    <w:rPr>
                      <w:rFonts w:hint="default" w:ascii="Times New Roman" w:hAnsi="Times New Roman" w:cs="Times New Roman"/>
                      <w:color w:val="auto"/>
                      <w:szCs w:val="21"/>
                      <w:highlight w:val="none"/>
                    </w:rPr>
                  </w:pPr>
                  <w:r>
                    <w:rPr>
                      <w:rFonts w:hint="eastAsia"/>
                      <w:color w:val="auto"/>
                      <w:sz w:val="21"/>
                      <w:szCs w:val="21"/>
                      <w:highlight w:val="none"/>
                    </w:rPr>
                    <w:t>防渗混凝土+2mm厚HDPE（高密度聚乙烯膜）</w:t>
                  </w:r>
                  <w:r>
                    <w:rPr>
                      <w:rFonts w:hint="eastAsia"/>
                      <w:color w:val="auto"/>
                      <w:sz w:val="21"/>
                      <w:szCs w:val="21"/>
                      <w:highlight w:val="none"/>
                      <w:lang w:eastAsia="zh-CN"/>
                    </w:rPr>
                    <w:t>，</w:t>
                  </w:r>
                  <w:r>
                    <w:rPr>
                      <w:color w:val="auto"/>
                      <w:sz w:val="21"/>
                      <w:szCs w:val="21"/>
                      <w:highlight w:val="none"/>
                    </w:rPr>
                    <w:t>满足防渗要求</w:t>
                  </w:r>
                  <w:r>
                    <w:rPr>
                      <w:rFonts w:hint="eastAsia"/>
                      <w:color w:val="auto"/>
                      <w:sz w:val="21"/>
                      <w:szCs w:val="21"/>
                      <w:highlight w:val="none"/>
                      <w:lang w:eastAsia="zh-CN"/>
                    </w:rPr>
                    <w:t>，</w:t>
                  </w:r>
                  <w:r>
                    <w:rPr>
                      <w:rFonts w:hint="eastAsia"/>
                      <w:color w:val="auto"/>
                      <w:sz w:val="21"/>
                      <w:szCs w:val="21"/>
                      <w:highlight w:val="none"/>
                      <w:lang w:val="en-US" w:eastAsia="zh-CN"/>
                    </w:rPr>
                    <w:t>并设置围堰和防渗托盘</w:t>
                  </w:r>
                </w:p>
              </w:tc>
              <w:tc>
                <w:tcPr>
                  <w:tcW w:w="734" w:type="pct"/>
                  <w:noWrap w:val="0"/>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一般防渗区</w:t>
                  </w:r>
                </w:p>
              </w:tc>
              <w:tc>
                <w:tcPr>
                  <w:tcW w:w="756" w:type="pct"/>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生产车间其余区域</w:t>
                  </w:r>
                </w:p>
              </w:tc>
              <w:tc>
                <w:tcPr>
                  <w:tcW w:w="1278" w:type="pct"/>
                  <w:vMerge w:val="restar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eastAsia="宋体" w:cs="Times New Roman"/>
                      <w:b w:val="0"/>
                      <w:bCs/>
                      <w:color w:val="auto"/>
                      <w:sz w:val="21"/>
                      <w:szCs w:val="21"/>
                      <w:highlight w:val="none"/>
                    </w:rPr>
                    <w:t>等效黏土防渗层Mb≥1.5m，防渗层渗透系数≤1×10</w:t>
                  </w:r>
                  <w:r>
                    <w:rPr>
                      <w:rFonts w:hint="eastAsia" w:ascii="Times New Roman" w:hAnsi="Times New Roman" w:eastAsia="宋体" w:cs="Times New Roman"/>
                      <w:b w:val="0"/>
                      <w:bCs/>
                      <w:color w:val="auto"/>
                      <w:sz w:val="21"/>
                      <w:szCs w:val="21"/>
                      <w:highlight w:val="none"/>
                      <w:vertAlign w:val="superscript"/>
                    </w:rPr>
                    <w:t>-7</w:t>
                  </w:r>
                  <w:r>
                    <w:rPr>
                      <w:rFonts w:hint="eastAsia" w:ascii="Times New Roman" w:hAnsi="Times New Roman" w:eastAsia="宋体" w:cs="Times New Roman"/>
                      <w:b w:val="0"/>
                      <w:bCs/>
                      <w:color w:val="auto"/>
                      <w:sz w:val="21"/>
                      <w:szCs w:val="21"/>
                      <w:highlight w:val="none"/>
                    </w:rPr>
                    <w:t>cm/s</w:t>
                  </w:r>
                </w:p>
              </w:tc>
              <w:tc>
                <w:tcPr>
                  <w:tcW w:w="1442" w:type="pct"/>
                  <w:noWrap w:val="0"/>
                  <w:vAlign w:val="center"/>
                </w:tcPr>
                <w:p>
                  <w:pPr>
                    <w:jc w:val="center"/>
                    <w:rPr>
                      <w:rFonts w:hint="default" w:ascii="Times New Roman" w:hAnsi="Times New Roman" w:cs="Times New Roman"/>
                      <w:color w:val="auto"/>
                      <w:szCs w:val="21"/>
                      <w:highlight w:val="none"/>
                    </w:rPr>
                  </w:pPr>
                  <w:r>
                    <w:rPr>
                      <w:rFonts w:hint="eastAsia"/>
                      <w:bCs/>
                      <w:color w:val="auto"/>
                      <w:szCs w:val="21"/>
                      <w:highlight w:val="none"/>
                    </w:rPr>
                    <w:t>一般防渗区地面采取粘土铺底，上层铺10～15cm的水泥进行硬化</w:t>
                  </w:r>
                </w:p>
              </w:tc>
              <w:tc>
                <w:tcPr>
                  <w:tcW w:w="734" w:type="pct"/>
                  <w:noWrap w:val="0"/>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continue"/>
                  <w:noWrap w:val="0"/>
                  <w:vAlign w:val="center"/>
                </w:tcPr>
                <w:p>
                  <w:pPr>
                    <w:jc w:val="center"/>
                    <w:rPr>
                      <w:rFonts w:hint="default" w:ascii="Times New Roman" w:hAnsi="Times New Roman" w:cs="Times New Roman"/>
                      <w:color w:val="auto"/>
                      <w:szCs w:val="21"/>
                      <w:highlight w:val="none"/>
                    </w:rPr>
                  </w:pPr>
                </w:p>
              </w:tc>
              <w:tc>
                <w:tcPr>
                  <w:tcW w:w="756" w:type="pct"/>
                  <w:vMerge w:val="continue"/>
                  <w:noWrap w:val="0"/>
                  <w:vAlign w:val="center"/>
                </w:tcPr>
                <w:p>
                  <w:pPr>
                    <w:jc w:val="both"/>
                    <w:rPr>
                      <w:rFonts w:hint="default" w:ascii="Times New Roman" w:hAnsi="Times New Roman" w:eastAsia="宋体" w:cs="Times New Roman"/>
                      <w:color w:val="auto"/>
                      <w:szCs w:val="21"/>
                      <w:highlight w:val="none"/>
                      <w:lang w:eastAsia="zh-CN"/>
                    </w:rPr>
                  </w:pPr>
                </w:p>
              </w:tc>
              <w:tc>
                <w:tcPr>
                  <w:tcW w:w="1278" w:type="pct"/>
                  <w:vMerge w:val="continue"/>
                  <w:noWrap w:val="0"/>
                  <w:vAlign w:val="center"/>
                </w:tcPr>
                <w:p>
                  <w:pPr>
                    <w:jc w:val="center"/>
                    <w:rPr>
                      <w:rFonts w:hint="default" w:ascii="Times New Roman" w:hAnsi="Times New Roman" w:cs="Times New Roman"/>
                      <w:color w:val="auto"/>
                      <w:szCs w:val="21"/>
                      <w:highlight w:val="none"/>
                    </w:rPr>
                  </w:pPr>
                </w:p>
              </w:tc>
              <w:tc>
                <w:tcPr>
                  <w:tcW w:w="1442" w:type="pct"/>
                  <w:noWrap w:val="0"/>
                  <w:vAlign w:val="center"/>
                </w:tcPr>
                <w:p>
                  <w:pPr>
                    <w:jc w:val="center"/>
                    <w:rPr>
                      <w:rFonts w:hint="default" w:ascii="Times New Roman" w:hAnsi="Times New Roman" w:cs="Times New Roman"/>
                      <w:color w:val="auto"/>
                      <w:szCs w:val="21"/>
                      <w:highlight w:val="none"/>
                    </w:rPr>
                  </w:pPr>
                  <w:r>
                    <w:rPr>
                      <w:rFonts w:hint="eastAsia"/>
                      <w:bCs/>
                      <w:color w:val="auto"/>
                      <w:szCs w:val="21"/>
                      <w:highlight w:val="none"/>
                    </w:rPr>
                    <w:t>一般防渗区地面采取粘土铺底，上层铺10～15cm的水泥进行硬化</w:t>
                  </w:r>
                </w:p>
              </w:tc>
              <w:tc>
                <w:tcPr>
                  <w:tcW w:w="734" w:type="pct"/>
                  <w:noWrap w:val="0"/>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87"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简单防渗区</w:t>
                  </w:r>
                </w:p>
              </w:tc>
              <w:tc>
                <w:tcPr>
                  <w:tcW w:w="75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一楼</w:t>
                  </w:r>
                  <w:r>
                    <w:rPr>
                      <w:rFonts w:hint="default" w:ascii="Times New Roman" w:hAnsi="Times New Roman" w:eastAsia="宋体" w:cs="Times New Roman"/>
                      <w:color w:val="auto"/>
                      <w:szCs w:val="21"/>
                      <w:highlight w:val="none"/>
                      <w:lang w:eastAsia="zh-CN"/>
                    </w:rPr>
                    <w:t>办公区</w:t>
                  </w:r>
                  <w:r>
                    <w:rPr>
                      <w:rFonts w:hint="eastAsia" w:cs="Times New Roman"/>
                      <w:color w:val="auto"/>
                      <w:szCs w:val="21"/>
                      <w:highlight w:val="none"/>
                      <w:lang w:eastAsia="zh-CN"/>
                    </w:rPr>
                    <w:t>、</w:t>
                  </w:r>
                  <w:r>
                    <w:rPr>
                      <w:rFonts w:hint="eastAsia" w:cs="Times New Roman"/>
                      <w:color w:val="auto"/>
                      <w:szCs w:val="21"/>
                      <w:highlight w:val="none"/>
                      <w:lang w:val="en-US" w:eastAsia="zh-CN"/>
                    </w:rPr>
                    <w:t>二楼车间整体均</w:t>
                  </w:r>
                  <w:r>
                    <w:rPr>
                      <w:rFonts w:hint="eastAsia" w:ascii="Times New Roman" w:hAnsi="Times New Roman" w:cs="Times New Roman"/>
                      <w:color w:val="auto"/>
                      <w:szCs w:val="21"/>
                      <w:highlight w:val="none"/>
                      <w:lang w:val="en-US" w:eastAsia="zh-CN"/>
                    </w:rPr>
                    <w:t>为简单防渗</w:t>
                  </w:r>
                  <w:r>
                    <w:rPr>
                      <w:rFonts w:hint="eastAsia" w:cs="Times New Roman"/>
                      <w:color w:val="auto"/>
                      <w:szCs w:val="21"/>
                      <w:highlight w:val="none"/>
                      <w:lang w:val="en-US" w:eastAsia="zh-CN"/>
                    </w:rPr>
                    <w:t>、三楼车间整体均为简单防渗</w:t>
                  </w:r>
                </w:p>
              </w:tc>
              <w:tc>
                <w:tcPr>
                  <w:tcW w:w="1278"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地面硬化</w:t>
                  </w:r>
                </w:p>
              </w:tc>
              <w:tc>
                <w:tcPr>
                  <w:tcW w:w="1442" w:type="pct"/>
                  <w:noWrap w:val="0"/>
                  <w:vAlign w:val="center"/>
                </w:tcPr>
                <w:p>
                  <w:pPr>
                    <w:jc w:val="center"/>
                    <w:rPr>
                      <w:rFonts w:hint="default" w:ascii="Times New Roman" w:hAnsi="Times New Roman" w:cs="Times New Roman"/>
                      <w:color w:val="auto"/>
                      <w:szCs w:val="21"/>
                      <w:highlight w:val="none"/>
                      <w:lang w:eastAsia="zh-CN"/>
                    </w:rPr>
                  </w:pPr>
                  <w:r>
                    <w:rPr>
                      <w:rFonts w:hint="eastAsia"/>
                      <w:bCs/>
                      <w:color w:val="auto"/>
                      <w:szCs w:val="21"/>
                      <w:highlight w:val="none"/>
                    </w:rPr>
                    <w:t>水泥进行硬化</w:t>
                  </w:r>
                </w:p>
              </w:tc>
              <w:tc>
                <w:tcPr>
                  <w:tcW w:w="734" w:type="pct"/>
                  <w:noWrap w:val="0"/>
                  <w:vAlign w:val="center"/>
                </w:tcPr>
                <w:p>
                  <w:pPr>
                    <w:jc w:val="center"/>
                    <w:rPr>
                      <w:rFonts w:hint="eastAsia"/>
                      <w:color w:val="auto"/>
                      <w:sz w:val="21"/>
                      <w:szCs w:val="21"/>
                      <w:highlight w:val="none"/>
                      <w:lang w:val="en-US" w:eastAsia="zh-CN"/>
                    </w:rPr>
                  </w:pPr>
                  <w:r>
                    <w:rPr>
                      <w:rFonts w:hint="eastAsia"/>
                      <w:bCs/>
                      <w:color w:val="auto"/>
                      <w:szCs w:val="21"/>
                      <w:highlight w:val="none"/>
                      <w:lang w:val="en-US" w:eastAsia="zh-CN"/>
                    </w:rPr>
                    <w:t>部分依托，部分新建</w:t>
                  </w:r>
                </w:p>
              </w:tc>
            </w:tr>
          </w:tbl>
          <w:p>
            <w:pPr>
              <w:pStyle w:val="43"/>
              <w:keepNext w:val="0"/>
              <w:keepLines w:val="0"/>
              <w:pageBreakBefore w:val="0"/>
              <w:widowControl/>
              <w:kinsoku/>
              <w:wordWrap/>
              <w:overflowPunct w:val="0"/>
              <w:topLinePunct/>
              <w:autoSpaceDE/>
              <w:autoSpaceDN/>
              <w:bidi w:val="0"/>
              <w:adjustRightInd/>
              <w:snapToGrid/>
              <w:spacing w:before="157" w:beforeLines="50"/>
              <w:ind w:firstLine="480"/>
              <w:contextualSpacing/>
              <w:textAlignment w:val="auto"/>
              <w:rPr>
                <w:rFonts w:hint="eastAsia" w:ascii="Times New Roman" w:hAnsi="Times New Roman" w:eastAsia="宋体" w:cs="Times New Roman"/>
                <w:color w:val="auto"/>
                <w:highlight w:val="none"/>
                <w:lang w:eastAsia="zh-CN"/>
              </w:rPr>
            </w:pPr>
            <w:r>
              <w:rPr>
                <w:rFonts w:hint="eastAsia"/>
                <w:b/>
                <w:bCs/>
                <w:color w:val="auto"/>
                <w:sz w:val="24"/>
                <w:highlight w:val="none"/>
              </w:rPr>
              <w:t>综上，本项目在完善</w:t>
            </w:r>
            <w:r>
              <w:rPr>
                <w:rFonts w:hint="eastAsia"/>
                <w:b/>
                <w:bCs/>
                <w:color w:val="auto"/>
                <w:sz w:val="24"/>
                <w:highlight w:val="none"/>
                <w:lang w:val="en-US" w:eastAsia="zh-CN"/>
              </w:rPr>
              <w:t>厂区</w:t>
            </w:r>
            <w:r>
              <w:rPr>
                <w:rFonts w:hint="eastAsia"/>
                <w:b/>
                <w:bCs/>
                <w:color w:val="auto"/>
                <w:sz w:val="24"/>
                <w:highlight w:val="none"/>
              </w:rPr>
              <w:t>防渗防漏措施下，对周围地下水环境和土壤影响较小，从环境角度是可行的，项目运营过程对其附近区域地下水和土壤不会造成较大影响</w:t>
            </w:r>
            <w:r>
              <w:rPr>
                <w:rFonts w:hint="eastAsia"/>
                <w:b/>
                <w:bCs/>
                <w:color w:val="auto"/>
                <w:sz w:val="24"/>
                <w:highlight w:val="none"/>
                <w:lang w:eastAsia="zh-CN"/>
              </w:rPr>
              <w:t>。</w:t>
            </w:r>
          </w:p>
          <w:p>
            <w:pPr>
              <w:pStyle w:val="53"/>
              <w:contextualSpacing/>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六、环境风险</w:t>
            </w:r>
          </w:p>
          <w:p>
            <w:pPr>
              <w:pStyle w:val="54"/>
              <w:keepNext w:val="0"/>
              <w:widowControl/>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1、风险调查</w:t>
            </w:r>
          </w:p>
          <w:p>
            <w:pPr>
              <w:pStyle w:val="54"/>
              <w:keepNext w:val="0"/>
              <w:widowControl/>
              <w:adjustRightInd w:val="0"/>
              <w:snapToGrid w:val="0"/>
              <w:spacing w:line="360" w:lineRule="auto"/>
              <w:rPr>
                <w:rFonts w:hint="default" w:ascii="Times New Roman" w:hAnsi="Times New Roman" w:cs="Times New Roman"/>
                <w:color w:val="auto"/>
                <w:szCs w:val="21"/>
                <w:highlight w:val="none"/>
                <w:lang w:val="en-US"/>
              </w:rPr>
            </w:pPr>
            <w:r>
              <w:rPr>
                <w:rFonts w:hint="default" w:ascii="Times New Roman" w:hAnsi="Times New Roman" w:cs="Times New Roman"/>
                <w:bCs/>
                <w:color w:val="auto"/>
                <w:sz w:val="24"/>
                <w:highlight w:val="none"/>
                <w:lang w:bidi="ar"/>
              </w:rPr>
              <w:t>根据《危险化学品重大危险源辨识》（GB18218—2018）、《建设项目环境风险评价技术导则》（HJ169-2018）附录B进行识别</w:t>
            </w:r>
            <w:r>
              <w:rPr>
                <w:rFonts w:hint="default" w:ascii="Times New Roman" w:hAnsi="Times New Roman" w:cs="Times New Roman"/>
                <w:color w:val="auto"/>
                <w:szCs w:val="21"/>
                <w:highlight w:val="none"/>
              </w:rPr>
              <w:t>，</w:t>
            </w:r>
            <w:r>
              <w:rPr>
                <w:bCs/>
                <w:color w:val="auto"/>
                <w:sz w:val="24"/>
                <w:highlight w:val="none"/>
                <w:lang w:bidi="ar"/>
              </w:rPr>
              <w:t>本项目运营过程中涉及的风险物质主要为</w:t>
            </w:r>
            <w:r>
              <w:rPr>
                <w:rFonts w:hint="default" w:ascii="Times New Roman" w:hAnsi="Times New Roman" w:cs="Times New Roman"/>
                <w:color w:val="auto"/>
                <w:szCs w:val="21"/>
                <w:highlight w:val="none"/>
              </w:rPr>
              <w:t>机油</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助焊剂</w:t>
            </w:r>
            <w:r>
              <w:rPr>
                <w:rFonts w:hint="eastAsia"/>
                <w:bCs/>
                <w:color w:val="auto"/>
                <w:sz w:val="24"/>
                <w:highlight w:val="none"/>
                <w:lang w:val="en-US" w:eastAsia="zh-CN" w:bidi="ar"/>
              </w:rPr>
              <w:t>、稀释剂。</w:t>
            </w:r>
          </w:p>
          <w:p>
            <w:pPr>
              <w:pStyle w:val="54"/>
              <w:keepNext w:val="0"/>
              <w:widowControl/>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2、环境风险潜势初判</w:t>
            </w:r>
          </w:p>
          <w:p>
            <w:pPr>
              <w:pStyle w:val="54"/>
              <w:keepNext w:val="0"/>
              <w:widowControl/>
              <w:adjustRightInd w:val="0"/>
              <w:snapToGrid w:val="0"/>
              <w:spacing w:line="360" w:lineRule="auto"/>
              <w:rPr>
                <w:rFonts w:hint="default" w:ascii="Times New Roman" w:hAnsi="Times New Roman" w:cs="Times New Roman"/>
                <w:color w:val="auto"/>
                <w:szCs w:val="21"/>
                <w:highlight w:val="none"/>
              </w:rPr>
            </w:pPr>
            <w:bookmarkStart w:id="7" w:name="_Toc14038"/>
            <w:r>
              <w:rPr>
                <w:rFonts w:hint="default" w:ascii="Times New Roman" w:hAnsi="Times New Roman" w:cs="Times New Roman"/>
                <w:color w:val="auto"/>
                <w:szCs w:val="21"/>
                <w:highlight w:val="none"/>
              </w:rPr>
              <w:t>当只涉及一种危险物质时，计算该物质的总量与其临界量比值，即为Q；</w:t>
            </w:r>
          </w:p>
          <w:p>
            <w:pPr>
              <w:pStyle w:val="54"/>
              <w:keepNext w:val="0"/>
              <w:widowControl/>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当存在多种危险物质时，则按下式计算物质总量与其临界量比值（Q）；</w:t>
            </w:r>
          </w:p>
          <w:bookmarkEnd w:id="7"/>
          <w:p>
            <w:pPr>
              <w:pStyle w:val="54"/>
              <w:keepNext w:val="0"/>
              <w:widowControl/>
              <w:adjustRightInd w:val="0"/>
              <w:snapToGrid w:val="0"/>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957070" cy="605790"/>
                  <wp:effectExtent l="0" t="0" r="508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1"/>
                          <a:stretch>
                            <a:fillRect/>
                          </a:stretch>
                        </pic:blipFill>
                        <pic:spPr>
                          <a:xfrm>
                            <a:off x="0" y="0"/>
                            <a:ext cx="1957070" cy="605790"/>
                          </a:xfrm>
                          <a:prstGeom prst="rect">
                            <a:avLst/>
                          </a:prstGeom>
                          <a:noFill/>
                          <a:ln>
                            <a:noFill/>
                          </a:ln>
                        </pic:spPr>
                      </pic:pic>
                    </a:graphicData>
                  </a:graphic>
                </wp:inline>
              </w:drawing>
            </w:r>
          </w:p>
          <w:p>
            <w:pPr>
              <w:pStyle w:val="54"/>
              <w:keepNext w:val="0"/>
              <w:widowControl/>
              <w:adjustRightInd w:val="0"/>
              <w:snapToGrid w:val="0"/>
              <w:spacing w:line="360" w:lineRule="auto"/>
              <w:rPr>
                <w:rFonts w:hint="default" w:ascii="Times New Roman" w:hAnsi="Times New Roman" w:cs="Times New Roman"/>
                <w:color w:val="auto"/>
                <w:szCs w:val="21"/>
                <w:highlight w:val="none"/>
              </w:rPr>
            </w:pPr>
            <w:bookmarkStart w:id="8" w:name="_Toc12077"/>
            <w:r>
              <w:rPr>
                <w:rFonts w:hint="default" w:ascii="Times New Roman" w:hAnsi="Times New Roman" w:cs="Times New Roman"/>
                <w:color w:val="auto"/>
                <w:szCs w:val="21"/>
                <w:highlight w:val="none"/>
              </w:rPr>
              <w:t>式中：q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——每种危险物质的最大存在总量，t；</w:t>
            </w:r>
            <w:bookmarkEnd w:id="8"/>
          </w:p>
          <w:p>
            <w:pPr>
              <w:pStyle w:val="54"/>
              <w:keepNext w:val="0"/>
              <w:widowControl/>
              <w:adjustRightInd w:val="0"/>
              <w:snapToGrid w:val="0"/>
              <w:spacing w:line="360" w:lineRule="auto"/>
              <w:ind w:firstLine="1200" w:firstLineChars="500"/>
              <w:rPr>
                <w:rFonts w:hint="default" w:ascii="Times New Roman" w:hAnsi="Times New Roman" w:cs="Times New Roman"/>
                <w:color w:val="auto"/>
                <w:szCs w:val="21"/>
                <w:highlight w:val="none"/>
              </w:rPr>
            </w:pPr>
            <w:bookmarkStart w:id="9" w:name="_Toc31857"/>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——每种危险风险物质的临界量，t。</w:t>
            </w:r>
            <w:bookmarkEnd w:id="9"/>
          </w:p>
          <w:p>
            <w:pPr>
              <w:pStyle w:val="54"/>
              <w:keepNext w:val="0"/>
              <w:widowControl/>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当Q＜1时，该项目环境风险潜势为Ⅰ。</w:t>
            </w:r>
          </w:p>
          <w:p>
            <w:pPr>
              <w:pStyle w:val="54"/>
              <w:keepNext w:val="0"/>
              <w:widowControl/>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当Q≥1时，将Q值划分为：（1）1≤Q≤10；（2）10≤Q≤100；（3）Q≥100。</w:t>
            </w:r>
          </w:p>
          <w:p>
            <w:pPr>
              <w:pStyle w:val="55"/>
              <w:rPr>
                <w:rFonts w:hint="default" w:ascii="Times New Roman" w:hAnsi="Times New Roman" w:cs="Times New Roman"/>
                <w:color w:val="auto"/>
                <w:highlight w:val="none"/>
              </w:rPr>
            </w:pPr>
            <w:r>
              <w:rPr>
                <w:rFonts w:hint="default" w:ascii="Times New Roman" w:hAnsi="Times New Roman" w:cs="Times New Roman"/>
                <w:color w:val="auto"/>
                <w:highlight w:val="none"/>
              </w:rPr>
              <w:t>表4-1</w:t>
            </w:r>
            <w:r>
              <w:rPr>
                <w:rFonts w:hint="eastAsia" w:cs="Times New Roman"/>
                <w:color w:val="auto"/>
                <w:highlight w:val="none"/>
                <w:lang w:val="en-US" w:eastAsia="zh-CN"/>
              </w:rPr>
              <w:t>7</w:t>
            </w:r>
            <w:r>
              <w:rPr>
                <w:rFonts w:hint="default" w:ascii="Times New Roman" w:hAnsi="Times New Roman" w:cs="Times New Roman"/>
                <w:color w:val="auto"/>
                <w:highlight w:val="none"/>
              </w:rPr>
              <w:t xml:space="preserve">  项目环境风险物质最大存在总量及临界量</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916"/>
              <w:gridCol w:w="2485"/>
              <w:gridCol w:w="1277"/>
              <w:gridCol w:w="1286"/>
              <w:gridCol w:w="1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8" w:type="pct"/>
                  <w:noWrap w:val="0"/>
                  <w:vAlign w:val="center"/>
                </w:tcPr>
                <w:p>
                  <w:pPr>
                    <w:tabs>
                      <w:tab w:val="left" w:pos="786"/>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518" w:type="pct"/>
                  <w:noWrap w:val="0"/>
                  <w:vAlign w:val="center"/>
                </w:tcPr>
                <w:p>
                  <w:pPr>
                    <w:spacing w:before="24" w:after="24"/>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危险源</w:t>
                  </w:r>
                </w:p>
              </w:tc>
              <w:tc>
                <w:tcPr>
                  <w:tcW w:w="1405" w:type="pct"/>
                  <w:noWrap w:val="0"/>
                  <w:vAlign w:val="center"/>
                </w:tcPr>
                <w:p>
                  <w:pPr>
                    <w:tabs>
                      <w:tab w:val="left" w:pos="786"/>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最大储存量（t）</w:t>
                  </w:r>
                </w:p>
              </w:tc>
              <w:tc>
                <w:tcPr>
                  <w:tcW w:w="722" w:type="pct"/>
                  <w:noWrap w:val="0"/>
                  <w:vAlign w:val="center"/>
                </w:tcPr>
                <w:p>
                  <w:pPr>
                    <w:tabs>
                      <w:tab w:val="left" w:pos="786"/>
                    </w:tabs>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CAS</w:t>
                  </w:r>
                </w:p>
              </w:tc>
              <w:tc>
                <w:tcPr>
                  <w:tcW w:w="726" w:type="pct"/>
                  <w:noWrap w:val="0"/>
                  <w:vAlign w:val="center"/>
                </w:tcPr>
                <w:p>
                  <w:pPr>
                    <w:tabs>
                      <w:tab w:val="left" w:pos="786"/>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临界量（t）</w:t>
                  </w:r>
                </w:p>
              </w:tc>
              <w:tc>
                <w:tcPr>
                  <w:tcW w:w="819" w:type="pct"/>
                  <w:noWrap w:val="0"/>
                  <w:vAlign w:val="center"/>
                </w:tcPr>
                <w:p>
                  <w:pPr>
                    <w:tabs>
                      <w:tab w:val="left" w:pos="786"/>
                    </w:tabs>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8"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（助焊剂）异丙醇</w:t>
                  </w:r>
                </w:p>
              </w:tc>
              <w:tc>
                <w:tcPr>
                  <w:tcW w:w="518" w:type="pct"/>
                  <w:noWrap w:val="0"/>
                  <w:vAlign w:val="center"/>
                </w:tcPr>
                <w:p>
                  <w:pPr>
                    <w:spacing w:before="24" w:after="24"/>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仓库</w:t>
                  </w:r>
                </w:p>
              </w:tc>
              <w:tc>
                <w:tcPr>
                  <w:tcW w:w="140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5</w:t>
                  </w:r>
                </w:p>
              </w:tc>
              <w:tc>
                <w:tcPr>
                  <w:tcW w:w="722" w:type="pct"/>
                  <w:noWrap w:val="0"/>
                  <w:vAlign w:val="center"/>
                </w:tcPr>
                <w:p>
                  <w:pPr>
                    <w:widowControl/>
                    <w:jc w:val="center"/>
                    <w:textAlignment w:val="top"/>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67-63-0</w:t>
                  </w:r>
                </w:p>
              </w:tc>
              <w:tc>
                <w:tcPr>
                  <w:tcW w:w="726" w:type="pct"/>
                  <w:noWrap w:val="0"/>
                  <w:vAlign w:val="center"/>
                </w:tcPr>
                <w:p>
                  <w:pPr>
                    <w:widowControl/>
                    <w:jc w:val="center"/>
                    <w:textAlignment w:val="top"/>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p>
              </w:tc>
              <w:tc>
                <w:tcPr>
                  <w:tcW w:w="819" w:type="pct"/>
                  <w:noWrap w:val="0"/>
                  <w:vAlign w:val="center"/>
                </w:tcPr>
                <w:p>
                  <w:pPr>
                    <w:widowControl/>
                    <w:jc w:val="center"/>
                    <w:textAlignment w:val="top"/>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w:t>
                  </w:r>
                  <w:r>
                    <w:rPr>
                      <w:rFonts w:hint="eastAsia" w:cs="Times New Roman"/>
                      <w:color w:val="auto"/>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8" w:type="pct"/>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机油</w:t>
                  </w:r>
                </w:p>
              </w:tc>
              <w:tc>
                <w:tcPr>
                  <w:tcW w:w="518" w:type="pct"/>
                  <w:noWrap w:val="0"/>
                  <w:vAlign w:val="center"/>
                </w:tcPr>
                <w:p>
                  <w:pPr>
                    <w:spacing w:before="24" w:after="24"/>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厂区</w:t>
                  </w:r>
                </w:p>
              </w:tc>
              <w:tc>
                <w:tcPr>
                  <w:tcW w:w="140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0.0</w:t>
                  </w:r>
                  <w:r>
                    <w:rPr>
                      <w:rFonts w:hint="eastAsia" w:cs="Times New Roman"/>
                      <w:color w:val="auto"/>
                      <w:szCs w:val="21"/>
                      <w:highlight w:val="none"/>
                      <w:lang w:val="en-US" w:eastAsia="zh-CN"/>
                    </w:rPr>
                    <w:t>04</w:t>
                  </w:r>
                </w:p>
              </w:tc>
              <w:tc>
                <w:tcPr>
                  <w:tcW w:w="722" w:type="pct"/>
                  <w:noWrap w:val="0"/>
                  <w:vAlign w:val="center"/>
                </w:tcPr>
                <w:p>
                  <w:pPr>
                    <w:widowControl/>
                    <w:jc w:val="center"/>
                    <w:textAlignment w:val="top"/>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w:t>
                  </w:r>
                </w:p>
              </w:tc>
              <w:tc>
                <w:tcPr>
                  <w:tcW w:w="726" w:type="pct"/>
                  <w:noWrap w:val="0"/>
                  <w:vAlign w:val="center"/>
                </w:tcPr>
                <w:p>
                  <w:pPr>
                    <w:widowControl/>
                    <w:jc w:val="center"/>
                    <w:textAlignment w:val="top"/>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bidi="ar"/>
                    </w:rPr>
                    <w:t>2500</w:t>
                  </w:r>
                </w:p>
              </w:tc>
              <w:tc>
                <w:tcPr>
                  <w:tcW w:w="819" w:type="pct"/>
                  <w:noWrap w:val="0"/>
                  <w:vAlign w:val="center"/>
                </w:tcPr>
                <w:p>
                  <w:pPr>
                    <w:widowControl/>
                    <w:jc w:val="center"/>
                    <w:textAlignment w:val="top"/>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bidi="ar"/>
                    </w:rPr>
                    <w:t>0.0000</w:t>
                  </w:r>
                  <w:r>
                    <w:rPr>
                      <w:rFonts w:hint="eastAsia" w:ascii="Times New Roman" w:hAnsi="Times New Roman" w:cs="Times New Roman"/>
                      <w:color w:val="auto"/>
                      <w:kern w:val="0"/>
                      <w:szCs w:val="21"/>
                      <w:highlight w:val="none"/>
                      <w:lang w:val="en-US" w:eastAsia="zh-CN" w:bidi="ar"/>
                    </w:rPr>
                    <w:t>0</w:t>
                  </w:r>
                  <w:r>
                    <w:rPr>
                      <w:rFonts w:hint="eastAsia" w:cs="Times New Roman"/>
                      <w:color w:val="auto"/>
                      <w:kern w:val="0"/>
                      <w:szCs w:val="21"/>
                      <w:highlight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8"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（稀释剂）二甲苯</w:t>
                  </w:r>
                </w:p>
              </w:tc>
              <w:tc>
                <w:tcPr>
                  <w:tcW w:w="518" w:type="pct"/>
                  <w:noWrap w:val="0"/>
                  <w:vAlign w:val="center"/>
                </w:tcPr>
                <w:p>
                  <w:pPr>
                    <w:spacing w:before="24" w:after="24"/>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仓库</w:t>
                  </w:r>
                </w:p>
              </w:tc>
              <w:tc>
                <w:tcPr>
                  <w:tcW w:w="1405"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color w:val="auto"/>
                      <w:highlight w:val="none"/>
                      <w:lang w:val="en-US" w:eastAsia="zh-CN"/>
                    </w:rPr>
                    <w:t>0.036</w:t>
                  </w:r>
                </w:p>
              </w:tc>
              <w:tc>
                <w:tcPr>
                  <w:tcW w:w="722" w:type="pct"/>
                  <w:noWrap w:val="0"/>
                  <w:vAlign w:val="center"/>
                </w:tcPr>
                <w:p>
                  <w:pPr>
                    <w:widowControl/>
                    <w:jc w:val="center"/>
                    <w:textAlignment w:val="top"/>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1330-20-7</w:t>
                  </w:r>
                </w:p>
              </w:tc>
              <w:tc>
                <w:tcPr>
                  <w:tcW w:w="726" w:type="pct"/>
                  <w:noWrap w:val="0"/>
                  <w:vAlign w:val="center"/>
                </w:tcPr>
                <w:p>
                  <w:pPr>
                    <w:widowControl/>
                    <w:jc w:val="center"/>
                    <w:textAlignment w:val="top"/>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10</w:t>
                  </w:r>
                </w:p>
              </w:tc>
              <w:tc>
                <w:tcPr>
                  <w:tcW w:w="819" w:type="pct"/>
                  <w:noWrap w:val="0"/>
                  <w:vAlign w:val="center"/>
                </w:tcPr>
                <w:p>
                  <w:pPr>
                    <w:widowControl/>
                    <w:jc w:val="center"/>
                    <w:textAlignment w:val="top"/>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0" w:type="pct"/>
                  <w:gridSpan w:val="5"/>
                  <w:noWrap w:val="0"/>
                  <w:vAlign w:val="center"/>
                </w:tcPr>
                <w:p>
                  <w:pPr>
                    <w:widowControl/>
                    <w:jc w:val="center"/>
                    <w:textAlignment w:val="top"/>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szCs w:val="21"/>
                      <w:highlight w:val="none"/>
                      <w:lang w:eastAsia="zh-CN"/>
                    </w:rPr>
                    <w:t>合计</w:t>
                  </w:r>
                </w:p>
              </w:tc>
              <w:tc>
                <w:tcPr>
                  <w:tcW w:w="819" w:type="pct"/>
                  <w:noWrap w:val="0"/>
                  <w:vAlign w:val="center"/>
                </w:tcPr>
                <w:p>
                  <w:pPr>
                    <w:widowControl/>
                    <w:jc w:val="center"/>
                    <w:textAlignment w:val="top"/>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0.0065516</w:t>
                  </w:r>
                </w:p>
              </w:tc>
            </w:tr>
          </w:tbl>
          <w:p>
            <w:pPr>
              <w:keepNext w:val="0"/>
              <w:keepLines w:val="0"/>
              <w:pageBreakBefore w:val="0"/>
              <w:widowControl w:val="0"/>
              <w:tabs>
                <w:tab w:val="left" w:pos="786"/>
              </w:tabs>
              <w:kinsoku/>
              <w:wordWrap/>
              <w:overflowPunct/>
              <w:topLinePunct w:val="0"/>
              <w:autoSpaceDE/>
              <w:autoSpaceDN/>
              <w:bidi w:val="0"/>
              <w:adjustRightInd/>
              <w:snapToGrid/>
              <w:spacing w:before="157" w:beforeLines="50" w:line="360" w:lineRule="auto"/>
              <w:ind w:firstLine="420" w:firstLineChars="200"/>
              <w:textAlignment w:val="auto"/>
              <w:rPr>
                <w:rFonts w:hint="default" w:ascii="Times New Roman" w:hAnsi="Times New Roman" w:cs="Times New Roman"/>
                <w:b/>
                <w:color w:val="auto"/>
                <w:sz w:val="24"/>
                <w:highlight w:val="none"/>
              </w:rPr>
            </w:pPr>
            <w:r>
              <w:rPr>
                <w:rFonts w:hint="eastAsia"/>
                <w:b w:val="0"/>
                <w:bCs/>
                <w:color w:val="auto"/>
                <w:sz w:val="21"/>
                <w:szCs w:val="21"/>
                <w:highlight w:val="none"/>
                <w:lang w:val="en-US" w:eastAsia="zh-CN" w:bidi="ar"/>
              </w:rPr>
              <w:t>注：机油不在厂区内储存，存在量仅为机械设备内部的量</w:t>
            </w:r>
          </w:p>
          <w:p>
            <w:pPr>
              <w:spacing w:line="360" w:lineRule="auto"/>
              <w:ind w:firstLine="480" w:firstLineChars="200"/>
              <w:rPr>
                <w:b w:val="0"/>
                <w:bCs/>
                <w:color w:val="auto"/>
                <w:sz w:val="24"/>
                <w:highlight w:val="none"/>
                <w:lang w:bidi="ar"/>
              </w:rPr>
            </w:pPr>
            <w:r>
              <w:rPr>
                <w:rFonts w:hint="eastAsia"/>
                <w:b w:val="0"/>
                <w:bCs/>
                <w:color w:val="auto"/>
                <w:sz w:val="24"/>
                <w:highlight w:val="none"/>
                <w:lang w:val="en-US" w:eastAsia="zh-CN" w:bidi="ar"/>
              </w:rPr>
              <w:t>3</w:t>
            </w:r>
            <w:r>
              <w:rPr>
                <w:b w:val="0"/>
                <w:bCs/>
                <w:color w:val="auto"/>
                <w:sz w:val="24"/>
                <w:highlight w:val="none"/>
                <w:lang w:bidi="ar"/>
              </w:rPr>
              <w:t>、评价等级</w:t>
            </w:r>
          </w:p>
          <w:p>
            <w:pPr>
              <w:spacing w:line="360" w:lineRule="auto"/>
              <w:ind w:firstLine="480" w:firstLineChars="200"/>
              <w:rPr>
                <w:rFonts w:hint="eastAsia"/>
                <w:b/>
                <w:bCs/>
                <w:color w:val="auto"/>
                <w:sz w:val="24"/>
                <w:highlight w:val="none"/>
              </w:rPr>
            </w:pPr>
            <w:r>
              <w:rPr>
                <w:bCs/>
                <w:color w:val="auto"/>
                <w:sz w:val="24"/>
                <w:highlight w:val="none"/>
                <w:lang w:bidi="ar"/>
              </w:rPr>
              <w:t>按照《建设项目环境风险评价技术导则》（HJ169-2018）的等级划分标准，环境风险评价工作级别判别标准件下表。</w:t>
            </w:r>
          </w:p>
          <w:p>
            <w:pPr>
              <w:ind w:firstLine="422" w:firstLineChars="200"/>
              <w:jc w:val="center"/>
              <w:rPr>
                <w:b/>
                <w:bCs/>
                <w:color w:val="auto"/>
                <w:szCs w:val="21"/>
                <w:highlight w:val="none"/>
              </w:rPr>
            </w:pPr>
            <w:r>
              <w:rPr>
                <w:rFonts w:hint="eastAsia"/>
                <w:b/>
                <w:bCs/>
                <w:color w:val="auto"/>
                <w:szCs w:val="21"/>
                <w:highlight w:val="none"/>
              </w:rPr>
              <w:t>表4-</w:t>
            </w:r>
            <w:r>
              <w:rPr>
                <w:rFonts w:hint="eastAsia"/>
                <w:b/>
                <w:bCs/>
                <w:color w:val="auto"/>
                <w:szCs w:val="21"/>
                <w:highlight w:val="none"/>
                <w:lang w:val="en-US" w:eastAsia="zh-CN"/>
              </w:rPr>
              <w:t>18</w:t>
            </w:r>
            <w:r>
              <w:rPr>
                <w:rFonts w:hint="eastAsia"/>
                <w:b/>
                <w:bCs/>
                <w:color w:val="auto"/>
                <w:szCs w:val="21"/>
                <w:highlight w:val="none"/>
              </w:rPr>
              <w:t xml:space="preserve">  风险评价工作级别表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03"/>
              <w:gridCol w:w="1636"/>
              <w:gridCol w:w="1636"/>
              <w:gridCol w:w="1635"/>
              <w:gridCol w:w="16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02"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t>环境风险潜势</w:t>
                  </w:r>
                </w:p>
              </w:tc>
              <w:tc>
                <w:tcPr>
                  <w:tcW w:w="925"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fldChar w:fldCharType="begin"/>
                  </w:r>
                  <w:r>
                    <w:rPr>
                      <w:rFonts w:hint="eastAsia"/>
                      <w:color w:val="auto"/>
                      <w:szCs w:val="21"/>
                      <w:highlight w:val="none"/>
                    </w:rPr>
                    <w:instrText xml:space="preserve"> = 4 \* ROMAN \* MERGEFORMAT </w:instrText>
                  </w:r>
                  <w:r>
                    <w:rPr>
                      <w:rFonts w:hint="eastAsia"/>
                      <w:color w:val="auto"/>
                      <w:szCs w:val="21"/>
                      <w:highlight w:val="none"/>
                    </w:rPr>
                    <w:fldChar w:fldCharType="separate"/>
                  </w:r>
                  <w:r>
                    <w:rPr>
                      <w:rFonts w:hint="eastAsia"/>
                      <w:color w:val="auto"/>
                      <w:szCs w:val="21"/>
                      <w:highlight w:val="none"/>
                    </w:rPr>
                    <w:t>IV</w:t>
                  </w:r>
                  <w:r>
                    <w:rPr>
                      <w:rFonts w:hint="eastAsia"/>
                      <w:color w:val="auto"/>
                      <w:szCs w:val="21"/>
                      <w:highlight w:val="none"/>
                    </w:rPr>
                    <w:fldChar w:fldCharType="end"/>
                  </w:r>
                  <w:r>
                    <w:rPr>
                      <w:rFonts w:hint="eastAsia"/>
                      <w:color w:val="auto"/>
                      <w:szCs w:val="21"/>
                      <w:highlight w:val="none"/>
                    </w:rPr>
                    <w:t>、</w:t>
                  </w:r>
                  <w:r>
                    <w:rPr>
                      <w:rFonts w:hint="eastAsia"/>
                      <w:color w:val="auto"/>
                      <w:szCs w:val="21"/>
                      <w:highlight w:val="none"/>
                    </w:rPr>
                    <w:fldChar w:fldCharType="begin"/>
                  </w:r>
                  <w:r>
                    <w:rPr>
                      <w:rFonts w:hint="eastAsia"/>
                      <w:color w:val="auto"/>
                      <w:szCs w:val="21"/>
                      <w:highlight w:val="none"/>
                    </w:rPr>
                    <w:instrText xml:space="preserve"> = 4 \* ROMAN \* MERGEFORMAT </w:instrText>
                  </w:r>
                  <w:r>
                    <w:rPr>
                      <w:rFonts w:hint="eastAsia"/>
                      <w:color w:val="auto"/>
                      <w:szCs w:val="21"/>
                      <w:highlight w:val="none"/>
                    </w:rPr>
                    <w:fldChar w:fldCharType="separate"/>
                  </w:r>
                  <w:r>
                    <w:rPr>
                      <w:rFonts w:hint="eastAsia"/>
                      <w:color w:val="auto"/>
                      <w:szCs w:val="21"/>
                      <w:highlight w:val="none"/>
                    </w:rPr>
                    <w:t>IV</w:t>
                  </w:r>
                  <w:r>
                    <w:rPr>
                      <w:rFonts w:hint="eastAsia"/>
                      <w:color w:val="auto"/>
                      <w:szCs w:val="21"/>
                      <w:highlight w:val="none"/>
                    </w:rPr>
                    <w:fldChar w:fldCharType="end"/>
                  </w:r>
                  <w:r>
                    <w:rPr>
                      <w:rFonts w:hint="eastAsia"/>
                      <w:color w:val="auto"/>
                      <w:szCs w:val="21"/>
                      <w:highlight w:val="none"/>
                    </w:rPr>
                    <w:t>+</w:t>
                  </w:r>
                </w:p>
              </w:tc>
              <w:tc>
                <w:tcPr>
                  <w:tcW w:w="925"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fldChar w:fldCharType="begin"/>
                  </w:r>
                  <w:r>
                    <w:rPr>
                      <w:rFonts w:hint="eastAsia"/>
                      <w:color w:val="auto"/>
                      <w:szCs w:val="21"/>
                      <w:highlight w:val="none"/>
                    </w:rPr>
                    <w:instrText xml:space="preserve"> = 3 \* ROMAN \* MERGEFORMAT </w:instrText>
                  </w:r>
                  <w:r>
                    <w:rPr>
                      <w:rFonts w:hint="eastAsia"/>
                      <w:color w:val="auto"/>
                      <w:szCs w:val="21"/>
                      <w:highlight w:val="none"/>
                    </w:rPr>
                    <w:fldChar w:fldCharType="separate"/>
                  </w:r>
                  <w:r>
                    <w:rPr>
                      <w:rFonts w:hint="eastAsia"/>
                      <w:color w:val="auto"/>
                      <w:szCs w:val="21"/>
                      <w:highlight w:val="none"/>
                    </w:rPr>
                    <w:t>III</w:t>
                  </w:r>
                  <w:r>
                    <w:rPr>
                      <w:rFonts w:hint="eastAsia"/>
                      <w:color w:val="auto"/>
                      <w:szCs w:val="21"/>
                      <w:highlight w:val="none"/>
                    </w:rPr>
                    <w:fldChar w:fldCharType="end"/>
                  </w:r>
                </w:p>
              </w:tc>
              <w:tc>
                <w:tcPr>
                  <w:tcW w:w="924"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fldChar w:fldCharType="begin"/>
                  </w:r>
                  <w:r>
                    <w:rPr>
                      <w:rFonts w:hint="eastAsia"/>
                      <w:color w:val="auto"/>
                      <w:szCs w:val="21"/>
                      <w:highlight w:val="none"/>
                    </w:rPr>
                    <w:instrText xml:space="preserve"> = 2 \* ROMAN \* MERGEFORMAT </w:instrText>
                  </w:r>
                  <w:r>
                    <w:rPr>
                      <w:rFonts w:hint="eastAsia"/>
                      <w:color w:val="auto"/>
                      <w:szCs w:val="21"/>
                      <w:highlight w:val="none"/>
                    </w:rPr>
                    <w:fldChar w:fldCharType="separate"/>
                  </w:r>
                  <w:r>
                    <w:rPr>
                      <w:rFonts w:hint="eastAsia"/>
                      <w:color w:val="auto"/>
                      <w:szCs w:val="21"/>
                      <w:highlight w:val="none"/>
                    </w:rPr>
                    <w:t>II</w:t>
                  </w:r>
                  <w:r>
                    <w:rPr>
                      <w:rFonts w:hint="eastAsia"/>
                      <w:color w:val="auto"/>
                      <w:szCs w:val="21"/>
                      <w:highlight w:val="none"/>
                    </w:rPr>
                    <w:fldChar w:fldCharType="end"/>
                  </w:r>
                </w:p>
              </w:tc>
              <w:tc>
                <w:tcPr>
                  <w:tcW w:w="922"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fldChar w:fldCharType="begin"/>
                  </w:r>
                  <w:r>
                    <w:rPr>
                      <w:rFonts w:hint="eastAsia"/>
                      <w:color w:val="auto"/>
                      <w:szCs w:val="21"/>
                      <w:highlight w:val="none"/>
                    </w:rPr>
                    <w:instrText xml:space="preserve"> = 1 \* ROMAN \* MERGEFORMAT </w:instrText>
                  </w:r>
                  <w:r>
                    <w:rPr>
                      <w:rFonts w:hint="eastAsia"/>
                      <w:color w:val="auto"/>
                      <w:szCs w:val="21"/>
                      <w:highlight w:val="none"/>
                    </w:rPr>
                    <w:fldChar w:fldCharType="separate"/>
                  </w:r>
                  <w:r>
                    <w:rPr>
                      <w:rFonts w:hint="eastAsia"/>
                      <w:color w:val="auto"/>
                      <w:szCs w:val="21"/>
                      <w:highlight w:val="none"/>
                    </w:rPr>
                    <w:t>I</w:t>
                  </w:r>
                  <w:r>
                    <w:rPr>
                      <w:rFonts w:hint="eastAsia"/>
                      <w:color w:val="auto"/>
                      <w:szCs w:val="21"/>
                      <w:highlight w:val="none"/>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02"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t>评价工作等级</w:t>
                  </w:r>
                </w:p>
              </w:tc>
              <w:tc>
                <w:tcPr>
                  <w:tcW w:w="925"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t>一</w:t>
                  </w:r>
                </w:p>
              </w:tc>
              <w:tc>
                <w:tcPr>
                  <w:tcW w:w="925"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t>二</w:t>
                  </w:r>
                </w:p>
              </w:tc>
              <w:tc>
                <w:tcPr>
                  <w:tcW w:w="924"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t>三</w:t>
                  </w:r>
                </w:p>
              </w:tc>
              <w:tc>
                <w:tcPr>
                  <w:tcW w:w="922" w:type="pct"/>
                  <w:noWrap w:val="0"/>
                  <w:vAlign w:val="center"/>
                </w:tcPr>
                <w:p>
                  <w:pPr>
                    <w:autoSpaceDE w:val="0"/>
                    <w:autoSpaceDN w:val="0"/>
                    <w:adjustRightInd w:val="0"/>
                    <w:jc w:val="center"/>
                    <w:textAlignment w:val="baseline"/>
                    <w:rPr>
                      <w:color w:val="auto"/>
                      <w:szCs w:val="21"/>
                      <w:highlight w:val="none"/>
                    </w:rPr>
                  </w:pPr>
                  <w:r>
                    <w:rPr>
                      <w:rFonts w:hint="eastAsia"/>
                      <w:color w:val="auto"/>
                      <w:szCs w:val="21"/>
                      <w:highlight w:val="none"/>
                    </w:rPr>
                    <w:t>简单分析</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highlight w:val="none"/>
              </w:rPr>
            </w:pPr>
            <w:r>
              <w:rPr>
                <w:bCs/>
                <w:color w:val="auto"/>
                <w:sz w:val="24"/>
                <w:highlight w:val="none"/>
                <w:lang w:bidi="ar"/>
              </w:rPr>
              <w:t>本项目营运过程中</w:t>
            </w:r>
            <w:r>
              <w:rPr>
                <w:rFonts w:hint="eastAsia"/>
                <w:bCs/>
                <w:color w:val="auto"/>
                <w:sz w:val="24"/>
                <w:highlight w:val="none"/>
                <w:lang w:val="en-US" w:eastAsia="zh-CN" w:bidi="ar"/>
              </w:rPr>
              <w:t>危险</w:t>
            </w:r>
            <w:r>
              <w:rPr>
                <w:bCs/>
                <w:color w:val="auto"/>
                <w:sz w:val="24"/>
                <w:highlight w:val="none"/>
                <w:lang w:bidi="ar"/>
              </w:rPr>
              <w:t>化学品储存和使用量较小，危险物质数量与临界量比值Q＜1，环境风险潜势为I。因此，本项目风险评价只需进行简单分析。</w:t>
            </w:r>
          </w:p>
          <w:p>
            <w:pPr>
              <w:widowControl/>
              <w:adjustRightInd w:val="0"/>
              <w:snapToGrid w:val="0"/>
              <w:spacing w:line="360" w:lineRule="auto"/>
              <w:ind w:firstLine="480" w:firstLineChars="200"/>
              <w:rPr>
                <w:rFonts w:hint="default" w:ascii="Times New Roman" w:hAnsi="Times New Roman" w:cs="Times New Roman"/>
                <w:b/>
                <w:bCs/>
                <w:color w:val="auto"/>
                <w:sz w:val="24"/>
                <w:highlight w:val="none"/>
              </w:rPr>
            </w:pP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b/>
                <w:bCs/>
                <w:color w:val="auto"/>
                <w:sz w:val="24"/>
                <w:highlight w:val="none"/>
              </w:rPr>
              <w:t>环境风险识别</w:t>
            </w:r>
          </w:p>
          <w:p>
            <w:pPr>
              <w:autoSpaceDE w:val="0"/>
              <w:autoSpaceDN w:val="0"/>
              <w:adjustRightInd w:val="0"/>
              <w:spacing w:line="360" w:lineRule="auto"/>
              <w:ind w:firstLine="480" w:firstLineChars="200"/>
              <w:rPr>
                <w:rFonts w:hint="default" w:ascii="Times New Roman" w:hAnsi="Times New Roman" w:cs="Times New Roman"/>
                <w:color w:val="auto"/>
                <w:kern w:val="0"/>
                <w:sz w:val="24"/>
                <w:highlight w:val="none"/>
              </w:rPr>
            </w:pPr>
            <w:r>
              <w:rPr>
                <w:rFonts w:hint="eastAsia"/>
                <w:bCs/>
                <w:color w:val="auto"/>
                <w:sz w:val="24"/>
                <w:highlight w:val="none"/>
                <w:lang w:bidi="ar"/>
              </w:rPr>
              <w:t>通过环境风险源识别，本项目涉及到的生产原料、产品以及生产过程中不涉及到重大的环境风险源。虽然项目危险物质数量未超过临界值，但是项目生产使用的</w:t>
            </w:r>
            <w:r>
              <w:rPr>
                <w:rFonts w:hint="eastAsia"/>
                <w:bCs/>
                <w:color w:val="auto"/>
                <w:sz w:val="24"/>
                <w:highlight w:val="none"/>
                <w:lang w:val="en-US" w:eastAsia="zh-CN" w:bidi="ar"/>
              </w:rPr>
              <w:t>机油、助焊剂、稀释剂</w:t>
            </w:r>
            <w:r>
              <w:rPr>
                <w:rFonts w:hint="eastAsia"/>
                <w:bCs/>
                <w:color w:val="auto"/>
                <w:sz w:val="24"/>
                <w:highlight w:val="none"/>
                <w:lang w:bidi="ar"/>
              </w:rPr>
              <w:t>属于</w:t>
            </w:r>
            <w:r>
              <w:rPr>
                <w:rFonts w:hint="eastAsia"/>
                <w:bCs/>
                <w:color w:val="auto"/>
                <w:sz w:val="24"/>
                <w:highlight w:val="none"/>
                <w:lang w:val="en-US" w:eastAsia="zh-CN" w:bidi="ar"/>
              </w:rPr>
              <w:t>易燃物</w:t>
            </w:r>
            <w:r>
              <w:rPr>
                <w:rFonts w:hint="eastAsia"/>
                <w:bCs/>
                <w:color w:val="auto"/>
                <w:sz w:val="24"/>
                <w:highlight w:val="none"/>
                <w:lang w:bidi="ar"/>
              </w:rPr>
              <w:t>，如发生泄漏及火灾事故</w:t>
            </w:r>
            <w:r>
              <w:rPr>
                <w:rFonts w:hint="eastAsia"/>
                <w:bCs/>
                <w:color w:val="auto"/>
                <w:sz w:val="24"/>
                <w:highlight w:val="none"/>
                <w:lang w:eastAsia="zh-CN" w:bidi="ar"/>
              </w:rPr>
              <w:t>，</w:t>
            </w:r>
            <w:r>
              <w:rPr>
                <w:rFonts w:hint="eastAsia"/>
                <w:bCs/>
                <w:color w:val="auto"/>
                <w:sz w:val="24"/>
                <w:highlight w:val="none"/>
                <w:lang w:bidi="ar"/>
              </w:rPr>
              <w:t>会产生少许的</w:t>
            </w:r>
            <w:r>
              <w:rPr>
                <w:rFonts w:hint="eastAsia"/>
                <w:bCs/>
                <w:color w:val="auto"/>
                <w:sz w:val="24"/>
                <w:highlight w:val="none"/>
                <w:lang w:val="en-US" w:eastAsia="zh-CN" w:bidi="ar"/>
              </w:rPr>
              <w:t>燃烧</w:t>
            </w:r>
            <w:r>
              <w:rPr>
                <w:rFonts w:hint="eastAsia"/>
                <w:bCs/>
                <w:color w:val="auto"/>
                <w:sz w:val="24"/>
                <w:highlight w:val="none"/>
                <w:lang w:bidi="ar"/>
              </w:rPr>
              <w:t>烟气，对人体造成一定的危害</w:t>
            </w:r>
            <w:r>
              <w:rPr>
                <w:rFonts w:hint="eastAsia"/>
                <w:bCs/>
                <w:color w:val="auto"/>
                <w:sz w:val="24"/>
                <w:highlight w:val="none"/>
                <w:lang w:eastAsia="zh-CN" w:bidi="ar"/>
              </w:rPr>
              <w:t>，</w:t>
            </w:r>
            <w:r>
              <w:rPr>
                <w:rFonts w:hint="eastAsia"/>
                <w:bCs/>
                <w:color w:val="auto"/>
                <w:sz w:val="24"/>
                <w:highlight w:val="none"/>
                <w:lang w:val="en-US" w:eastAsia="zh-CN" w:bidi="ar"/>
              </w:rPr>
              <w:t>同时也有可能造成爆炸</w:t>
            </w:r>
            <w:r>
              <w:rPr>
                <w:rFonts w:hint="eastAsia"/>
                <w:bCs/>
                <w:color w:val="auto"/>
                <w:sz w:val="24"/>
                <w:highlight w:val="none"/>
                <w:lang w:bidi="ar"/>
              </w:rPr>
              <w:t>。</w:t>
            </w:r>
          </w:p>
          <w:p>
            <w:pPr>
              <w:autoSpaceDE w:val="0"/>
              <w:autoSpaceDN w:val="0"/>
              <w:adjustRightIn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根据项目性质，主要可能发生的环境风险为</w:t>
            </w:r>
            <w:r>
              <w:rPr>
                <w:rFonts w:hint="eastAsia" w:cs="Times New Roman"/>
                <w:color w:val="auto"/>
                <w:kern w:val="0"/>
                <w:sz w:val="24"/>
                <w:highlight w:val="none"/>
                <w:lang w:val="en-US" w:eastAsia="zh-CN"/>
              </w:rPr>
              <w:t>泄露、</w:t>
            </w:r>
            <w:r>
              <w:rPr>
                <w:rFonts w:hint="default" w:ascii="Times New Roman" w:hAnsi="Times New Roman" w:cs="Times New Roman"/>
                <w:color w:val="auto"/>
                <w:kern w:val="0"/>
                <w:sz w:val="24"/>
                <w:highlight w:val="none"/>
              </w:rPr>
              <w:t>火灾。</w:t>
            </w:r>
          </w:p>
          <w:p>
            <w:pPr>
              <w:autoSpaceDE w:val="0"/>
              <w:autoSpaceDN w:val="0"/>
              <w:adjustRightInd w:val="0"/>
              <w:spacing w:line="360" w:lineRule="auto"/>
              <w:ind w:firstLine="480" w:firstLineChars="200"/>
              <w:rPr>
                <w:rFonts w:hint="default" w:ascii="Times New Roman" w:hAnsi="Times New Roman" w:cs="Times New Roman"/>
                <w:color w:val="auto"/>
                <w:kern w:val="0"/>
                <w:sz w:val="24"/>
                <w:highlight w:val="none"/>
              </w:rPr>
            </w:pPr>
            <w:r>
              <w:rPr>
                <w:rFonts w:hint="eastAsia"/>
                <w:bCs/>
                <w:color w:val="auto"/>
                <w:sz w:val="24"/>
                <w:highlight w:val="none"/>
                <w:lang w:eastAsia="zh-CN" w:bidi="ar"/>
              </w:rPr>
              <w:t>（</w:t>
            </w:r>
            <w:r>
              <w:rPr>
                <w:rFonts w:hint="eastAsia"/>
                <w:bCs/>
                <w:color w:val="auto"/>
                <w:sz w:val="24"/>
                <w:highlight w:val="none"/>
                <w:lang w:val="en-US" w:eastAsia="zh-CN" w:bidi="ar"/>
              </w:rPr>
              <w:t>1</w:t>
            </w:r>
            <w:r>
              <w:rPr>
                <w:rFonts w:hint="eastAsia"/>
                <w:bCs/>
                <w:color w:val="auto"/>
                <w:sz w:val="24"/>
                <w:highlight w:val="none"/>
                <w:lang w:eastAsia="zh-CN" w:bidi="ar"/>
              </w:rPr>
              <w:t>）</w:t>
            </w:r>
            <w:r>
              <w:rPr>
                <w:rFonts w:hint="eastAsia"/>
                <w:bCs/>
                <w:color w:val="auto"/>
                <w:sz w:val="24"/>
                <w:highlight w:val="none"/>
                <w:lang w:bidi="ar"/>
              </w:rPr>
              <w:t>引发</w:t>
            </w:r>
            <w:r>
              <w:rPr>
                <w:rFonts w:hint="eastAsia"/>
                <w:bCs/>
                <w:color w:val="auto"/>
                <w:sz w:val="24"/>
                <w:highlight w:val="none"/>
                <w:lang w:val="en-US" w:eastAsia="zh-CN" w:bidi="ar"/>
              </w:rPr>
              <w:t>机油、助焊剂、稀释剂泄露</w:t>
            </w:r>
            <w:r>
              <w:rPr>
                <w:rFonts w:hint="eastAsia"/>
                <w:bCs/>
                <w:color w:val="auto"/>
                <w:sz w:val="24"/>
                <w:highlight w:val="none"/>
                <w:lang w:bidi="ar"/>
              </w:rPr>
              <w:t>事故主要原因</w:t>
            </w:r>
          </w:p>
          <w:p>
            <w:pPr>
              <w:spacing w:line="360" w:lineRule="auto"/>
              <w:ind w:firstLine="480" w:firstLineChars="200"/>
              <w:rPr>
                <w:rFonts w:hint="eastAsia"/>
                <w:bCs/>
                <w:color w:val="auto"/>
                <w:sz w:val="24"/>
                <w:highlight w:val="none"/>
                <w:lang w:bidi="ar"/>
              </w:rPr>
            </w:pPr>
            <w:r>
              <w:rPr>
                <w:rFonts w:hint="eastAsia"/>
                <w:bCs/>
                <w:color w:val="auto"/>
                <w:sz w:val="24"/>
                <w:highlight w:val="none"/>
                <w:lang w:val="en-US" w:eastAsia="zh-CN" w:bidi="ar"/>
              </w:rPr>
              <w:t>1）包装</w:t>
            </w:r>
            <w:r>
              <w:rPr>
                <w:rFonts w:hint="eastAsia"/>
                <w:bCs/>
                <w:color w:val="auto"/>
                <w:sz w:val="24"/>
                <w:highlight w:val="none"/>
                <w:lang w:bidi="ar"/>
              </w:rPr>
              <w:t>罐</w:t>
            </w:r>
            <w:r>
              <w:rPr>
                <w:rFonts w:hint="eastAsia"/>
                <w:bCs/>
                <w:color w:val="auto"/>
                <w:sz w:val="24"/>
                <w:highlight w:val="none"/>
                <w:lang w:eastAsia="zh-CN" w:bidi="ar"/>
              </w:rPr>
              <w:t>、</w:t>
            </w:r>
            <w:r>
              <w:rPr>
                <w:rFonts w:hint="eastAsia"/>
                <w:bCs/>
                <w:color w:val="auto"/>
                <w:sz w:val="24"/>
                <w:highlight w:val="none"/>
                <w:lang w:val="en-US" w:eastAsia="zh-CN" w:bidi="ar"/>
              </w:rPr>
              <w:t>桶</w:t>
            </w:r>
            <w:r>
              <w:rPr>
                <w:rFonts w:hint="eastAsia"/>
                <w:bCs/>
                <w:color w:val="auto"/>
                <w:sz w:val="24"/>
                <w:highlight w:val="none"/>
                <w:lang w:bidi="ar"/>
              </w:rPr>
              <w:t>是储</w:t>
            </w:r>
            <w:r>
              <w:rPr>
                <w:rFonts w:hint="eastAsia"/>
                <w:bCs/>
                <w:color w:val="auto"/>
                <w:sz w:val="24"/>
                <w:highlight w:val="none"/>
                <w:lang w:val="en-US" w:eastAsia="zh-CN" w:bidi="ar"/>
              </w:rPr>
              <w:t>存转运</w:t>
            </w:r>
            <w:r>
              <w:rPr>
                <w:rFonts w:hint="eastAsia"/>
                <w:bCs/>
                <w:color w:val="auto"/>
                <w:sz w:val="24"/>
                <w:highlight w:val="none"/>
                <w:lang w:bidi="ar"/>
              </w:rPr>
              <w:t>的关键</w:t>
            </w:r>
            <w:r>
              <w:rPr>
                <w:rFonts w:hint="eastAsia"/>
                <w:bCs/>
                <w:color w:val="auto"/>
                <w:sz w:val="24"/>
                <w:highlight w:val="none"/>
                <w:lang w:val="en-US" w:eastAsia="zh-CN" w:bidi="ar"/>
              </w:rPr>
              <w:t>容器</w:t>
            </w:r>
            <w:r>
              <w:rPr>
                <w:rFonts w:hint="eastAsia"/>
                <w:bCs/>
                <w:color w:val="auto"/>
                <w:sz w:val="24"/>
                <w:highlight w:val="none"/>
                <w:lang w:bidi="ar"/>
              </w:rPr>
              <w:t>是事故多发部位。如</w:t>
            </w:r>
            <w:r>
              <w:rPr>
                <w:rFonts w:hint="eastAsia"/>
                <w:bCs/>
                <w:color w:val="auto"/>
                <w:sz w:val="24"/>
                <w:highlight w:val="none"/>
                <w:lang w:val="en-US" w:eastAsia="zh-CN" w:bidi="ar"/>
              </w:rPr>
              <w:t>桶、</w:t>
            </w:r>
            <w:r>
              <w:rPr>
                <w:rFonts w:hint="eastAsia"/>
                <w:bCs/>
                <w:color w:val="auto"/>
                <w:sz w:val="24"/>
                <w:highlight w:val="none"/>
                <w:lang w:bidi="ar"/>
              </w:rPr>
              <w:t>罐体变形、焊缝开裂、密封损坏等都是有可能引发泄漏事故。</w:t>
            </w:r>
          </w:p>
          <w:p>
            <w:pPr>
              <w:spacing w:line="360" w:lineRule="auto"/>
              <w:ind w:firstLine="480" w:firstLineChars="200"/>
              <w:rPr>
                <w:rFonts w:hint="eastAsia"/>
                <w:bCs/>
                <w:color w:val="auto"/>
                <w:sz w:val="24"/>
                <w:highlight w:val="none"/>
                <w:lang w:bidi="ar"/>
              </w:rPr>
            </w:pPr>
            <w:r>
              <w:rPr>
                <w:rFonts w:hint="eastAsia"/>
                <w:bCs/>
                <w:color w:val="auto"/>
                <w:sz w:val="24"/>
                <w:highlight w:val="none"/>
                <w:lang w:val="en-US" w:eastAsia="zh-CN" w:bidi="ar"/>
              </w:rPr>
              <w:t>2）</w:t>
            </w:r>
            <w:r>
              <w:rPr>
                <w:rFonts w:hint="eastAsia"/>
                <w:bCs/>
                <w:color w:val="auto"/>
                <w:sz w:val="24"/>
                <w:highlight w:val="none"/>
                <w:lang w:bidi="ar"/>
              </w:rPr>
              <w:t>由于操作人员的工作失误导致储罐</w:t>
            </w:r>
            <w:r>
              <w:rPr>
                <w:rFonts w:hint="eastAsia"/>
                <w:bCs/>
                <w:color w:val="auto"/>
                <w:sz w:val="24"/>
                <w:highlight w:val="none"/>
                <w:lang w:eastAsia="zh-CN" w:bidi="ar"/>
              </w:rPr>
              <w:t>、</w:t>
            </w:r>
            <w:r>
              <w:rPr>
                <w:rFonts w:hint="eastAsia"/>
                <w:bCs/>
                <w:color w:val="auto"/>
                <w:sz w:val="24"/>
                <w:highlight w:val="none"/>
                <w:lang w:val="en-US" w:eastAsia="zh-CN" w:bidi="ar"/>
              </w:rPr>
              <w:t>桶中</w:t>
            </w:r>
            <w:r>
              <w:rPr>
                <w:rFonts w:hint="eastAsia"/>
                <w:bCs/>
                <w:color w:val="auto"/>
                <w:sz w:val="24"/>
                <w:highlight w:val="none"/>
                <w:lang w:bidi="ar"/>
              </w:rPr>
              <w:t>储存介质外溢而引发泄漏事故。</w:t>
            </w:r>
          </w:p>
          <w:p>
            <w:pPr>
              <w:spacing w:line="360" w:lineRule="auto"/>
              <w:ind w:firstLine="480" w:firstLineChars="200"/>
              <w:rPr>
                <w:rFonts w:hint="eastAsia"/>
                <w:bCs/>
                <w:color w:val="auto"/>
                <w:sz w:val="24"/>
                <w:highlight w:val="none"/>
                <w:lang w:eastAsia="zh-CN" w:bidi="ar"/>
              </w:rPr>
            </w:pPr>
            <w:r>
              <w:rPr>
                <w:rFonts w:hint="eastAsia"/>
                <w:bCs/>
                <w:color w:val="auto"/>
                <w:sz w:val="24"/>
                <w:highlight w:val="none"/>
                <w:lang w:val="en-US" w:eastAsia="zh-CN" w:bidi="ar"/>
              </w:rPr>
              <w:t>3）</w:t>
            </w:r>
            <w:r>
              <w:rPr>
                <w:rFonts w:hint="eastAsia"/>
                <w:bCs/>
                <w:color w:val="auto"/>
                <w:sz w:val="24"/>
                <w:highlight w:val="none"/>
                <w:lang w:bidi="ar"/>
              </w:rPr>
              <w:t>在生产过程中作业不慎时产生的“跑、冒、滴、漏”现象可引发泄漏事故</w:t>
            </w:r>
            <w:r>
              <w:rPr>
                <w:rFonts w:hint="eastAsia"/>
                <w:bCs/>
                <w:color w:val="auto"/>
                <w:sz w:val="24"/>
                <w:highlight w:val="none"/>
                <w:lang w:eastAsia="zh-CN" w:bidi="ar"/>
              </w:rPr>
              <w:t>。</w:t>
            </w:r>
          </w:p>
          <w:p>
            <w:pPr>
              <w:autoSpaceDE w:val="0"/>
              <w:autoSpaceDN w:val="0"/>
              <w:adjustRightInd w:val="0"/>
              <w:spacing w:line="360" w:lineRule="auto"/>
              <w:ind w:firstLine="480" w:firstLineChars="200"/>
              <w:rPr>
                <w:rFonts w:hint="eastAsia"/>
                <w:bCs/>
                <w:color w:val="auto"/>
                <w:sz w:val="24"/>
                <w:highlight w:val="none"/>
                <w:lang w:bidi="ar"/>
              </w:rPr>
            </w:pPr>
            <w:r>
              <w:rPr>
                <w:rFonts w:hint="eastAsia"/>
                <w:bCs/>
                <w:color w:val="auto"/>
                <w:sz w:val="24"/>
                <w:highlight w:val="none"/>
                <w:lang w:val="en-US" w:eastAsia="zh-CN" w:bidi="ar"/>
              </w:rPr>
              <w:t>4）</w:t>
            </w:r>
            <w:r>
              <w:rPr>
                <w:rFonts w:hint="eastAsia"/>
                <w:bCs/>
                <w:color w:val="auto"/>
                <w:sz w:val="24"/>
                <w:highlight w:val="none"/>
                <w:lang w:bidi="ar"/>
              </w:rPr>
              <w:t>在生产过程中对</w:t>
            </w:r>
            <w:r>
              <w:rPr>
                <w:rFonts w:hint="eastAsia"/>
                <w:bCs/>
                <w:color w:val="auto"/>
                <w:sz w:val="24"/>
                <w:highlight w:val="none"/>
                <w:lang w:val="en-US" w:eastAsia="zh-CN" w:bidi="ar"/>
              </w:rPr>
              <w:t>机油、液态化学品</w:t>
            </w:r>
            <w:r>
              <w:rPr>
                <w:rFonts w:hint="eastAsia"/>
                <w:bCs/>
                <w:color w:val="auto"/>
                <w:sz w:val="24"/>
                <w:highlight w:val="none"/>
                <w:lang w:bidi="ar"/>
              </w:rPr>
              <w:t>使用不当可能引起天然气泄漏事故</w:t>
            </w:r>
          </w:p>
          <w:p>
            <w:pPr>
              <w:autoSpaceDE w:val="0"/>
              <w:autoSpaceDN w:val="0"/>
              <w:adjustRightInd w:val="0"/>
              <w:spacing w:line="360" w:lineRule="auto"/>
              <w:ind w:firstLine="480" w:firstLineChars="200"/>
              <w:rPr>
                <w:rFonts w:hint="default" w:ascii="Times New Roman" w:hAnsi="Times New Roman" w:cs="Times New Roman"/>
                <w:color w:val="auto"/>
                <w:kern w:val="0"/>
                <w:sz w:val="24"/>
                <w:highlight w:val="none"/>
              </w:rPr>
            </w:pPr>
            <w:r>
              <w:rPr>
                <w:rFonts w:hint="eastAsia"/>
                <w:bCs/>
                <w:color w:val="auto"/>
                <w:sz w:val="24"/>
                <w:highlight w:val="none"/>
                <w:lang w:eastAsia="zh-CN" w:bidi="ar"/>
              </w:rPr>
              <w:t>（</w:t>
            </w:r>
            <w:r>
              <w:rPr>
                <w:rFonts w:hint="eastAsia"/>
                <w:bCs/>
                <w:color w:val="auto"/>
                <w:sz w:val="24"/>
                <w:highlight w:val="none"/>
                <w:lang w:val="en-US" w:eastAsia="zh-CN" w:bidi="ar"/>
              </w:rPr>
              <w:t>2</w:t>
            </w:r>
            <w:r>
              <w:rPr>
                <w:rFonts w:hint="eastAsia"/>
                <w:bCs/>
                <w:color w:val="auto"/>
                <w:sz w:val="24"/>
                <w:highlight w:val="none"/>
                <w:lang w:eastAsia="zh-CN" w:bidi="ar"/>
              </w:rPr>
              <w:t>）</w:t>
            </w:r>
            <w:r>
              <w:rPr>
                <w:rFonts w:hint="eastAsia"/>
                <w:bCs/>
                <w:color w:val="auto"/>
                <w:sz w:val="24"/>
                <w:highlight w:val="none"/>
                <w:lang w:bidi="ar"/>
              </w:rPr>
              <w:t>引发火灾事故的主要原因</w:t>
            </w:r>
          </w:p>
          <w:p>
            <w:pPr>
              <w:autoSpaceDE w:val="0"/>
              <w:autoSpaceDN w:val="0"/>
              <w:adjustRightInd w:val="0"/>
              <w:spacing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）工人抽烟，乱扔烟头，导致火灾；</w:t>
            </w:r>
          </w:p>
          <w:p>
            <w:pPr>
              <w:autoSpaceDE w:val="0"/>
              <w:autoSpaceDN w:val="0"/>
              <w:adjustRightInd w:val="0"/>
              <w:spacing w:line="360" w:lineRule="auto"/>
              <w:ind w:firstLine="480" w:firstLineChars="200"/>
              <w:rPr>
                <w:rFonts w:hint="default" w:ascii="Times New Roman" w:hAnsi="Times New Roman" w:cs="Times New Roman"/>
                <w:b/>
                <w:bCs/>
                <w:color w:val="auto"/>
                <w:highlight w:val="none"/>
              </w:rPr>
            </w:pP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）机油</w:t>
            </w:r>
            <w:r>
              <w:rPr>
                <w:rFonts w:hint="default"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稀释剂</w:t>
            </w:r>
            <w:r>
              <w:rPr>
                <w:rFonts w:hint="eastAsia" w:cs="Times New Roman"/>
                <w:color w:val="auto"/>
                <w:kern w:val="0"/>
                <w:sz w:val="24"/>
                <w:highlight w:val="none"/>
                <w:lang w:val="en-US" w:eastAsia="zh-CN"/>
              </w:rPr>
              <w:t>、助焊剂等</w:t>
            </w:r>
            <w:r>
              <w:rPr>
                <w:rFonts w:hint="default" w:ascii="Times New Roman" w:hAnsi="Times New Roman" w:cs="Times New Roman"/>
                <w:color w:val="auto"/>
                <w:kern w:val="0"/>
                <w:sz w:val="24"/>
                <w:highlight w:val="none"/>
              </w:rPr>
              <w:t>使用不规范，遇明火造成的火灾。</w:t>
            </w:r>
          </w:p>
          <w:p>
            <w:pPr>
              <w:numPr>
                <w:ilvl w:val="0"/>
                <w:numId w:val="0"/>
              </w:numPr>
              <w:spacing w:line="360" w:lineRule="auto"/>
              <w:ind w:firstLine="480" w:firstLineChars="200"/>
              <w:rPr>
                <w:rFonts w:hint="eastAsia"/>
                <w:bCs/>
                <w:color w:val="auto"/>
                <w:sz w:val="24"/>
                <w:highlight w:val="none"/>
                <w:lang w:val="en-US" w:eastAsia="zh-CN" w:bidi="ar"/>
              </w:rPr>
            </w:pPr>
            <w:r>
              <w:rPr>
                <w:rFonts w:hint="eastAsia"/>
                <w:bCs/>
                <w:color w:val="auto"/>
                <w:sz w:val="24"/>
                <w:highlight w:val="none"/>
                <w:lang w:val="en-US" w:eastAsia="zh-CN" w:bidi="ar"/>
              </w:rPr>
              <w:t>（3）机油事故泄漏对环境的影响</w:t>
            </w:r>
          </w:p>
          <w:p>
            <w:pPr>
              <w:spacing w:line="360" w:lineRule="auto"/>
              <w:ind w:firstLine="480" w:firstLineChars="200"/>
              <w:rPr>
                <w:rFonts w:hint="eastAsia" w:eastAsia="宋体"/>
                <w:bCs/>
                <w:color w:val="auto"/>
                <w:sz w:val="24"/>
                <w:highlight w:val="none"/>
                <w:lang w:eastAsia="zh-CN" w:bidi="ar"/>
              </w:rPr>
            </w:pPr>
            <w:r>
              <w:rPr>
                <w:rFonts w:hint="eastAsia"/>
                <w:bCs/>
                <w:color w:val="auto"/>
                <w:sz w:val="24"/>
                <w:highlight w:val="none"/>
                <w:lang w:val="en-US" w:eastAsia="zh-CN" w:bidi="ar"/>
              </w:rPr>
              <w:t>上述物质发生泄漏之后，</w:t>
            </w:r>
            <w:r>
              <w:rPr>
                <w:rFonts w:hint="eastAsia"/>
                <w:bCs/>
                <w:color w:val="auto"/>
                <w:sz w:val="24"/>
                <w:highlight w:val="none"/>
                <w:lang w:bidi="ar"/>
              </w:rPr>
              <w:t>渗漏出来的</w:t>
            </w:r>
            <w:r>
              <w:rPr>
                <w:rFonts w:hint="eastAsia"/>
                <w:bCs/>
                <w:color w:val="auto"/>
                <w:sz w:val="24"/>
                <w:highlight w:val="none"/>
                <w:lang w:val="en-US" w:eastAsia="zh-CN" w:bidi="ar"/>
              </w:rPr>
              <w:t>机</w:t>
            </w:r>
            <w:r>
              <w:rPr>
                <w:rFonts w:hint="eastAsia"/>
                <w:bCs/>
                <w:color w:val="auto"/>
                <w:sz w:val="24"/>
                <w:highlight w:val="none"/>
                <w:lang w:bidi="ar"/>
              </w:rPr>
              <w:t>油</w:t>
            </w:r>
            <w:r>
              <w:rPr>
                <w:rFonts w:hint="eastAsia"/>
                <w:bCs/>
                <w:color w:val="auto"/>
                <w:sz w:val="24"/>
                <w:highlight w:val="none"/>
                <w:lang w:val="en-US" w:eastAsia="zh-CN" w:bidi="ar"/>
              </w:rPr>
              <w:t>最坏假设全部</w:t>
            </w:r>
            <w:r>
              <w:rPr>
                <w:rFonts w:hint="eastAsia"/>
                <w:bCs/>
                <w:color w:val="auto"/>
                <w:sz w:val="24"/>
                <w:highlight w:val="none"/>
                <w:lang w:bidi="ar"/>
              </w:rPr>
              <w:t>进入环境</w:t>
            </w:r>
            <w:r>
              <w:rPr>
                <w:rFonts w:hint="eastAsia"/>
                <w:bCs/>
                <w:color w:val="auto"/>
                <w:sz w:val="24"/>
                <w:highlight w:val="none"/>
                <w:lang w:eastAsia="zh-CN" w:bidi="ar"/>
              </w:rPr>
              <w:t>，</w:t>
            </w:r>
            <w:r>
              <w:rPr>
                <w:rFonts w:hint="eastAsia"/>
                <w:bCs/>
                <w:color w:val="auto"/>
                <w:sz w:val="24"/>
                <w:highlight w:val="none"/>
                <w:lang w:bidi="ar"/>
              </w:rPr>
              <w:t>对河流、土壤、生物造成毁灭性的污染。这种污染一般范围较广、面积较大、后果较为严重，自然环境的完全恢复需相当长的时间</w:t>
            </w:r>
            <w:r>
              <w:rPr>
                <w:rFonts w:hint="eastAsia"/>
                <w:bCs/>
                <w:color w:val="auto"/>
                <w:sz w:val="24"/>
                <w:highlight w:val="none"/>
                <w:lang w:eastAsia="zh-CN" w:bidi="ar"/>
              </w:rPr>
              <w:t>。</w:t>
            </w:r>
          </w:p>
          <w:p>
            <w:pPr>
              <w:numPr>
                <w:ilvl w:val="0"/>
                <w:numId w:val="0"/>
              </w:numPr>
              <w:spacing w:line="360" w:lineRule="auto"/>
              <w:ind w:firstLine="480" w:firstLineChars="200"/>
              <w:rPr>
                <w:rFonts w:hint="eastAsia"/>
                <w:bCs/>
                <w:color w:val="auto"/>
                <w:sz w:val="24"/>
                <w:highlight w:val="none"/>
                <w:lang w:val="en-US" w:eastAsia="zh-CN" w:bidi="ar"/>
              </w:rPr>
            </w:pPr>
            <w:r>
              <w:rPr>
                <w:rFonts w:hint="eastAsia"/>
                <w:bCs/>
                <w:color w:val="auto"/>
                <w:sz w:val="24"/>
                <w:highlight w:val="none"/>
                <w:lang w:val="en-US" w:eastAsia="zh-CN" w:bidi="ar"/>
              </w:rPr>
              <w:t>（4）助焊剂事故泄漏对环境的影响</w:t>
            </w:r>
          </w:p>
          <w:p>
            <w:pPr>
              <w:pStyle w:val="37"/>
              <w:ind w:firstLine="482"/>
              <w:rPr>
                <w:rFonts w:hint="default" w:ascii="Times New Roman" w:hAnsi="Times New Roman" w:cs="Times New Roman"/>
                <w:b/>
                <w:bCs/>
                <w:color w:val="auto"/>
                <w:highlight w:val="none"/>
              </w:rPr>
            </w:pPr>
            <w:r>
              <w:rPr>
                <w:rFonts w:hint="eastAsia" w:cs="Times New Roman"/>
                <w:b w:val="0"/>
                <w:bCs w:val="0"/>
                <w:color w:val="auto"/>
                <w:highlight w:val="none"/>
                <w:lang w:val="en-US" w:eastAsia="zh-CN"/>
              </w:rPr>
              <w:t>助焊剂里面的主要成分为异丙醇，该物质</w:t>
            </w:r>
            <w:r>
              <w:rPr>
                <w:rFonts w:hint="default" w:ascii="Times New Roman" w:hAnsi="Times New Roman" w:cs="Times New Roman"/>
                <w:b w:val="0"/>
                <w:bCs w:val="0"/>
                <w:color w:val="auto"/>
                <w:highlight w:val="none"/>
              </w:rPr>
              <w:t>易燃，其蒸气与空气可形成爆炸性混合物。遇明火、高热能引起燃烧爆炸。与氧化剂接触会猛烈反应。在火场中，受热的容器有爆炸危险。其蒸气比空气重，能在较低处扩散到相当远的地方，遇明火会引着回燃。</w:t>
            </w:r>
          </w:p>
          <w:p>
            <w:pPr>
              <w:spacing w:line="360" w:lineRule="auto"/>
              <w:ind w:firstLine="480" w:firstLineChars="200"/>
              <w:rPr>
                <w:rFonts w:hint="eastAsia"/>
                <w:bCs/>
                <w:color w:val="auto"/>
                <w:sz w:val="24"/>
                <w:highlight w:val="none"/>
                <w:lang w:val="en-US" w:eastAsia="zh-CN" w:bidi="ar"/>
              </w:rPr>
            </w:pPr>
            <w:r>
              <w:rPr>
                <w:rFonts w:hint="eastAsia"/>
                <w:bCs/>
                <w:color w:val="auto"/>
                <w:sz w:val="24"/>
                <w:highlight w:val="none"/>
                <w:lang w:val="en-US" w:eastAsia="zh-CN" w:bidi="ar"/>
              </w:rPr>
              <w:t>（5）稀释剂事故泄漏对环境的影响</w:t>
            </w:r>
          </w:p>
          <w:p>
            <w:pPr>
              <w:spacing w:line="360" w:lineRule="auto"/>
              <w:ind w:firstLine="480" w:firstLineChars="200"/>
              <w:rPr>
                <w:rFonts w:hint="eastAsia"/>
                <w:color w:val="auto"/>
                <w:highlight w:val="none"/>
              </w:rPr>
            </w:pPr>
            <w:r>
              <w:rPr>
                <w:rFonts w:hint="eastAsia" w:cs="Times New Roman"/>
                <w:b w:val="0"/>
                <w:bCs w:val="0"/>
                <w:color w:val="auto"/>
                <w:sz w:val="24"/>
                <w:szCs w:val="24"/>
                <w:highlight w:val="none"/>
                <w:lang w:val="en-US" w:eastAsia="zh-CN"/>
              </w:rPr>
              <w:t>稀释剂里面</w:t>
            </w:r>
            <w:r>
              <w:rPr>
                <w:rFonts w:hint="eastAsia" w:ascii="Times New Roman" w:hAnsi="Times New Roman" w:cs="Times New Roman"/>
                <w:b w:val="0"/>
                <w:bCs/>
                <w:color w:val="auto"/>
                <w:sz w:val="24"/>
                <w:highlight w:val="none"/>
                <w:lang w:val="en-US" w:eastAsia="zh-CN"/>
              </w:rPr>
              <w:t>25%-35</w:t>
            </w:r>
            <w:r>
              <w:rPr>
                <w:rFonts w:hint="default" w:ascii="Times New Roman" w:hAnsi="Times New Roman" w:cs="Times New Roman"/>
                <w:b w:val="0"/>
                <w:bCs/>
                <w:color w:val="auto"/>
                <w:sz w:val="24"/>
                <w:highlight w:val="none"/>
              </w:rPr>
              <w:t>％</w:t>
            </w:r>
            <w:r>
              <w:rPr>
                <w:rFonts w:hint="eastAsia" w:cs="Times New Roman"/>
                <w:b w:val="0"/>
                <w:bCs w:val="0"/>
                <w:color w:val="auto"/>
                <w:sz w:val="24"/>
                <w:szCs w:val="24"/>
                <w:highlight w:val="none"/>
                <w:lang w:val="en-US" w:eastAsia="zh-CN"/>
              </w:rPr>
              <w:t>成分为二甲苯，该物质易燃，其蒸气与空气可形成爆炸性混合物。遇明火、高热能引起燃烧爆炸。与氧化剂能发生强烈反应。流速过快，容易产生和积聚静电。其蒸气比空气重，能在较低处扩散到相当远的地方，遇明火会引着回燃。</w:t>
            </w:r>
          </w:p>
          <w:p>
            <w:pPr>
              <w:spacing w:line="360" w:lineRule="auto"/>
              <w:ind w:firstLine="482" w:firstLineChars="200"/>
              <w:rPr>
                <w:b/>
                <w:color w:val="auto"/>
                <w:sz w:val="24"/>
                <w:highlight w:val="none"/>
                <w:lang w:bidi="ar"/>
              </w:rPr>
            </w:pPr>
            <w:r>
              <w:rPr>
                <w:rFonts w:hint="eastAsia"/>
                <w:b/>
                <w:color w:val="auto"/>
                <w:sz w:val="24"/>
                <w:highlight w:val="none"/>
                <w:lang w:bidi="ar"/>
              </w:rPr>
              <w:t>4、</w:t>
            </w:r>
            <w:r>
              <w:rPr>
                <w:b/>
                <w:color w:val="auto"/>
                <w:sz w:val="24"/>
                <w:highlight w:val="none"/>
                <w:lang w:bidi="ar"/>
              </w:rPr>
              <w:t>环境风险分析</w:t>
            </w:r>
          </w:p>
          <w:p>
            <w:pPr>
              <w:pStyle w:val="37"/>
              <w:ind w:firstLine="482"/>
              <w:rPr>
                <w:rFonts w:hint="default" w:ascii="Times New Roman" w:hAnsi="Times New Roman" w:cs="Times New Roman"/>
                <w:b/>
                <w:bCs/>
                <w:color w:val="auto"/>
                <w:highlight w:val="none"/>
              </w:rPr>
            </w:pPr>
            <w:r>
              <w:rPr>
                <w:bCs/>
                <w:color w:val="auto"/>
                <w:sz w:val="24"/>
                <w:highlight w:val="none"/>
                <w:lang w:bidi="ar"/>
              </w:rPr>
              <w:t>根据大气环境影响分析，大气污染物主要为</w:t>
            </w:r>
            <w:r>
              <w:rPr>
                <w:rFonts w:hint="eastAsia"/>
                <w:bCs/>
                <w:color w:val="auto"/>
                <w:sz w:val="24"/>
                <w:highlight w:val="none"/>
                <w:lang w:val="en-US" w:eastAsia="zh-CN" w:bidi="ar"/>
              </w:rPr>
              <w:t>VOCs</w:t>
            </w:r>
            <w:r>
              <w:rPr>
                <w:rFonts w:hint="eastAsia"/>
                <w:bCs/>
                <w:color w:val="auto"/>
                <w:sz w:val="24"/>
                <w:highlight w:val="none"/>
                <w:lang w:bidi="ar"/>
              </w:rPr>
              <w:t>、</w:t>
            </w:r>
            <w:r>
              <w:rPr>
                <w:rFonts w:hint="eastAsia"/>
                <w:bCs/>
                <w:color w:val="auto"/>
                <w:sz w:val="24"/>
                <w:highlight w:val="none"/>
                <w:lang w:val="en-US" w:eastAsia="zh-CN" w:bidi="ar"/>
              </w:rPr>
              <w:t>二甲苯、</w:t>
            </w:r>
            <w:r>
              <w:rPr>
                <w:rFonts w:hint="eastAsia"/>
                <w:bCs/>
                <w:color w:val="auto"/>
                <w:sz w:val="24"/>
                <w:highlight w:val="none"/>
                <w:lang w:bidi="ar"/>
              </w:rPr>
              <w:t>颗粒物</w:t>
            </w:r>
            <w:r>
              <w:rPr>
                <w:bCs/>
                <w:color w:val="auto"/>
                <w:sz w:val="24"/>
                <w:highlight w:val="none"/>
                <w:lang w:bidi="ar"/>
              </w:rPr>
              <w:t>，由</w:t>
            </w:r>
            <w:r>
              <w:rPr>
                <w:rFonts w:hint="eastAsia"/>
                <w:bCs/>
                <w:color w:val="auto"/>
                <w:sz w:val="24"/>
                <w:highlight w:val="none"/>
                <w:lang w:bidi="ar"/>
              </w:rPr>
              <w:t>废气处理装置</w:t>
            </w:r>
            <w:r>
              <w:rPr>
                <w:bCs/>
                <w:color w:val="auto"/>
                <w:sz w:val="24"/>
                <w:highlight w:val="none"/>
                <w:lang w:bidi="ar"/>
              </w:rPr>
              <w:t>处理后达标排放；项目营运期</w:t>
            </w:r>
            <w:r>
              <w:rPr>
                <w:rFonts w:hint="eastAsia"/>
                <w:bCs/>
                <w:color w:val="auto"/>
                <w:sz w:val="24"/>
                <w:highlight w:val="none"/>
                <w:lang w:val="en-US" w:eastAsia="zh-CN" w:bidi="ar"/>
              </w:rPr>
              <w:t>生活污水</w:t>
            </w:r>
            <w:r>
              <w:rPr>
                <w:bCs/>
                <w:color w:val="auto"/>
                <w:sz w:val="24"/>
                <w:highlight w:val="none"/>
                <w:lang w:bidi="ar"/>
              </w:rPr>
              <w:t>经预处理池处理后进入管网，间接进入地表水体，不会对地表水体造成直接影响；项目对地下水环境影响主要为物质泄漏，按照污染的轻重分别设置防渗措施，在采取以上防渗措施及废水收集、处置措施后，能有效地防止对区域地下水的影响。</w:t>
            </w:r>
          </w:p>
          <w:p>
            <w:pPr>
              <w:spacing w:line="360" w:lineRule="auto"/>
              <w:ind w:firstLine="482" w:firstLineChars="200"/>
              <w:rPr>
                <w:rFonts w:hint="eastAsia"/>
                <w:b/>
                <w:color w:val="auto"/>
                <w:sz w:val="24"/>
                <w:highlight w:val="none"/>
                <w:lang w:bidi="ar"/>
              </w:rPr>
            </w:pPr>
            <w:r>
              <w:rPr>
                <w:rFonts w:hint="eastAsia"/>
                <w:b/>
                <w:color w:val="auto"/>
                <w:sz w:val="24"/>
                <w:highlight w:val="none"/>
                <w:lang w:bidi="ar"/>
              </w:rPr>
              <w:t>本项目的环境风险为：</w:t>
            </w:r>
          </w:p>
          <w:p>
            <w:pPr>
              <w:spacing w:line="360" w:lineRule="auto"/>
              <w:ind w:firstLine="480" w:firstLineChars="200"/>
              <w:rPr>
                <w:rFonts w:hint="eastAsia"/>
                <w:bCs/>
                <w:color w:val="auto"/>
                <w:sz w:val="24"/>
                <w:highlight w:val="none"/>
                <w:lang w:bidi="ar"/>
              </w:rPr>
            </w:pPr>
            <w:r>
              <w:rPr>
                <w:rFonts w:hint="eastAsia"/>
                <w:bCs/>
                <w:color w:val="auto"/>
                <w:sz w:val="24"/>
                <w:highlight w:val="none"/>
                <w:lang w:bidi="ar"/>
              </w:rPr>
              <w:t>①</w:t>
            </w:r>
            <w:r>
              <w:rPr>
                <w:rFonts w:hint="eastAsia"/>
                <w:bCs/>
                <w:color w:val="auto"/>
                <w:sz w:val="24"/>
                <w:highlight w:val="none"/>
                <w:lang w:val="en-US" w:eastAsia="zh-CN" w:bidi="ar"/>
              </w:rPr>
              <w:t>机油</w:t>
            </w:r>
            <w:r>
              <w:rPr>
                <w:rFonts w:hint="eastAsia"/>
                <w:bCs/>
                <w:color w:val="auto"/>
                <w:sz w:val="24"/>
                <w:highlight w:val="none"/>
                <w:lang w:eastAsia="zh-CN" w:bidi="ar"/>
              </w:rPr>
              <w:t>、</w:t>
            </w:r>
            <w:r>
              <w:rPr>
                <w:rFonts w:hint="eastAsia"/>
                <w:bCs/>
                <w:color w:val="auto"/>
                <w:sz w:val="24"/>
                <w:highlight w:val="none"/>
                <w:lang w:val="en-US" w:eastAsia="zh-CN" w:bidi="ar"/>
              </w:rPr>
              <w:t>助焊剂、稀释剂的</w:t>
            </w:r>
            <w:r>
              <w:rPr>
                <w:rFonts w:hint="eastAsia"/>
                <w:bCs/>
                <w:color w:val="auto"/>
                <w:sz w:val="24"/>
                <w:highlight w:val="none"/>
                <w:lang w:bidi="ar"/>
              </w:rPr>
              <w:t>泄露风险；</w:t>
            </w:r>
          </w:p>
          <w:p>
            <w:pPr>
              <w:spacing w:line="360" w:lineRule="auto"/>
              <w:ind w:firstLine="480" w:firstLineChars="200"/>
              <w:rPr>
                <w:rFonts w:hint="eastAsia" w:eastAsia="宋体"/>
                <w:bCs/>
                <w:color w:val="auto"/>
                <w:sz w:val="24"/>
                <w:highlight w:val="none"/>
                <w:lang w:eastAsia="zh-CN" w:bidi="ar"/>
              </w:rPr>
            </w:pPr>
            <w:r>
              <w:rPr>
                <w:rFonts w:hint="eastAsia"/>
                <w:bCs/>
                <w:color w:val="auto"/>
                <w:sz w:val="24"/>
                <w:highlight w:val="none"/>
                <w:lang w:bidi="ar"/>
              </w:rPr>
              <w:t>②火灾风险</w:t>
            </w:r>
            <w:r>
              <w:rPr>
                <w:rFonts w:hint="eastAsia"/>
                <w:bCs/>
                <w:color w:val="auto"/>
                <w:sz w:val="24"/>
                <w:highlight w:val="none"/>
                <w:lang w:eastAsia="zh-CN" w:bidi="ar"/>
              </w:rPr>
              <w:t>；</w:t>
            </w:r>
          </w:p>
          <w:p>
            <w:pPr>
              <w:spacing w:line="360" w:lineRule="auto"/>
              <w:ind w:firstLine="482" w:firstLineChars="200"/>
              <w:rPr>
                <w:b/>
                <w:color w:val="auto"/>
                <w:sz w:val="24"/>
                <w:highlight w:val="none"/>
                <w:lang w:bidi="ar"/>
              </w:rPr>
            </w:pPr>
            <w:r>
              <w:rPr>
                <w:rFonts w:hint="eastAsia"/>
                <w:b/>
                <w:color w:val="auto"/>
                <w:sz w:val="24"/>
                <w:highlight w:val="none"/>
                <w:lang w:bidi="ar"/>
              </w:rPr>
              <w:t>5、</w:t>
            </w:r>
            <w:r>
              <w:rPr>
                <w:b/>
                <w:color w:val="auto"/>
                <w:sz w:val="24"/>
                <w:highlight w:val="none"/>
                <w:lang w:bidi="ar"/>
              </w:rPr>
              <w:t>风险防范措施及应急要求</w:t>
            </w:r>
          </w:p>
          <w:p>
            <w:pPr>
              <w:spacing w:line="360" w:lineRule="auto"/>
              <w:ind w:firstLine="480" w:firstLineChars="200"/>
              <w:rPr>
                <w:bCs/>
                <w:color w:val="auto"/>
                <w:sz w:val="24"/>
                <w:highlight w:val="none"/>
                <w:lang w:bidi="ar"/>
              </w:rPr>
            </w:pPr>
            <w:r>
              <w:rPr>
                <w:rFonts w:hint="eastAsia"/>
                <w:bCs/>
                <w:color w:val="auto"/>
                <w:sz w:val="24"/>
                <w:highlight w:val="none"/>
                <w:lang w:bidi="ar"/>
              </w:rPr>
              <w:t>（1）火灾事故防范措施</w:t>
            </w:r>
          </w:p>
          <w:p>
            <w:pPr>
              <w:spacing w:line="360" w:lineRule="auto"/>
              <w:ind w:firstLine="480" w:firstLineChars="200"/>
              <w:rPr>
                <w:bCs/>
                <w:color w:val="auto"/>
                <w:sz w:val="24"/>
                <w:highlight w:val="none"/>
                <w:lang w:bidi="ar"/>
              </w:rPr>
            </w:pPr>
            <w:r>
              <w:rPr>
                <w:rFonts w:hint="eastAsia"/>
                <w:bCs/>
                <w:color w:val="auto"/>
                <w:sz w:val="24"/>
                <w:highlight w:val="none"/>
                <w:lang w:bidi="ar"/>
              </w:rPr>
              <w:t>本项目环境风险防范措施重点在于防火上。除了有先进的防控设施外，还需加强管理和防备，做到以下防治措施：</w:t>
            </w:r>
          </w:p>
          <w:p>
            <w:pPr>
              <w:spacing w:line="360" w:lineRule="auto"/>
              <w:ind w:firstLine="480" w:firstLineChars="200"/>
              <w:rPr>
                <w:bCs/>
                <w:color w:val="auto"/>
                <w:sz w:val="24"/>
                <w:highlight w:val="none"/>
                <w:lang w:bidi="ar"/>
              </w:rPr>
            </w:pPr>
            <w:r>
              <w:rPr>
                <w:rFonts w:hint="eastAsia"/>
                <w:bCs/>
                <w:color w:val="auto"/>
                <w:sz w:val="24"/>
                <w:highlight w:val="none"/>
                <w:lang w:bidi="ar"/>
              </w:rPr>
              <w:fldChar w:fldCharType="begin"/>
            </w:r>
            <w:r>
              <w:rPr>
                <w:rFonts w:hint="eastAsia"/>
                <w:bCs/>
                <w:color w:val="auto"/>
                <w:sz w:val="24"/>
                <w:highlight w:val="none"/>
                <w:lang w:bidi="ar"/>
              </w:rPr>
              <w:instrText xml:space="preserve"> = 1 \* GB3 \* MERGEFORMAT </w:instrText>
            </w:r>
            <w:r>
              <w:rPr>
                <w:rFonts w:hint="eastAsia"/>
                <w:bCs/>
                <w:color w:val="auto"/>
                <w:sz w:val="24"/>
                <w:highlight w:val="none"/>
                <w:lang w:bidi="ar"/>
              </w:rPr>
              <w:fldChar w:fldCharType="separate"/>
            </w:r>
            <w:r>
              <w:rPr>
                <w:color w:val="auto"/>
                <w:sz w:val="24"/>
                <w:highlight w:val="none"/>
              </w:rPr>
              <w:t>①</w:t>
            </w:r>
            <w:r>
              <w:rPr>
                <w:rFonts w:hint="eastAsia"/>
                <w:bCs/>
                <w:color w:val="auto"/>
                <w:sz w:val="24"/>
                <w:highlight w:val="none"/>
                <w:lang w:bidi="ar"/>
              </w:rPr>
              <w:fldChar w:fldCharType="end"/>
            </w:r>
            <w:r>
              <w:rPr>
                <w:rFonts w:hint="eastAsia"/>
                <w:bCs/>
                <w:color w:val="auto"/>
                <w:sz w:val="24"/>
                <w:highlight w:val="none"/>
                <w:lang w:bidi="ar"/>
              </w:rPr>
              <w:t>设立专门的环境管理机构，制定日常管理措施、消防措施和应急预案。对工作人员进行火灾事态时的报警培训，项目方应成立环境风险事故应急救援领导小组和应急救援专业队伍。</w:t>
            </w:r>
          </w:p>
          <w:p>
            <w:pPr>
              <w:spacing w:line="360" w:lineRule="auto"/>
              <w:ind w:firstLine="480" w:firstLineChars="200"/>
              <w:rPr>
                <w:bCs/>
                <w:color w:val="auto"/>
                <w:sz w:val="24"/>
                <w:highlight w:val="none"/>
                <w:lang w:bidi="ar"/>
              </w:rPr>
            </w:pPr>
            <w:r>
              <w:rPr>
                <w:rFonts w:hint="eastAsia"/>
                <w:bCs/>
                <w:color w:val="auto"/>
                <w:sz w:val="24"/>
                <w:highlight w:val="none"/>
                <w:lang w:bidi="ar"/>
              </w:rPr>
              <w:fldChar w:fldCharType="begin"/>
            </w:r>
            <w:r>
              <w:rPr>
                <w:rFonts w:hint="eastAsia"/>
                <w:bCs/>
                <w:color w:val="auto"/>
                <w:sz w:val="24"/>
                <w:highlight w:val="none"/>
                <w:lang w:bidi="ar"/>
              </w:rPr>
              <w:instrText xml:space="preserve"> = 2 \* GB3 \* MERGEFORMAT </w:instrText>
            </w:r>
            <w:r>
              <w:rPr>
                <w:rFonts w:hint="eastAsia"/>
                <w:bCs/>
                <w:color w:val="auto"/>
                <w:sz w:val="24"/>
                <w:highlight w:val="none"/>
                <w:lang w:bidi="ar"/>
              </w:rPr>
              <w:fldChar w:fldCharType="separate"/>
            </w:r>
            <w:r>
              <w:rPr>
                <w:color w:val="auto"/>
                <w:sz w:val="24"/>
                <w:highlight w:val="none"/>
              </w:rPr>
              <w:t>②</w:t>
            </w:r>
            <w:r>
              <w:rPr>
                <w:rFonts w:hint="eastAsia"/>
                <w:bCs/>
                <w:color w:val="auto"/>
                <w:sz w:val="24"/>
                <w:highlight w:val="none"/>
                <w:lang w:bidi="ar"/>
              </w:rPr>
              <w:fldChar w:fldCharType="end"/>
            </w:r>
            <w:r>
              <w:rPr>
                <w:rFonts w:hint="eastAsia"/>
                <w:bCs/>
                <w:color w:val="auto"/>
                <w:sz w:val="24"/>
                <w:highlight w:val="none"/>
                <w:lang w:bidi="ar"/>
              </w:rPr>
              <w:t>加强厂区消防设施的日常管理，确保事故时消防设施能够正常使用，针对厂房等可能出现的火灾事故进行消防演练。</w:t>
            </w:r>
          </w:p>
          <w:p>
            <w:pPr>
              <w:spacing w:line="360" w:lineRule="auto"/>
              <w:ind w:firstLine="480" w:firstLineChars="200"/>
              <w:rPr>
                <w:bCs/>
                <w:color w:val="auto"/>
                <w:sz w:val="24"/>
                <w:highlight w:val="none"/>
                <w:lang w:bidi="ar"/>
              </w:rPr>
            </w:pPr>
            <w:r>
              <w:rPr>
                <w:rFonts w:hint="eastAsia"/>
                <w:bCs/>
                <w:color w:val="auto"/>
                <w:sz w:val="24"/>
                <w:highlight w:val="none"/>
                <w:lang w:bidi="ar"/>
              </w:rPr>
              <w:fldChar w:fldCharType="begin"/>
            </w:r>
            <w:r>
              <w:rPr>
                <w:rFonts w:hint="eastAsia"/>
                <w:bCs/>
                <w:color w:val="auto"/>
                <w:sz w:val="24"/>
                <w:highlight w:val="none"/>
                <w:lang w:bidi="ar"/>
              </w:rPr>
              <w:instrText xml:space="preserve"> = 3 \* GB3 \* MERGEFORMAT </w:instrText>
            </w:r>
            <w:r>
              <w:rPr>
                <w:rFonts w:hint="eastAsia"/>
                <w:bCs/>
                <w:color w:val="auto"/>
                <w:sz w:val="24"/>
                <w:highlight w:val="none"/>
                <w:lang w:bidi="ar"/>
              </w:rPr>
              <w:fldChar w:fldCharType="separate"/>
            </w:r>
            <w:r>
              <w:rPr>
                <w:color w:val="auto"/>
                <w:sz w:val="24"/>
                <w:highlight w:val="none"/>
              </w:rPr>
              <w:t>③</w:t>
            </w:r>
            <w:r>
              <w:rPr>
                <w:rFonts w:hint="eastAsia"/>
                <w:bCs/>
                <w:color w:val="auto"/>
                <w:sz w:val="24"/>
                <w:highlight w:val="none"/>
                <w:lang w:bidi="ar"/>
              </w:rPr>
              <w:fldChar w:fldCharType="end"/>
            </w:r>
            <w:r>
              <w:rPr>
                <w:rFonts w:hint="eastAsia"/>
                <w:bCs/>
                <w:color w:val="auto"/>
                <w:sz w:val="24"/>
                <w:highlight w:val="none"/>
                <w:lang w:bidi="ar"/>
              </w:rPr>
              <w:t>严格明火管理，严禁吸烟、动火。消除电气火花。严格按照《中华人民共和国爆炸危险场所安全规程》和现行有关标准、规程及要求执行。</w:t>
            </w:r>
          </w:p>
          <w:p>
            <w:pPr>
              <w:spacing w:line="360" w:lineRule="auto"/>
              <w:ind w:firstLine="480" w:firstLineChars="200"/>
              <w:rPr>
                <w:bCs/>
                <w:color w:val="auto"/>
                <w:sz w:val="24"/>
                <w:highlight w:val="none"/>
                <w:lang w:bidi="ar"/>
              </w:rPr>
            </w:pPr>
            <w:r>
              <w:rPr>
                <w:rFonts w:hint="eastAsia"/>
                <w:bCs/>
                <w:color w:val="auto"/>
                <w:sz w:val="24"/>
                <w:highlight w:val="none"/>
                <w:lang w:bidi="ar"/>
              </w:rPr>
              <w:fldChar w:fldCharType="begin"/>
            </w:r>
            <w:r>
              <w:rPr>
                <w:rFonts w:hint="eastAsia"/>
                <w:bCs/>
                <w:color w:val="auto"/>
                <w:sz w:val="24"/>
                <w:highlight w:val="none"/>
                <w:lang w:bidi="ar"/>
              </w:rPr>
              <w:instrText xml:space="preserve"> = 4 \* GB3 \* MERGEFORMAT </w:instrText>
            </w:r>
            <w:r>
              <w:rPr>
                <w:rFonts w:hint="eastAsia"/>
                <w:bCs/>
                <w:color w:val="auto"/>
                <w:sz w:val="24"/>
                <w:highlight w:val="none"/>
                <w:lang w:bidi="ar"/>
              </w:rPr>
              <w:fldChar w:fldCharType="separate"/>
            </w:r>
            <w:r>
              <w:rPr>
                <w:rFonts w:hint="eastAsia"/>
                <w:bCs/>
                <w:color w:val="auto"/>
                <w:sz w:val="24"/>
                <w:highlight w:val="none"/>
                <w:lang w:bidi="ar"/>
              </w:rPr>
              <w:t>④</w:t>
            </w:r>
            <w:r>
              <w:rPr>
                <w:rFonts w:hint="eastAsia"/>
                <w:bCs/>
                <w:color w:val="auto"/>
                <w:sz w:val="24"/>
                <w:highlight w:val="none"/>
                <w:lang w:bidi="ar"/>
              </w:rPr>
              <w:fldChar w:fldCharType="end"/>
            </w:r>
            <w:r>
              <w:rPr>
                <w:rFonts w:hint="eastAsia"/>
                <w:bCs/>
                <w:color w:val="auto"/>
                <w:sz w:val="24"/>
                <w:highlight w:val="none"/>
                <w:lang w:bidi="ar"/>
              </w:rPr>
              <w:t>消防器材应当设置在明显和便于取用的地点，周围不准堆放物品和杂物。消防设施、器材，应当由专人管理，负责检查、维修、保养、更换和添置，保证完好有效，严禁圈占、埋压和挪用。配备消防器材和消防设施；标示明确，使用方便；在厂房配备二氧化碳灭火器熄灭小型火灾，并设置消防池。同时在电气设备火灾易发处配备干粉灭火器。</w:t>
            </w:r>
          </w:p>
          <w:p>
            <w:pPr>
              <w:spacing w:line="360" w:lineRule="auto"/>
              <w:ind w:firstLine="480" w:firstLineChars="200"/>
              <w:rPr>
                <w:bCs/>
                <w:color w:val="auto"/>
                <w:sz w:val="24"/>
                <w:highlight w:val="none"/>
                <w:lang w:bidi="ar"/>
              </w:rPr>
            </w:pPr>
            <w:r>
              <w:rPr>
                <w:rFonts w:hint="eastAsia"/>
                <w:bCs/>
                <w:color w:val="auto"/>
                <w:sz w:val="24"/>
                <w:highlight w:val="none"/>
                <w:lang w:bidi="ar"/>
              </w:rPr>
              <w:fldChar w:fldCharType="begin"/>
            </w:r>
            <w:r>
              <w:rPr>
                <w:rFonts w:hint="eastAsia"/>
                <w:bCs/>
                <w:color w:val="auto"/>
                <w:sz w:val="24"/>
                <w:highlight w:val="none"/>
                <w:lang w:bidi="ar"/>
              </w:rPr>
              <w:instrText xml:space="preserve"> = 5 \* GB3 \* MERGEFORMAT </w:instrText>
            </w:r>
            <w:r>
              <w:rPr>
                <w:rFonts w:hint="eastAsia"/>
                <w:bCs/>
                <w:color w:val="auto"/>
                <w:sz w:val="24"/>
                <w:highlight w:val="none"/>
                <w:lang w:bidi="ar"/>
              </w:rPr>
              <w:fldChar w:fldCharType="separate"/>
            </w:r>
            <w:r>
              <w:rPr>
                <w:rFonts w:hint="eastAsia"/>
                <w:bCs/>
                <w:color w:val="auto"/>
                <w:sz w:val="24"/>
                <w:highlight w:val="none"/>
                <w:lang w:bidi="ar"/>
              </w:rPr>
              <w:t>⑤</w:t>
            </w:r>
            <w:r>
              <w:rPr>
                <w:rFonts w:hint="eastAsia"/>
                <w:bCs/>
                <w:color w:val="auto"/>
                <w:sz w:val="24"/>
                <w:highlight w:val="none"/>
                <w:lang w:bidi="ar"/>
              </w:rPr>
              <w:fldChar w:fldCharType="end"/>
            </w:r>
            <w:r>
              <w:rPr>
                <w:rFonts w:hint="eastAsia"/>
                <w:bCs/>
                <w:color w:val="auto"/>
                <w:sz w:val="24"/>
                <w:highlight w:val="none"/>
                <w:lang w:bidi="ar"/>
              </w:rPr>
              <w:t>项目内定期进行电路、电气检查，消除安全隐患。</w:t>
            </w:r>
          </w:p>
          <w:p>
            <w:pPr>
              <w:spacing w:line="360" w:lineRule="auto"/>
              <w:ind w:firstLine="480" w:firstLineChars="200"/>
              <w:rPr>
                <w:bCs/>
                <w:color w:val="auto"/>
                <w:sz w:val="24"/>
                <w:highlight w:val="none"/>
                <w:lang w:bidi="ar"/>
              </w:rPr>
            </w:pPr>
            <w:r>
              <w:rPr>
                <w:rFonts w:hint="eastAsia"/>
                <w:bCs/>
                <w:color w:val="auto"/>
                <w:sz w:val="24"/>
                <w:highlight w:val="none"/>
                <w:lang w:bidi="ar"/>
              </w:rPr>
              <w:fldChar w:fldCharType="begin"/>
            </w:r>
            <w:r>
              <w:rPr>
                <w:rFonts w:hint="eastAsia"/>
                <w:bCs/>
                <w:color w:val="auto"/>
                <w:sz w:val="24"/>
                <w:highlight w:val="none"/>
                <w:lang w:bidi="ar"/>
              </w:rPr>
              <w:instrText xml:space="preserve"> = 6 \* GB3 \* MERGEFORMAT </w:instrText>
            </w:r>
            <w:r>
              <w:rPr>
                <w:rFonts w:hint="eastAsia"/>
                <w:bCs/>
                <w:color w:val="auto"/>
                <w:sz w:val="24"/>
                <w:highlight w:val="none"/>
                <w:lang w:bidi="ar"/>
              </w:rPr>
              <w:fldChar w:fldCharType="separate"/>
            </w:r>
            <w:r>
              <w:rPr>
                <w:rFonts w:hint="eastAsia"/>
                <w:bCs/>
                <w:color w:val="auto"/>
                <w:sz w:val="24"/>
                <w:highlight w:val="none"/>
                <w:lang w:bidi="ar"/>
              </w:rPr>
              <w:t>⑥</w:t>
            </w:r>
            <w:r>
              <w:rPr>
                <w:rFonts w:hint="eastAsia"/>
                <w:bCs/>
                <w:color w:val="auto"/>
                <w:sz w:val="24"/>
                <w:highlight w:val="none"/>
                <w:lang w:bidi="ar"/>
              </w:rPr>
              <w:fldChar w:fldCharType="end"/>
            </w:r>
            <w:r>
              <w:rPr>
                <w:rFonts w:hint="eastAsia"/>
                <w:bCs/>
                <w:color w:val="auto"/>
                <w:sz w:val="24"/>
                <w:highlight w:val="none"/>
                <w:lang w:bidi="ar"/>
              </w:rPr>
              <w:t>出现火灾时应及时将可燃物品搬离，远离火源。</w:t>
            </w:r>
          </w:p>
          <w:p>
            <w:pPr>
              <w:spacing w:line="360" w:lineRule="auto"/>
              <w:ind w:firstLine="480" w:firstLineChars="200"/>
              <w:rPr>
                <w:rFonts w:hint="default" w:ascii="Times New Roman" w:hAnsi="Times New Roman" w:cs="Times New Roman"/>
                <w:color w:val="auto"/>
                <w:sz w:val="24"/>
                <w:highlight w:val="none"/>
              </w:rPr>
            </w:pPr>
            <w:r>
              <w:rPr>
                <w:rFonts w:hint="eastAsia"/>
                <w:bCs/>
                <w:color w:val="auto"/>
                <w:sz w:val="24"/>
                <w:highlight w:val="none"/>
                <w:lang w:bidi="ar"/>
              </w:rPr>
              <w:fldChar w:fldCharType="begin"/>
            </w:r>
            <w:r>
              <w:rPr>
                <w:rFonts w:hint="eastAsia"/>
                <w:bCs/>
                <w:color w:val="auto"/>
                <w:sz w:val="24"/>
                <w:highlight w:val="none"/>
                <w:lang w:bidi="ar"/>
              </w:rPr>
              <w:instrText xml:space="preserve"> = 7 \* GB3 \* MERGEFORMAT </w:instrText>
            </w:r>
            <w:r>
              <w:rPr>
                <w:rFonts w:hint="eastAsia"/>
                <w:bCs/>
                <w:color w:val="auto"/>
                <w:sz w:val="24"/>
                <w:highlight w:val="none"/>
                <w:lang w:bidi="ar"/>
              </w:rPr>
              <w:fldChar w:fldCharType="separate"/>
            </w:r>
            <w:r>
              <w:rPr>
                <w:rFonts w:hint="eastAsia"/>
                <w:bCs/>
                <w:color w:val="auto"/>
                <w:sz w:val="24"/>
                <w:highlight w:val="none"/>
                <w:lang w:bidi="ar"/>
              </w:rPr>
              <w:t>⑦</w:t>
            </w:r>
            <w:r>
              <w:rPr>
                <w:rFonts w:hint="eastAsia"/>
                <w:bCs/>
                <w:color w:val="auto"/>
                <w:sz w:val="24"/>
                <w:highlight w:val="none"/>
                <w:lang w:bidi="ar"/>
              </w:rPr>
              <w:fldChar w:fldCharType="end"/>
            </w:r>
            <w:r>
              <w:rPr>
                <w:rFonts w:hint="eastAsia"/>
                <w:bCs/>
                <w:color w:val="auto"/>
                <w:sz w:val="24"/>
                <w:highlight w:val="none"/>
                <w:lang w:bidi="ar"/>
              </w:rPr>
              <w:t>在总图布置中，考虑</w:t>
            </w:r>
            <w:r>
              <w:rPr>
                <w:rFonts w:hint="eastAsia"/>
                <w:bCs/>
                <w:color w:val="auto"/>
                <w:sz w:val="24"/>
                <w:highlight w:val="none"/>
                <w:lang w:val="en-US" w:eastAsia="zh-CN" w:bidi="ar"/>
              </w:rPr>
              <w:t>各建筑</w:t>
            </w:r>
            <w:r>
              <w:rPr>
                <w:rFonts w:hint="eastAsia"/>
                <w:bCs/>
                <w:color w:val="auto"/>
                <w:sz w:val="24"/>
                <w:highlight w:val="none"/>
                <w:lang w:bidi="ar"/>
              </w:rPr>
              <w:t>物的防火间距，安全疏散以及自然条件等方面的问题确保其中符合国家的有关规定。完善相关消防设施，严格划分</w:t>
            </w:r>
            <w:r>
              <w:rPr>
                <w:rFonts w:hint="eastAsia"/>
                <w:bCs/>
                <w:color w:val="auto"/>
                <w:sz w:val="24"/>
                <w:highlight w:val="none"/>
                <w:lang w:val="en-US" w:eastAsia="zh-CN" w:bidi="ar"/>
              </w:rPr>
              <w:t>生产区</w:t>
            </w:r>
            <w:r>
              <w:rPr>
                <w:rFonts w:hint="eastAsia"/>
                <w:bCs/>
                <w:color w:val="auto"/>
                <w:sz w:val="24"/>
                <w:highlight w:val="none"/>
                <w:lang w:bidi="ar"/>
              </w:rPr>
              <w:t>和储存区</w:t>
            </w:r>
            <w:r>
              <w:rPr>
                <w:rFonts w:hint="eastAsia"/>
                <w:bCs/>
                <w:color w:val="auto"/>
                <w:sz w:val="24"/>
                <w:highlight w:val="none"/>
                <w:lang w:eastAsia="zh-CN" w:bidi="ar"/>
              </w:rPr>
              <w:t>。</w:t>
            </w:r>
          </w:p>
          <w:p>
            <w:pPr>
              <w:autoSpaceDE w:val="0"/>
              <w:autoSpaceDN w:val="0"/>
              <w:adjustRightIn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eastAsia="zh-CN" w:bidi="ar"/>
              </w:rPr>
              <w:t>（</w:t>
            </w:r>
            <w:r>
              <w:rPr>
                <w:rFonts w:hint="eastAsia"/>
                <w:b w:val="0"/>
                <w:bCs/>
                <w:color w:val="auto"/>
                <w:sz w:val="24"/>
                <w:highlight w:val="none"/>
                <w:lang w:val="en-US" w:eastAsia="zh-CN" w:bidi="ar"/>
              </w:rPr>
              <w:t>2</w:t>
            </w:r>
            <w:r>
              <w:rPr>
                <w:rFonts w:hint="eastAsia"/>
                <w:b w:val="0"/>
                <w:bCs/>
                <w:color w:val="auto"/>
                <w:sz w:val="24"/>
                <w:highlight w:val="none"/>
                <w:lang w:eastAsia="zh-CN" w:bidi="ar"/>
              </w:rPr>
              <w:t>）</w:t>
            </w:r>
            <w:r>
              <w:rPr>
                <w:rFonts w:hint="eastAsia"/>
                <w:b w:val="0"/>
                <w:bCs/>
                <w:color w:val="auto"/>
                <w:sz w:val="24"/>
                <w:highlight w:val="none"/>
                <w:lang w:bidi="ar"/>
              </w:rPr>
              <w:t>事故废水和消防废水非正常排放应急处置措施：</w:t>
            </w:r>
          </w:p>
          <w:p>
            <w:pPr>
              <w:autoSpaceDE w:val="0"/>
              <w:autoSpaceDN w:val="0"/>
              <w:adjustRightIn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设置三级防控体系，一级措施（设置围堰），二级措施（备用收容设施）， 三级防控措施（设置雨、污水总排口切断阀门及雨水排口沙袋）。</w:t>
            </w:r>
          </w:p>
          <w:p>
            <w:pPr>
              <w:autoSpaceDE w:val="0"/>
              <w:autoSpaceDN w:val="0"/>
              <w:adjustRightIn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1）一级措施：各主体装置（危废暂存间）设置防渗漏、防腐蚀、防淋溶、防流失措施，主体设施位于室内，雨水沟位于车间外，不会与雨水管接通，主体设施的围堰、导流沟末端连通备用收容设施的阀门打开。</w:t>
            </w:r>
          </w:p>
          <w:p>
            <w:pPr>
              <w:autoSpaceDE w:val="0"/>
              <w:autoSpaceDN w:val="0"/>
              <w:adjustRightIn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2）二级措施：保证泄漏物排入备用收容设施，保证突发环境事件状态下通过泄漏物进入备用收容设施，不会进入外环境。消防废水进入市政污水管网，消防废水主要含有悬浮物等污染物，可通过污水处理厂合理处置后达标外排。</w:t>
            </w:r>
          </w:p>
          <w:p>
            <w:pPr>
              <w:autoSpaceDE w:val="0"/>
              <w:autoSpaceDN w:val="0"/>
              <w:adjustRightIn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3）三级防控措施：厂界雨污水总排口截断阀门的阻隔，确保消防废水不会流入雨水系统对外界水体造成不利影响。</w:t>
            </w:r>
          </w:p>
          <w:p>
            <w:pPr>
              <w:autoSpaceDE w:val="0"/>
              <w:autoSpaceDN w:val="0"/>
              <w:adjustRightInd w:val="0"/>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另外，公司应存放沙袋，以备应急时作为阻挡物封堵事故废水外流。</w:t>
            </w:r>
          </w:p>
          <w:p>
            <w:pPr>
              <w:autoSpaceDE w:val="0"/>
              <w:autoSpaceDN w:val="0"/>
              <w:adjustRightInd w:val="0"/>
              <w:spacing w:line="360" w:lineRule="auto"/>
              <w:ind w:firstLine="480" w:firstLineChars="200"/>
              <w:rPr>
                <w:rFonts w:hint="default" w:ascii="Times New Roman" w:hAnsi="Times New Roman" w:cs="Times New Roman"/>
                <w:b w:val="0"/>
                <w:bCs/>
                <w:color w:val="auto"/>
                <w:sz w:val="24"/>
                <w:highlight w:val="none"/>
              </w:rPr>
            </w:pPr>
            <w:r>
              <w:rPr>
                <w:rFonts w:hint="eastAsia"/>
                <w:b w:val="0"/>
                <w:bCs/>
                <w:color w:val="auto"/>
                <w:sz w:val="24"/>
                <w:highlight w:val="none"/>
                <w:lang w:bidi="ar"/>
              </w:rPr>
              <w:t>（</w:t>
            </w:r>
            <w:r>
              <w:rPr>
                <w:rFonts w:hint="eastAsia"/>
                <w:b w:val="0"/>
                <w:bCs/>
                <w:color w:val="auto"/>
                <w:sz w:val="24"/>
                <w:highlight w:val="none"/>
                <w:lang w:val="en-US" w:eastAsia="zh-CN" w:bidi="ar"/>
              </w:rPr>
              <w:t>3</w:t>
            </w:r>
            <w:r>
              <w:rPr>
                <w:rFonts w:hint="eastAsia"/>
                <w:b w:val="0"/>
                <w:bCs/>
                <w:color w:val="auto"/>
                <w:sz w:val="24"/>
                <w:highlight w:val="none"/>
                <w:lang w:bidi="ar"/>
              </w:rPr>
              <w:t>）</w:t>
            </w:r>
            <w:r>
              <w:rPr>
                <w:rFonts w:hint="default" w:ascii="Times New Roman" w:hAnsi="Times New Roman" w:cs="Times New Roman"/>
                <w:b w:val="0"/>
                <w:bCs/>
                <w:color w:val="auto"/>
                <w:sz w:val="24"/>
                <w:highlight w:val="none"/>
              </w:rPr>
              <w:t>泄漏事故环境风险防范措施如下：</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①管理专员定期对辅料库房化学品包装进行检查，当发现包装破裂时及时转移至备用空桶。</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②原料库房、辅料库房内严禁烟火，并配备灭火器等消防器材。</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③做好化学试剂品及危化品的管理：按照相关要求加强安全防护；明确化学试剂管理部门/负责人、化学试剂分类存放柜、贮存装置，定期检查其完好性，如发现损坏，需及时更换。</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4</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化学品及危险废物运输要求</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本项目涉及的化学品运输入厂及产生的危险废物运输至相关由资质的单位，均存在运输风险。因此，为降低运输过程中出现的风险事故，本项目化学品及危废的运输应参照以下要求执行：</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化学品运输要求</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①运输、装卸危险化学品，应当依照国家法律、法规、规章的规定和国家标准的要求并按照危险化学品的危险特性，采取必要的安全防护措施。</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②用于化学品运输工具的槽罐以及其他容器，必须按照《危险化学品安全管理条例》的规定，由专业生产企业定点生产，并经检测、检验合格，方可投入使用。质检部门应当对前款规定的专业生产企业定点生产的槽罐以及其他容器的产品质量进行定期的或不定期的检查。</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③运输危险化学品的槽罐以及其他容器必须封口严密，能够承受正常运输条件下产生的内部压力和外部压力，保证危险化学品运输中不因温度、湿度或者压力的变化而发生任何泄漏。</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④装运危险化学品的槽罐应适合所装货物的性能，具有足够的强度，并应根据不同货物的需要配置泄压阀、防波板、遮阳物、压力表、液位计、导除静电等相应的安全设施；槽罐外部的附近应有可靠的防护设施，必须保证所装货物不发生“跑、冒、滴、漏”，并安装积漏器。</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⑤通过公路运输的危险化学品，必须配备押运人员，并随时处于押运人员的监管之下，不得超载、超装，不得进入危险品运输车辆禁止通行的区域；确需进入禁止通行区域的，应当向当地公安部门报告，由公安部门为其指定行车时间和路线，运输车辆必须遵守公安部门规定的行车时间和路线。危险品运输车禁止通行区域，由设区的市级人民政府公安部门划定，并设置明显的标志。</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⑥运输危险化学品的车辆应专车专用，并有明显标志，要符合交通管理部门对车辆和设备的规定：车厢、底板必须平坦完好，周围栏板必须牢固；机动车辆排气管必须装有有效的隔热和熄灭火星的装置，电路系统应有切断总电源和隔离火花的装置；车辆左前方必须悬挂黄底黑字“危险品”字样的信号旗；根据所装危险货物的性质，配置相应的消防器材和捆扎、防水、防散失等用具。</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⑦应对装运放射性同位素的专用运输车辆、设备、搬动工具、防护用具进行放射性污染程度的检查，当污染量超过规定的允许水平时，不得继续使用。</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⑧装运集装箱、大型气瓶、可移动槽罐等的车辆，必须设置有效的紧固装置。</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⑨各种装卸机械、工具要有足够的安全系数，装卸易燃、易爆危险品的机械和工具，必须装有消除产生火花的措施。</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⑩危化品在运输中包装应牢固，各类危险化学品包装应符合GB12463的规定。</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⑪性质或消除方法相互抵触，以及配装号或类项不同的危险化学品不能装在同一车内运输。</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⑫易燃、易爆品不能装在铁棒、铁底车运输。</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⑬易燃品闪点在28℃以下，气温高于28℃时应在夜间运输。</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⑭运输危险化学品的车辆应有防火安全措施。</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⑮禁止无关人员搭乘运输危险化学品的车和其他交通工具。</w:t>
            </w:r>
          </w:p>
          <w:p>
            <w:pPr>
              <w:autoSpaceDE w:val="0"/>
              <w:autoSpaceDN w:val="0"/>
              <w:adjustRightIn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 w:val="0"/>
                <w:bCs w:val="0"/>
                <w:color w:val="auto"/>
                <w:sz w:val="24"/>
                <w:highlight w:val="none"/>
              </w:rPr>
              <w:t>⑯运输爆炸品和需凭证运输的危险化学品，应运有县、市公安部门的《爆炸品准运证》或《危险化学物品准运证》。</w:t>
            </w:r>
          </w:p>
          <w:p>
            <w:pPr>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危险废物运输要求</w:t>
            </w:r>
          </w:p>
          <w:p>
            <w:pPr>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①做好每次外运处置废弃物的运输登记、认真填写危险废物转移联单（每种废物填写一份联单），并加盖公司公章，经运输单位核实验收签字后，将联单第一联副联自留存档，将联单第二联交移出当地环境保护行政主管部门，第三联及其余各联交付运输单位，随危险废物转移运行。第四联交接收单位，第五联交接受地生态环境局。</w:t>
            </w:r>
          </w:p>
          <w:p>
            <w:pPr>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取得驾驶执照的熟练人员担任。</w:t>
            </w:r>
          </w:p>
          <w:p>
            <w:pPr>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③处置单位在运输危险废物时，必须配备押运人员，并随时处于押运人员的监管之下，不得超载、超装，不得进入危险品运输车辆禁止通行的区域；确需进入禁止通行区域的，应当向当地公安部门报告，由公安部门为其指定行车时间和路线，运输车辆必须遵守公安部门规定的行车时间和路线。</w:t>
            </w:r>
          </w:p>
          <w:p>
            <w:pPr>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④危险废物运输过程中若发生被盗、丢失、流散、泄露等情况时，公司及押运人员必须立即向公安部门报告，并采取一切可能的警示措施。</w:t>
            </w:r>
          </w:p>
          <w:p>
            <w:pPr>
              <w:spacing w:line="360" w:lineRule="auto"/>
              <w:ind w:firstLine="480" w:firstLineChars="200"/>
              <w:rPr>
                <w:rFonts w:hint="eastAsia"/>
                <w:b w:val="0"/>
                <w:bCs/>
                <w:color w:val="auto"/>
                <w:sz w:val="24"/>
                <w:highlight w:val="none"/>
                <w:lang w:bidi="ar"/>
              </w:rPr>
            </w:pPr>
            <w:r>
              <w:rPr>
                <w:rFonts w:hint="eastAsia"/>
                <w:b w:val="0"/>
                <w:bCs/>
                <w:color w:val="auto"/>
                <w:sz w:val="24"/>
                <w:highlight w:val="none"/>
                <w:lang w:bidi="ar"/>
              </w:rPr>
              <w:t>⑤一旦发生危险废物泄露事故，公司和危险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pStyle w:val="12"/>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事故废水、废气排放风险防范措施</w:t>
            </w:r>
          </w:p>
          <w:p>
            <w:pPr>
              <w:pStyle w:val="12"/>
              <w:rPr>
                <w:rFonts w:hint="eastAsia"/>
                <w:color w:val="auto"/>
                <w:highlight w:val="none"/>
              </w:rPr>
            </w:pPr>
            <w:r>
              <w:rPr>
                <w:rFonts w:hint="eastAsia"/>
                <w:color w:val="auto"/>
                <w:highlight w:val="none"/>
              </w:rPr>
              <w:t>本项目事故废水主要为火灾产生的事故废水造成生产废水未经处理事故排放。因事故火灾废水主要成分为一般杂质悬浮物，厂区内可兼事故废水应急收容设施，将事故废水收集。采取此措施后事故废水对外环境影响轻微。</w:t>
            </w:r>
          </w:p>
          <w:p>
            <w:pPr>
              <w:pStyle w:val="12"/>
              <w:rPr>
                <w:rFonts w:hint="eastAsia"/>
                <w:color w:val="auto"/>
                <w:highlight w:val="none"/>
              </w:rPr>
            </w:pPr>
            <w:r>
              <w:rPr>
                <w:rFonts w:hint="eastAsia"/>
                <w:color w:val="auto"/>
                <w:highlight w:val="none"/>
              </w:rPr>
              <w:t>如发现废气治理设施出现故障，立即停产，联系厂家维修，废气处理设置事故情况下厂区不得生产。同时，还通过以下措施防止事故废气对区域环境造成不利影响。</w:t>
            </w:r>
          </w:p>
          <w:p>
            <w:pPr>
              <w:pStyle w:val="12"/>
              <w:rPr>
                <w:rFonts w:hint="eastAsia"/>
                <w:color w:val="auto"/>
                <w:highlight w:val="none"/>
              </w:rPr>
            </w:pPr>
            <w:r>
              <w:rPr>
                <w:rFonts w:hint="eastAsia"/>
                <w:color w:val="auto"/>
                <w:highlight w:val="none"/>
              </w:rPr>
              <w:t>1）定期检测各项废气处理装置，发现净化处理效率降低或设备有损耗立即停机检查维修。</w:t>
            </w:r>
          </w:p>
          <w:p>
            <w:pPr>
              <w:pStyle w:val="12"/>
              <w:rPr>
                <w:rFonts w:hint="eastAsia"/>
                <w:color w:val="auto"/>
                <w:highlight w:val="none"/>
              </w:rPr>
            </w:pPr>
            <w:r>
              <w:rPr>
                <w:rFonts w:hint="eastAsia"/>
                <w:color w:val="auto"/>
                <w:highlight w:val="none"/>
              </w:rPr>
              <w:t>2）为确保排气效率和效果，单位须指定专人每周对排气设施进行维护保养和检查。</w:t>
            </w:r>
          </w:p>
          <w:p>
            <w:pPr>
              <w:pStyle w:val="12"/>
              <w:rPr>
                <w:rFonts w:hint="eastAsia"/>
                <w:color w:val="auto"/>
                <w:highlight w:val="none"/>
              </w:rPr>
            </w:pPr>
            <w:r>
              <w:rPr>
                <w:rFonts w:hint="eastAsia"/>
                <w:color w:val="auto"/>
                <w:highlight w:val="none"/>
              </w:rPr>
              <w:t>3）指派专人每周针对废气排放状况以及相关设备与设施进行检查，并将检查结果记录于《废气设施点检表》。</w:t>
            </w:r>
          </w:p>
          <w:p>
            <w:pPr>
              <w:pStyle w:val="12"/>
              <w:rPr>
                <w:rFonts w:hint="eastAsia"/>
                <w:color w:val="auto"/>
                <w:highlight w:val="none"/>
              </w:rPr>
            </w:pPr>
            <w:r>
              <w:rPr>
                <w:rFonts w:hint="eastAsia"/>
                <w:color w:val="auto"/>
                <w:highlight w:val="none"/>
              </w:rPr>
              <w:t>厂区内应加强设备的运行管理和维护保养、使各项环保设备设施保持良好运转，避免因设备故障而发生环境污染事件。</w:t>
            </w:r>
          </w:p>
          <w:p>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表4-</w:t>
            </w:r>
            <w:r>
              <w:rPr>
                <w:rFonts w:hint="eastAsia" w:ascii="Times New Roman" w:hAnsi="Times New Roman" w:eastAsia="宋体" w:cs="Times New Roman"/>
                <w:b/>
                <w:color w:val="auto"/>
                <w:highlight w:val="none"/>
                <w:lang w:val="en-US" w:eastAsia="zh-CN"/>
              </w:rPr>
              <w:t>1</w:t>
            </w:r>
            <w:r>
              <w:rPr>
                <w:rFonts w:hint="eastAsia" w:cs="Times New Roman"/>
                <w:b/>
                <w:color w:val="auto"/>
                <w:highlight w:val="none"/>
                <w:lang w:val="en-US" w:eastAsia="zh-CN"/>
              </w:rPr>
              <w:t>9</w:t>
            </w:r>
            <w:r>
              <w:rPr>
                <w:rFonts w:hint="default" w:ascii="Times New Roman" w:hAnsi="Times New Roman" w:eastAsia="宋体" w:cs="Times New Roman"/>
                <w:b/>
                <w:color w:val="auto"/>
                <w:highlight w:val="none"/>
              </w:rPr>
              <w:t xml:space="preserve">     建设项目环境风险简单分析内容表</w:t>
            </w:r>
          </w:p>
          <w:tbl>
            <w:tblPr>
              <w:tblStyle w:val="1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5"/>
              <w:gridCol w:w="1549"/>
              <w:gridCol w:w="1597"/>
              <w:gridCol w:w="1114"/>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建设项目名称</w:t>
                  </w:r>
                </w:p>
              </w:tc>
              <w:tc>
                <w:tcPr>
                  <w:tcW w:w="3422" w:type="pct"/>
                  <w:gridSpan w:val="4"/>
                  <w:noWrap w:val="0"/>
                  <w:vAlign w:val="center"/>
                </w:tcPr>
                <w:p>
                  <w:pPr>
                    <w:jc w:val="center"/>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 w:val="21"/>
                      <w:szCs w:val="21"/>
                      <w:highlight w:val="none"/>
                      <w:lang w:eastAsia="zh-CN" w:bidi="ar"/>
                    </w:rPr>
                    <w:t>年产</w:t>
                  </w:r>
                  <w:r>
                    <w:rPr>
                      <w:rFonts w:hint="eastAsia" w:cs="Times New Roman"/>
                      <w:color w:val="auto"/>
                      <w:kern w:val="0"/>
                      <w:sz w:val="21"/>
                      <w:szCs w:val="21"/>
                      <w:highlight w:val="none"/>
                      <w:lang w:val="en-US" w:eastAsia="zh-CN" w:bidi="ar"/>
                    </w:rPr>
                    <w:t>60</w:t>
                  </w:r>
                  <w:r>
                    <w:rPr>
                      <w:rFonts w:hint="eastAsia" w:ascii="Times New Roman" w:hAnsi="Times New Roman" w:cs="Times New Roman"/>
                      <w:color w:val="auto"/>
                      <w:kern w:val="0"/>
                      <w:sz w:val="21"/>
                      <w:szCs w:val="21"/>
                      <w:highlight w:val="none"/>
                      <w:lang w:eastAsia="zh-CN" w:bidi="ar"/>
                    </w:rPr>
                    <w:t>0万只高频变压器生产项目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建设地点</w:t>
                  </w:r>
                </w:p>
              </w:tc>
              <w:tc>
                <w:tcPr>
                  <w:tcW w:w="8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四川省</w:t>
                  </w:r>
                </w:p>
              </w:tc>
              <w:tc>
                <w:tcPr>
                  <w:tcW w:w="904" w:type="pct"/>
                  <w:noWrap w:val="0"/>
                  <w:vAlign w:val="center"/>
                </w:tcPr>
                <w:p>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遂宁</w:t>
                  </w:r>
                  <w:r>
                    <w:rPr>
                      <w:rFonts w:hint="default" w:ascii="Times New Roman" w:hAnsi="Times New Roman" w:eastAsia="宋体" w:cs="Times New Roman"/>
                      <w:color w:val="auto"/>
                      <w:kern w:val="0"/>
                      <w:szCs w:val="21"/>
                      <w:highlight w:val="none"/>
                    </w:rPr>
                    <w:t>市</w:t>
                  </w:r>
                </w:p>
              </w:tc>
              <w:tc>
                <w:tcPr>
                  <w:tcW w:w="1640" w:type="pct"/>
                  <w:gridSpan w:val="2"/>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遂宁市蓬溪县赤城镇上游工业园区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地理坐标</w:t>
                  </w:r>
                </w:p>
              </w:tc>
              <w:tc>
                <w:tcPr>
                  <w:tcW w:w="8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经度</w:t>
                  </w:r>
                </w:p>
              </w:tc>
              <w:tc>
                <w:tcPr>
                  <w:tcW w:w="904"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r>
                    <w:rPr>
                      <w:rFonts w:hint="eastAsia" w:ascii="Times New Roman" w:hAnsi="Times New Roman" w:eastAsia="宋体" w:cs="Times New Roman"/>
                      <w:color w:val="auto"/>
                      <w:kern w:val="0"/>
                      <w:szCs w:val="21"/>
                      <w:highlight w:val="none"/>
                      <w:lang w:val="en-US" w:eastAsia="zh-CN"/>
                    </w:rPr>
                    <w:t>5</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41</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5.581</w:t>
                  </w:r>
                  <w:r>
                    <w:rPr>
                      <w:rFonts w:hint="default" w:ascii="Times New Roman" w:hAnsi="Times New Roman" w:eastAsia="宋体" w:cs="Times New Roman"/>
                      <w:color w:val="auto"/>
                      <w:kern w:val="0"/>
                      <w:szCs w:val="21"/>
                      <w:highlight w:val="none"/>
                    </w:rPr>
                    <w:t>″</w:t>
                  </w:r>
                </w:p>
              </w:tc>
              <w:tc>
                <w:tcPr>
                  <w:tcW w:w="631"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纬度</w:t>
                  </w:r>
                </w:p>
              </w:tc>
              <w:tc>
                <w:tcPr>
                  <w:tcW w:w="1009"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w:t>
                  </w:r>
                  <w:r>
                    <w:rPr>
                      <w:rFonts w:hint="eastAsia" w:ascii="Times New Roman" w:hAnsi="Times New Roman" w:eastAsia="宋体" w:cs="Times New Roman"/>
                      <w:color w:val="auto"/>
                      <w:kern w:val="0"/>
                      <w:szCs w:val="21"/>
                      <w:highlight w:val="none"/>
                      <w:lang w:val="en-US" w:eastAsia="zh-CN"/>
                    </w:rPr>
                    <w:t>43</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59.351</w:t>
                  </w:r>
                  <w:r>
                    <w:rPr>
                      <w:rFonts w:hint="default" w:ascii="Times New Roman" w:hAnsi="Times New Roman" w:eastAsia="宋体" w:cs="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主要危险物质及分布</w:t>
                  </w:r>
                </w:p>
              </w:tc>
              <w:tc>
                <w:tcPr>
                  <w:tcW w:w="3422" w:type="pct"/>
                  <w:gridSpan w:val="4"/>
                  <w:noWrap w:val="0"/>
                  <w:vAlign w:val="center"/>
                </w:tcPr>
                <w:p>
                  <w:pPr>
                    <w:adjustRightInd w:val="0"/>
                    <w:snapToGrid w:val="0"/>
                    <w:ind w:firstLine="210" w:firstLineChars="100"/>
                    <w:jc w:val="left"/>
                    <w:rPr>
                      <w:rFonts w:hint="default" w:ascii="Times New Roman" w:hAnsi="Times New Roman" w:eastAsia="宋体" w:cs="Times New Roman"/>
                      <w:color w:val="auto"/>
                      <w:kern w:val="0"/>
                      <w:szCs w:val="21"/>
                      <w:highlight w:val="none"/>
                    </w:rPr>
                  </w:pPr>
                  <w:r>
                    <w:rPr>
                      <w:rFonts w:hint="eastAsia" w:ascii="Times New Roman" w:hAnsi="Times New Roman" w:cs="Times New Roman"/>
                      <w:color w:val="auto"/>
                      <w:sz w:val="21"/>
                      <w:highlight w:val="none"/>
                      <w:lang w:val="en-US" w:eastAsia="zh-CN"/>
                    </w:rPr>
                    <w:t>稀释剂</w:t>
                  </w:r>
                  <w:r>
                    <w:rPr>
                      <w:rFonts w:hint="default"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助焊剂、</w:t>
                  </w:r>
                  <w:r>
                    <w:rPr>
                      <w:rFonts w:hint="default" w:ascii="Times New Roman" w:hAnsi="Times New Roman" w:cs="Times New Roman"/>
                      <w:color w:val="auto"/>
                      <w:sz w:val="21"/>
                      <w:highlight w:val="none"/>
                    </w:rPr>
                    <w:t>机油</w:t>
                  </w:r>
                  <w:r>
                    <w:rPr>
                      <w:rFonts w:hint="eastAsia"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危废暂存间、生产设备</w:t>
                  </w:r>
                  <w:r>
                    <w:rPr>
                      <w:rFonts w:hint="default" w:ascii="Times New Roman" w:hAnsi="Times New Roman" w:cs="Times New Roman"/>
                      <w:color w:val="auto"/>
                      <w:sz w:val="21"/>
                      <w:highlight w:val="none"/>
                      <w:lang w:eastAsia="zh-CN"/>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环境影响途经及危害后果</w:t>
                  </w:r>
                </w:p>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(大气、地表水、地下水等)</w:t>
                  </w:r>
                </w:p>
              </w:tc>
              <w:tc>
                <w:tcPr>
                  <w:tcW w:w="3422" w:type="pct"/>
                  <w:gridSpan w:val="4"/>
                  <w:noWrap w:val="0"/>
                  <w:vAlign w:val="center"/>
                </w:tcPr>
                <w:p>
                  <w:pPr>
                    <w:adjustRightInd w:val="0"/>
                    <w:snapToGrid w:val="0"/>
                    <w:ind w:firstLine="210" w:firstLineChars="1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lang w:bidi="ar"/>
                    </w:rPr>
                    <w:t>危险化学品泄漏，若不及时妥善处置，有毒有害化学品挥发进入大气会造成大气环境污染；</w:t>
                  </w:r>
                  <w:r>
                    <w:rPr>
                      <w:rFonts w:hint="default" w:ascii="Times New Roman" w:hAnsi="Times New Roman" w:eastAsia="宋体" w:cs="Times New Roman"/>
                      <w:bCs/>
                      <w:color w:val="auto"/>
                      <w:szCs w:val="21"/>
                      <w:highlight w:val="none"/>
                      <w:lang w:eastAsia="zh-CN" w:bidi="ar"/>
                    </w:rPr>
                    <w:t>原料为易燃物品</w:t>
                  </w:r>
                  <w:r>
                    <w:rPr>
                      <w:rFonts w:hint="default" w:ascii="Times New Roman" w:hAnsi="Times New Roman" w:eastAsia="宋体" w:cs="Times New Roman"/>
                      <w:bCs/>
                      <w:color w:val="auto"/>
                      <w:szCs w:val="21"/>
                      <w:highlight w:val="none"/>
                      <w:lang w:bidi="ar"/>
                    </w:rPr>
                    <w:t>遇火源发生火灾和爆炸，燃爆产生的气体会造成大气环境污染；消防废水进入水体会造成水环境污染；燃爆造成地下防渗层破坏，泄漏物料会进入地下，造成地下水污染。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7" w:type="pc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风险防范措施要求</w:t>
                  </w:r>
                </w:p>
              </w:tc>
              <w:tc>
                <w:tcPr>
                  <w:tcW w:w="3422" w:type="pct"/>
                  <w:gridSpan w:val="4"/>
                  <w:noWrap w:val="0"/>
                  <w:vAlign w:val="center"/>
                </w:tcPr>
                <w:p>
                  <w:pPr>
                    <w:adjustRightInd w:val="0"/>
                    <w:snapToGrid w:val="0"/>
                    <w:ind w:firstLine="210" w:firstLineChars="1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分区防渗，以满足不同防渗区域的防渗要求。</w:t>
                  </w:r>
                </w:p>
                <w:p>
                  <w:pPr>
                    <w:adjustRightInd w:val="0"/>
                    <w:snapToGrid w:val="0"/>
                    <w:ind w:firstLine="210" w:firstLineChars="1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按《建筑灭火器的配置设计规范》，在仓库配置消防栓、灭火器，设置防火警示标志、禁止明火。</w:t>
                  </w:r>
                </w:p>
                <w:p>
                  <w:pPr>
                    <w:widowControl w:val="0"/>
                    <w:autoSpaceDE/>
                    <w:autoSpaceDN/>
                    <w:adjustRightInd w:val="0"/>
                    <w:snapToGrid w:val="0"/>
                    <w:ind w:firstLine="210" w:firstLineChars="10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加强各环保设施的日常维护工作。</w:t>
                  </w:r>
                </w:p>
                <w:p>
                  <w:pPr>
                    <w:adjustRightInd w:val="0"/>
                    <w:snapToGrid w:val="0"/>
                    <w:ind w:firstLine="210" w:firstLineChars="1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编制应急预案及管理措施建设，建立环境风险应急联防机制，加强库房的安全管理，制定严格的岗位责任制度，安全操作注意事项等制度，购买应急物资。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noWrap w:val="0"/>
                  <w:vAlign w:val="center"/>
                </w:tcPr>
                <w:p>
                  <w:pPr>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填表说明：</w:t>
                  </w:r>
                </w:p>
                <w:p>
                  <w:pPr>
                    <w:ind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根据本项目的特点，项目环境风险类型主要包括危险化学品泄漏及火灾引发的次生环境风险、废水废气事故排放等，但发生环境风险事故的概率较低，在落实好本项目环境风险防范措施的前提下，本项目环境风险值可控制在可接受水平范围内。</w:t>
                  </w:r>
                </w:p>
              </w:tc>
            </w:tr>
          </w:tbl>
          <w:p>
            <w:pPr>
              <w:spacing w:line="360" w:lineRule="auto"/>
              <w:ind w:firstLine="482" w:firstLineChars="200"/>
              <w:rPr>
                <w:b/>
                <w:color w:val="auto"/>
                <w:sz w:val="24"/>
                <w:highlight w:val="none"/>
                <w:lang w:bidi="ar"/>
              </w:rPr>
            </w:pPr>
            <w:r>
              <w:rPr>
                <w:rFonts w:hint="eastAsia"/>
                <w:b/>
                <w:color w:val="auto"/>
                <w:sz w:val="24"/>
                <w:highlight w:val="none"/>
                <w:lang w:bidi="ar"/>
              </w:rPr>
              <w:t>6、</w:t>
            </w:r>
            <w:r>
              <w:rPr>
                <w:b/>
                <w:color w:val="auto"/>
                <w:sz w:val="24"/>
                <w:highlight w:val="none"/>
                <w:lang w:bidi="ar"/>
              </w:rPr>
              <w:t>环境风险分析结论</w:t>
            </w:r>
          </w:p>
          <w:p>
            <w:pPr>
              <w:spacing w:line="360" w:lineRule="auto"/>
              <w:ind w:firstLine="480" w:firstLineChars="200"/>
              <w:rPr>
                <w:rFonts w:hint="eastAsia"/>
                <w:b/>
                <w:color w:val="auto"/>
                <w:sz w:val="24"/>
                <w:highlight w:val="none"/>
              </w:rPr>
            </w:pPr>
            <w:r>
              <w:rPr>
                <w:bCs/>
                <w:color w:val="auto"/>
                <w:sz w:val="24"/>
                <w:highlight w:val="none"/>
                <w:lang w:bidi="ar"/>
              </w:rPr>
              <w:t>综上分析，项目建成后，只要不断加强环境管理和生产安全，对每个环节特别是危险物品落实风险防范措施和应急措施，可避免环境风险事故的发生。本项目使用的风险物质其储存量较小，不构成重大危险源；风险分析表明，</w:t>
            </w:r>
            <w:r>
              <w:rPr>
                <w:rFonts w:hint="eastAsia"/>
                <w:bCs/>
                <w:color w:val="auto"/>
                <w:sz w:val="24"/>
                <w:highlight w:val="none"/>
                <w:lang w:bidi="ar"/>
              </w:rPr>
              <w:t>建设单位</w:t>
            </w:r>
            <w:r>
              <w:rPr>
                <w:bCs/>
                <w:color w:val="auto"/>
                <w:sz w:val="24"/>
                <w:highlight w:val="none"/>
                <w:lang w:bidi="ar"/>
              </w:rPr>
              <w:t>通过采取一系列风险防范措施，可有效降低危险化学品使用风险，能使项目风险水平降低至可接受程度。</w:t>
            </w:r>
          </w:p>
          <w:p>
            <w:p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七</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项目环境管理</w:t>
            </w:r>
            <w:r>
              <w:rPr>
                <w:rFonts w:hint="eastAsia" w:cs="Times New Roman"/>
                <w:b/>
                <w:bCs/>
                <w:color w:val="auto"/>
                <w:sz w:val="24"/>
                <w:highlight w:val="none"/>
                <w:lang w:val="en-US" w:eastAsia="zh-CN"/>
              </w:rPr>
              <w:t>与环境监测</w:t>
            </w:r>
          </w:p>
          <w:p>
            <w:pPr>
              <w:spacing w:line="360" w:lineRule="auto"/>
              <w:ind w:firstLine="482" w:firstLineChars="200"/>
              <w:rPr>
                <w:color w:val="auto"/>
                <w:sz w:val="24"/>
                <w:highlight w:val="none"/>
              </w:rPr>
            </w:pPr>
            <w:r>
              <w:rPr>
                <w:b/>
                <w:color w:val="auto"/>
                <w:sz w:val="24"/>
                <w:highlight w:val="none"/>
              </w:rPr>
              <w:t>1、环境管理</w:t>
            </w:r>
          </w:p>
          <w:p>
            <w:pPr>
              <w:spacing w:line="360" w:lineRule="auto"/>
              <w:ind w:firstLine="480" w:firstLineChars="200"/>
              <w:rPr>
                <w:color w:val="auto"/>
                <w:sz w:val="24"/>
                <w:highlight w:val="none"/>
              </w:rPr>
            </w:pPr>
            <w:r>
              <w:rPr>
                <w:color w:val="auto"/>
                <w:sz w:val="24"/>
                <w:highlight w:val="none"/>
              </w:rPr>
              <w:t>环境管理机构的设置，目的是为了贯彻执行中华人民共和国环境保护法的有关法律、法规，全面落实国务院关于环境保护若干问题的决定的有关规定，对项目“三废”排放实行监控，确保建设项目经济、环境和社会效益协调发展；协调地方环保部门工作，为企业的生产管理和环境管理提供保证，针对项目的具体情况，为加强严格管理，企业应设置环境管理机构，并履行相应的职责。环境管理机构的职责如下：</w:t>
            </w:r>
          </w:p>
          <w:p>
            <w:pPr>
              <w:spacing w:line="360" w:lineRule="auto"/>
              <w:ind w:firstLine="480" w:firstLineChars="200"/>
              <w:rPr>
                <w:color w:val="auto"/>
                <w:sz w:val="24"/>
                <w:highlight w:val="none"/>
              </w:rPr>
            </w:pPr>
            <w:r>
              <w:rPr>
                <w:color w:val="auto"/>
                <w:sz w:val="24"/>
                <w:highlight w:val="none"/>
              </w:rPr>
              <w:t>（1）贯彻、宣传国家的环保方针、政策和法律法规。</w:t>
            </w:r>
          </w:p>
          <w:p>
            <w:pPr>
              <w:spacing w:line="360" w:lineRule="auto"/>
              <w:ind w:firstLine="480" w:firstLineChars="200"/>
              <w:rPr>
                <w:color w:val="auto"/>
                <w:sz w:val="24"/>
                <w:highlight w:val="none"/>
              </w:rPr>
            </w:pPr>
            <w:r>
              <w:rPr>
                <w:color w:val="auto"/>
                <w:sz w:val="24"/>
                <w:highlight w:val="none"/>
              </w:rPr>
              <w:t>（2）制定本单位的环保管理制度、环保技术经济政策、环境保护发展规划和年度实施计划。</w:t>
            </w:r>
          </w:p>
          <w:p>
            <w:pPr>
              <w:spacing w:line="360" w:lineRule="auto"/>
              <w:ind w:firstLine="480" w:firstLineChars="200"/>
              <w:rPr>
                <w:color w:val="auto"/>
                <w:sz w:val="24"/>
                <w:highlight w:val="none"/>
              </w:rPr>
            </w:pPr>
            <w:r>
              <w:rPr>
                <w:color w:val="auto"/>
                <w:sz w:val="24"/>
                <w:highlight w:val="none"/>
              </w:rPr>
              <w:t>（3）监督检查本项目执行“三同时”规定的情况，使环境保护工程措施与主体工程同时设计、同时施工、同时投产，以保证有效的控制污染。</w:t>
            </w:r>
          </w:p>
          <w:p>
            <w:pPr>
              <w:spacing w:line="360" w:lineRule="auto"/>
              <w:ind w:firstLine="480" w:firstLineChars="200"/>
              <w:rPr>
                <w:color w:val="auto"/>
                <w:sz w:val="24"/>
                <w:highlight w:val="none"/>
              </w:rPr>
            </w:pPr>
            <w:r>
              <w:rPr>
                <w:color w:val="auto"/>
                <w:sz w:val="24"/>
                <w:highlight w:val="none"/>
              </w:rPr>
              <w:t>（4）定期进行环保设备检查、维修和保养工作，确保环保设施长期、稳定、达标运转。</w:t>
            </w:r>
          </w:p>
          <w:p>
            <w:pPr>
              <w:spacing w:line="360" w:lineRule="auto"/>
              <w:ind w:firstLine="480" w:firstLineChars="200"/>
              <w:rPr>
                <w:color w:val="auto"/>
                <w:sz w:val="24"/>
                <w:highlight w:val="none"/>
              </w:rPr>
            </w:pPr>
            <w:r>
              <w:rPr>
                <w:color w:val="auto"/>
                <w:sz w:val="24"/>
                <w:highlight w:val="none"/>
              </w:rPr>
              <w:t>（5）负责本项目环保设施的日常运行管理工作，制定事故防范措施，一旦发生事故，组织污染源调查及控制工作，并及时总结经验教训。</w:t>
            </w:r>
          </w:p>
          <w:p>
            <w:pPr>
              <w:spacing w:line="360" w:lineRule="auto"/>
              <w:ind w:firstLine="480" w:firstLineChars="200"/>
              <w:rPr>
                <w:rFonts w:hint="eastAsia"/>
                <w:color w:val="auto"/>
                <w:sz w:val="24"/>
                <w:highlight w:val="none"/>
                <w:lang w:eastAsia="zh-CN"/>
              </w:rPr>
            </w:pPr>
            <w:r>
              <w:rPr>
                <w:color w:val="auto"/>
                <w:sz w:val="24"/>
                <w:highlight w:val="none"/>
              </w:rPr>
              <w:t>（6）负责对本单位职工进行环境保护教育，不断提高职工的环境意识和环保人员的业务素质</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1）</w:t>
            </w:r>
            <w:r>
              <w:rPr>
                <w:b/>
                <w:bCs/>
                <w:color w:val="auto"/>
                <w:sz w:val="24"/>
                <w:highlight w:val="none"/>
              </w:rPr>
              <w:t>施工期环境管理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(1)建设单位与施工单位签定工程承包合同时，应包括有关工程施工期间环境保护条款，包括工程施工中生态环境保护(水土保持)、施工期间环境污染控制、污染物排放管理、施工人员环保教育及相关奖惩条款。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(2)施工单位应提高环保意识，加强驻地和施工现场的环境管理，合理安排施工计划，切实做到组织计划严谨，文明施工；环保措施逐条落实到位，环保工程与主体工程同时施工、同时运行，环保工程费用专款专用，不偷工减料、延误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(3)加强环境管理，施工污水避免无组织散排，集中排放指定地点；扬尘应采取降尘措施，工程施工完毕后施工单位及时清理和恢复施工现场，妥善处理生活垃圾与施工弃渣，减少扬尘；施工现场应执行《建筑施工场界环境噪声排放标准》(GB12523-2011)中的有关规定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w:t>
            </w:r>
            <w:r>
              <w:rPr>
                <w:rFonts w:hint="eastAsia"/>
                <w:color w:val="auto"/>
                <w:sz w:val="24"/>
                <w:highlight w:val="none"/>
                <w:lang w:val="en-US" w:eastAsia="zh-CN"/>
              </w:rPr>
              <w:t>4</w:t>
            </w:r>
            <w:r>
              <w:rPr>
                <w:color w:val="auto"/>
                <w:sz w:val="24"/>
                <w:highlight w:val="none"/>
              </w:rPr>
              <w:t>)认真落实各项补偿措施，做好工程各项环保设施的施工监理与验收，组织并监督完成施工现场的迹地恢复工作</w:t>
            </w:r>
            <w:r>
              <w:rPr>
                <w:rFonts w:hint="eastAsia"/>
                <w:color w:val="auto"/>
                <w:sz w:val="24"/>
                <w:highlight w:val="none"/>
              </w:rPr>
              <w:t>，</w:t>
            </w:r>
            <w:r>
              <w:rPr>
                <w:color w:val="auto"/>
                <w:sz w:val="24"/>
                <w:highlight w:val="none"/>
              </w:rPr>
              <w:t>保证环保工程质量，真正做到环保工程“三同时”。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2）</w:t>
            </w:r>
            <w:r>
              <w:rPr>
                <w:b/>
                <w:bCs/>
                <w:color w:val="auto"/>
                <w:sz w:val="24"/>
                <w:highlight w:val="none"/>
              </w:rPr>
              <w:t>试运行期环境管理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(1)检查施工项目是否按照设计、环评规定的环保措施全部完工。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(2)做好环保设施运行记录。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(3)向环保部门和当地主管部门提交试运行申请报告。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(4)配合环保部门和当地主管部门对环保工作进行现场检查。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(5)总结试运行的经验，健全前期的各项管理制度。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3）</w:t>
            </w:r>
            <w:r>
              <w:rPr>
                <w:b/>
                <w:bCs/>
                <w:color w:val="auto"/>
                <w:sz w:val="24"/>
                <w:highlight w:val="none"/>
              </w:rPr>
              <w:t>运行期环境管理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(1)管理机构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由企业设置的环保部负责项目运行期的环境管理工作，与当地环保部门及其授权监测部门保持密切联系，直接监管企业污染物的排放情况，并对其逐步实施总量控制；对超标排放及污染事故、纠纷进行处理。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(2)运行期环境职责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由分管环保的专人负责环保指标的落实，将环保指标逐级分解到车间、班组和个人，负责环保设备的运转和维护，确保其正常运转和达标排放，充分发挥其作用；项目在生产运行过程中为保证环境管理系统的有效运行应制定环境管理方案，环境管理方案主要包括下列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1）</w:t>
            </w:r>
            <w:r>
              <w:rPr>
                <w:rFonts w:hint="eastAsia"/>
                <w:color w:val="auto"/>
                <w:sz w:val="24"/>
                <w:highlight w:val="none"/>
              </w:rPr>
              <w:t>按照现行的排污许可管理排放，申报排污许可。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2</w:t>
            </w:r>
            <w:r>
              <w:rPr>
                <w:color w:val="auto"/>
                <w:sz w:val="24"/>
                <w:highlight w:val="none"/>
              </w:rPr>
              <w:t>）组织贯彻国家及地方的有关环保方针、政策法令和条例，搞好环境教育和技术培训，提高公司职工的环保意识和技术水平，提高污染控制的责任心。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3</w:t>
            </w:r>
            <w:r>
              <w:rPr>
                <w:color w:val="auto"/>
                <w:sz w:val="24"/>
                <w:highlight w:val="none"/>
              </w:rPr>
              <w:t>）制定并实施公司环境保护工作的长期规划及年度污染治理计划，定期检查环保设施的运行状况及对设备的维修与管理，严格控制“三废”的排放。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4</w:t>
            </w:r>
            <w:r>
              <w:rPr>
                <w:color w:val="auto"/>
                <w:sz w:val="24"/>
                <w:highlight w:val="none"/>
              </w:rPr>
              <w:t>）掌握公司内部污染物排放状况，编制公司内部环境状况报告。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5</w:t>
            </w:r>
            <w:r>
              <w:rPr>
                <w:color w:val="auto"/>
                <w:sz w:val="24"/>
                <w:highlight w:val="none"/>
              </w:rPr>
              <w:t>）负责环保专项资金的平衡与控制及办理排污</w:t>
            </w:r>
            <w:r>
              <w:rPr>
                <w:rFonts w:hint="eastAsia"/>
                <w:color w:val="auto"/>
                <w:sz w:val="24"/>
                <w:highlight w:val="none"/>
              </w:rPr>
              <w:t>监测与收缴费</w:t>
            </w:r>
            <w:r>
              <w:rPr>
                <w:color w:val="auto"/>
                <w:sz w:val="24"/>
                <w:highlight w:val="none"/>
              </w:rPr>
              <w:t>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6</w:t>
            </w:r>
            <w:r>
              <w:rPr>
                <w:color w:val="auto"/>
                <w:sz w:val="24"/>
                <w:highlight w:val="none"/>
              </w:rPr>
              <w:t>）</w:t>
            </w:r>
            <w:r>
              <w:rPr>
                <w:rFonts w:hint="eastAsia"/>
                <w:color w:val="auto"/>
                <w:sz w:val="24"/>
                <w:highlight w:val="none"/>
              </w:rPr>
              <w:t>负责</w:t>
            </w:r>
            <w:r>
              <w:rPr>
                <w:color w:val="auto"/>
                <w:sz w:val="24"/>
                <w:highlight w:val="none"/>
              </w:rPr>
              <w:t>组织落实“三同时”</w:t>
            </w:r>
            <w:r>
              <w:rPr>
                <w:rFonts w:hint="eastAsia"/>
                <w:color w:val="auto"/>
                <w:sz w:val="24"/>
                <w:highlight w:val="none"/>
              </w:rPr>
              <w:t>等</w:t>
            </w:r>
            <w:r>
              <w:rPr>
                <w:color w:val="auto"/>
                <w:sz w:val="24"/>
                <w:highlight w:val="none"/>
              </w:rPr>
              <w:t>环保审定及竣工验收。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7</w:t>
            </w:r>
            <w:r>
              <w:rPr>
                <w:color w:val="auto"/>
                <w:sz w:val="24"/>
                <w:highlight w:val="none"/>
              </w:rPr>
              <w:t>）组织环境监测，检查公司环境状况，并及时将环境监测信息向环保部门通报。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8</w:t>
            </w:r>
            <w:r>
              <w:rPr>
                <w:color w:val="auto"/>
                <w:sz w:val="24"/>
                <w:highlight w:val="none"/>
              </w:rPr>
              <w:t>）组织实施事故状态下防治污染产生及扩散的应急措施；调查处理公司内污染事故和污染纠纷，组织“三废”处理利用技术的实验和研究；建立污染突发事故分类分级档案和处理制度。</w:t>
            </w:r>
          </w:p>
          <w:p>
            <w:pPr>
              <w:pStyle w:val="4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color w:val="auto"/>
                <w:kern w:val="2"/>
                <w:sz w:val="24"/>
                <w:szCs w:val="24"/>
                <w:highlight w:val="none"/>
              </w:rPr>
            </w:pPr>
            <w:r>
              <w:rPr>
                <w:rFonts w:hint="eastAsia"/>
                <w:color w:val="auto"/>
                <w:kern w:val="2"/>
                <w:sz w:val="24"/>
                <w:szCs w:val="24"/>
                <w:highlight w:val="none"/>
              </w:rPr>
              <w:t>为切实控制本工程治理设施的有效地运行和“达标排放”，落实排污总量控制制度，根据《建设项目环境保护管理条例》第八条的规定，本环评对建设项目实施环境监测建议。</w:t>
            </w:r>
          </w:p>
          <w:p>
            <w:pPr>
              <w:pStyle w:val="4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color w:val="auto"/>
                <w:kern w:val="2"/>
                <w:szCs w:val="24"/>
                <w:highlight w:val="none"/>
              </w:rPr>
            </w:pPr>
            <w:r>
              <w:rPr>
                <w:rFonts w:hint="eastAsia"/>
                <w:color w:val="auto"/>
                <w:kern w:val="2"/>
                <w:sz w:val="24"/>
                <w:szCs w:val="24"/>
                <w:highlight w:val="none"/>
              </w:rPr>
              <w:t>根据《污染源监测管理办法》，公司可委托当地具有监测资质的单位开展废气和噪声监测。根据</w:t>
            </w:r>
            <w:r>
              <w:rPr>
                <w:rFonts w:hint="default" w:ascii="Times New Roman" w:hAnsi="Times New Roman" w:cs="Times New Roman"/>
                <w:color w:val="auto"/>
                <w:sz w:val="24"/>
                <w:highlight w:val="none"/>
              </w:rPr>
              <w:t>本企业的排污特点</w:t>
            </w:r>
            <w:r>
              <w:rPr>
                <w:rFonts w:hint="eastAsia" w:ascii="Times New Roman" w:hAnsi="Times New Roman" w:cs="Times New Roman"/>
                <w:color w:val="auto"/>
                <w:sz w:val="24"/>
                <w:highlight w:val="none"/>
                <w:lang w:eastAsia="zh-CN"/>
              </w:rPr>
              <w:t>，参照</w:t>
            </w:r>
            <w:r>
              <w:rPr>
                <w:rFonts w:hint="default" w:ascii="Times New Roman" w:hAnsi="Times New Roman" w:cs="Times New Roman"/>
                <w:b w:val="0"/>
                <w:bCs/>
                <w:color w:val="auto"/>
                <w:sz w:val="24"/>
                <w:highlight w:val="none"/>
                <w:lang w:eastAsia="zh-CN"/>
              </w:rPr>
              <w:t>《排污许可证申请与核发技术规范</w:t>
            </w:r>
            <w:r>
              <w:rPr>
                <w:rFonts w:hint="default" w:ascii="Times New Roman" w:hAnsi="Times New Roman" w:cs="Times New Roman"/>
                <w:b w:val="0"/>
                <w:bCs/>
                <w:color w:val="auto"/>
                <w:sz w:val="24"/>
                <w:highlight w:val="none"/>
                <w:lang w:val="en-US" w:eastAsia="zh-CN"/>
              </w:rPr>
              <w:t xml:space="preserve"> </w:t>
            </w:r>
            <w:r>
              <w:rPr>
                <w:rFonts w:hint="eastAsia" w:ascii="Times New Roman" w:hAnsi="Times New Roman" w:cs="Times New Roman"/>
                <w:b w:val="0"/>
                <w:bCs/>
                <w:color w:val="auto"/>
                <w:sz w:val="24"/>
                <w:highlight w:val="none"/>
                <w:lang w:val="en-US" w:eastAsia="zh-CN"/>
              </w:rPr>
              <w:t>电子工业</w:t>
            </w:r>
            <w:r>
              <w:rPr>
                <w:rFonts w:hint="default" w:ascii="Times New Roman" w:hAnsi="Times New Roman" w:cs="Times New Roman"/>
                <w:b w:val="0"/>
                <w:bCs/>
                <w:color w:val="auto"/>
                <w:sz w:val="24"/>
                <w:highlight w:val="none"/>
                <w:lang w:eastAsia="zh-CN"/>
              </w:rPr>
              <w:t>》（HJ1031-2019）</w:t>
            </w:r>
            <w:r>
              <w:rPr>
                <w:rFonts w:hint="eastAsia"/>
                <w:color w:val="auto"/>
                <w:kern w:val="2"/>
                <w:sz w:val="24"/>
                <w:szCs w:val="24"/>
                <w:highlight w:val="none"/>
              </w:rPr>
              <w:t xml:space="preserve">及《排污单位自行监测技术指南 </w:t>
            </w:r>
            <w:r>
              <w:rPr>
                <w:color w:val="auto"/>
                <w:kern w:val="2"/>
                <w:sz w:val="24"/>
                <w:szCs w:val="24"/>
                <w:highlight w:val="none"/>
              </w:rPr>
              <w:t xml:space="preserve"> 总则</w:t>
            </w:r>
            <w:r>
              <w:rPr>
                <w:rFonts w:hint="eastAsia"/>
                <w:color w:val="auto"/>
                <w:kern w:val="2"/>
                <w:sz w:val="24"/>
                <w:szCs w:val="24"/>
                <w:highlight w:val="none"/>
              </w:rPr>
              <w:t>》（H</w:t>
            </w:r>
            <w:r>
              <w:rPr>
                <w:color w:val="auto"/>
                <w:kern w:val="2"/>
                <w:sz w:val="24"/>
                <w:szCs w:val="24"/>
                <w:highlight w:val="none"/>
              </w:rPr>
              <w:t>J819-2017</w:t>
            </w:r>
            <w:r>
              <w:rPr>
                <w:rFonts w:hint="eastAsia"/>
                <w:color w:val="auto"/>
                <w:kern w:val="2"/>
                <w:sz w:val="24"/>
                <w:szCs w:val="24"/>
                <w:highlight w:val="none"/>
              </w:rPr>
              <w:t>），对</w:t>
            </w:r>
            <w:r>
              <w:rPr>
                <w:rFonts w:hint="eastAsia"/>
                <w:color w:val="auto"/>
                <w:kern w:val="2"/>
                <w:sz w:val="24"/>
                <w:szCs w:val="24"/>
                <w:highlight w:val="none"/>
                <w:lang w:val="en-US" w:eastAsia="zh-CN"/>
              </w:rPr>
              <w:t>项目</w:t>
            </w:r>
            <w:r>
              <w:rPr>
                <w:rFonts w:hint="eastAsia"/>
                <w:color w:val="auto"/>
                <w:kern w:val="2"/>
                <w:sz w:val="24"/>
                <w:szCs w:val="24"/>
                <w:highlight w:val="none"/>
              </w:rPr>
              <w:t>建成后委托环境监测机构开展定期监测的计划建议见下表。</w:t>
            </w:r>
          </w:p>
          <w:p>
            <w:pPr>
              <w:jc w:val="center"/>
              <w:rPr>
                <w:color w:val="auto"/>
                <w:highlight w:val="none"/>
              </w:rPr>
            </w:pPr>
            <w:r>
              <w:rPr>
                <w:b/>
                <w:color w:val="auto"/>
                <w:kern w:val="2"/>
                <w:szCs w:val="24"/>
                <w:highlight w:val="none"/>
              </w:rPr>
              <w:t>表</w:t>
            </w:r>
            <w:r>
              <w:rPr>
                <w:rFonts w:hint="eastAsia"/>
                <w:b/>
                <w:color w:val="auto"/>
                <w:kern w:val="2"/>
                <w:szCs w:val="24"/>
                <w:highlight w:val="none"/>
              </w:rPr>
              <w:t>4-</w:t>
            </w:r>
            <w:r>
              <w:rPr>
                <w:rFonts w:hint="eastAsia"/>
                <w:b/>
                <w:color w:val="auto"/>
                <w:kern w:val="2"/>
                <w:szCs w:val="24"/>
                <w:highlight w:val="none"/>
                <w:lang w:val="en-US" w:eastAsia="zh-CN"/>
              </w:rPr>
              <w:t>20</w:t>
            </w:r>
            <w:r>
              <w:rPr>
                <w:b/>
                <w:color w:val="auto"/>
                <w:kern w:val="2"/>
                <w:szCs w:val="24"/>
                <w:highlight w:val="none"/>
              </w:rPr>
              <w:t xml:space="preserve">  环境监测计划</w:t>
            </w:r>
          </w:p>
          <w:tbl>
            <w:tblPr>
              <w:tblStyle w:val="19"/>
              <w:tblW w:w="8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500"/>
              <w:gridCol w:w="1140"/>
              <w:gridCol w:w="2790"/>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blHeader/>
                <w:jc w:val="center"/>
              </w:trPr>
              <w:tc>
                <w:tcPr>
                  <w:tcW w:w="1287" w:type="dxa"/>
                  <w:noWrap w:val="0"/>
                  <w:vAlign w:val="center"/>
                </w:tcPr>
                <w:p>
                  <w:pPr>
                    <w:jc w:val="center"/>
                    <w:rPr>
                      <w:b w:val="0"/>
                      <w:bCs/>
                      <w:color w:val="auto"/>
                      <w:sz w:val="21"/>
                      <w:szCs w:val="21"/>
                      <w:highlight w:val="none"/>
                      <w:shd w:val="clear" w:color="auto" w:fill="FFFFFF"/>
                    </w:rPr>
                  </w:pPr>
                  <w:r>
                    <w:rPr>
                      <w:b w:val="0"/>
                      <w:bCs/>
                      <w:color w:val="auto"/>
                      <w:sz w:val="21"/>
                      <w:szCs w:val="21"/>
                      <w:highlight w:val="none"/>
                      <w:shd w:val="clear" w:color="auto" w:fill="FFFFFF"/>
                    </w:rPr>
                    <w:t>类别</w:t>
                  </w:r>
                </w:p>
              </w:tc>
              <w:tc>
                <w:tcPr>
                  <w:tcW w:w="1500" w:type="dxa"/>
                  <w:noWrap w:val="0"/>
                  <w:vAlign w:val="center"/>
                </w:tcPr>
                <w:p>
                  <w:pPr>
                    <w:jc w:val="center"/>
                    <w:rPr>
                      <w:b w:val="0"/>
                      <w:bCs/>
                      <w:color w:val="auto"/>
                      <w:sz w:val="21"/>
                      <w:szCs w:val="21"/>
                      <w:highlight w:val="none"/>
                      <w:shd w:val="clear" w:color="auto" w:fill="FFFFFF"/>
                    </w:rPr>
                  </w:pPr>
                  <w:r>
                    <w:rPr>
                      <w:b w:val="0"/>
                      <w:bCs/>
                      <w:color w:val="auto"/>
                      <w:sz w:val="21"/>
                      <w:szCs w:val="21"/>
                      <w:highlight w:val="none"/>
                      <w:shd w:val="clear" w:color="auto" w:fill="FFFFFF"/>
                    </w:rPr>
                    <w:t>监测位置</w:t>
                  </w:r>
                </w:p>
              </w:tc>
              <w:tc>
                <w:tcPr>
                  <w:tcW w:w="1140" w:type="dxa"/>
                  <w:noWrap w:val="0"/>
                  <w:vAlign w:val="center"/>
                </w:tcPr>
                <w:p>
                  <w:pPr>
                    <w:jc w:val="center"/>
                    <w:rPr>
                      <w:b w:val="0"/>
                      <w:bCs/>
                      <w:color w:val="auto"/>
                      <w:sz w:val="21"/>
                      <w:szCs w:val="21"/>
                      <w:highlight w:val="none"/>
                      <w:shd w:val="clear" w:color="auto" w:fill="FFFFFF"/>
                    </w:rPr>
                  </w:pPr>
                  <w:r>
                    <w:rPr>
                      <w:rFonts w:hint="eastAsia"/>
                      <w:b w:val="0"/>
                      <w:bCs/>
                      <w:color w:val="auto"/>
                      <w:sz w:val="21"/>
                      <w:szCs w:val="21"/>
                      <w:highlight w:val="none"/>
                      <w:shd w:val="clear" w:color="auto" w:fill="FFFFFF"/>
                      <w:lang w:val="en-US" w:eastAsia="zh-CN"/>
                    </w:rPr>
                    <w:t>监</w:t>
                  </w:r>
                  <w:r>
                    <w:rPr>
                      <w:b w:val="0"/>
                      <w:bCs/>
                      <w:color w:val="auto"/>
                      <w:sz w:val="21"/>
                      <w:szCs w:val="21"/>
                      <w:highlight w:val="none"/>
                      <w:shd w:val="clear" w:color="auto" w:fill="FFFFFF"/>
                    </w:rPr>
                    <w:t>测点数</w:t>
                  </w:r>
                </w:p>
              </w:tc>
              <w:tc>
                <w:tcPr>
                  <w:tcW w:w="2790" w:type="dxa"/>
                  <w:noWrap w:val="0"/>
                  <w:vAlign w:val="center"/>
                </w:tcPr>
                <w:p>
                  <w:pPr>
                    <w:jc w:val="center"/>
                    <w:rPr>
                      <w:b w:val="0"/>
                      <w:bCs/>
                      <w:color w:val="auto"/>
                      <w:sz w:val="21"/>
                      <w:szCs w:val="21"/>
                      <w:highlight w:val="none"/>
                      <w:shd w:val="clear" w:color="auto" w:fill="FFFFFF"/>
                    </w:rPr>
                  </w:pPr>
                  <w:r>
                    <w:rPr>
                      <w:b w:val="0"/>
                      <w:bCs/>
                      <w:color w:val="auto"/>
                      <w:sz w:val="21"/>
                      <w:szCs w:val="21"/>
                      <w:highlight w:val="none"/>
                      <w:shd w:val="clear" w:color="auto" w:fill="FFFFFF"/>
                    </w:rPr>
                    <w:t>监测项目</w:t>
                  </w:r>
                </w:p>
              </w:tc>
              <w:tc>
                <w:tcPr>
                  <w:tcW w:w="1447" w:type="dxa"/>
                  <w:noWrap w:val="0"/>
                  <w:vAlign w:val="center"/>
                </w:tcPr>
                <w:p>
                  <w:pPr>
                    <w:jc w:val="center"/>
                    <w:rPr>
                      <w:b w:val="0"/>
                      <w:bCs/>
                      <w:color w:val="auto"/>
                      <w:sz w:val="21"/>
                      <w:szCs w:val="21"/>
                      <w:highlight w:val="none"/>
                      <w:shd w:val="clear" w:color="auto" w:fill="FFFFFF"/>
                    </w:rPr>
                  </w:pPr>
                  <w:r>
                    <w:rPr>
                      <w:b w:val="0"/>
                      <w:bCs/>
                      <w:color w:val="auto"/>
                      <w:sz w:val="21"/>
                      <w:szCs w:val="21"/>
                      <w:highlight w:val="none"/>
                      <w:shd w:val="clear" w:color="auto" w:fill="FFFFFF"/>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287" w:type="dxa"/>
                  <w:noWrap w:val="0"/>
                  <w:vAlign w:val="center"/>
                </w:tcPr>
                <w:p>
                  <w:pPr>
                    <w:pStyle w:val="10"/>
                    <w:spacing w:line="240" w:lineRule="auto"/>
                    <w:ind w:left="0" w:leftChars="0" w:right="0" w:rightChars="0" w:firstLine="0" w:firstLineChars="0"/>
                    <w:jc w:val="center"/>
                    <w:rPr>
                      <w:b w:val="0"/>
                      <w:bCs/>
                      <w:color w:val="auto"/>
                      <w:sz w:val="21"/>
                      <w:szCs w:val="21"/>
                      <w:highlight w:val="none"/>
                      <w:shd w:val="clear" w:color="auto" w:fill="FFFFFF"/>
                    </w:rPr>
                  </w:pPr>
                  <w:r>
                    <w:rPr>
                      <w:rFonts w:hint="default" w:ascii="Times New Roman" w:hAnsi="Times New Roman" w:cs="Times New Roman"/>
                      <w:b w:val="0"/>
                      <w:bCs/>
                      <w:color w:val="auto"/>
                      <w:sz w:val="21"/>
                      <w:szCs w:val="21"/>
                      <w:highlight w:val="none"/>
                    </w:rPr>
                    <w:t>噪声</w:t>
                  </w:r>
                </w:p>
              </w:tc>
              <w:tc>
                <w:tcPr>
                  <w:tcW w:w="1500" w:type="dxa"/>
                  <w:noWrap w:val="0"/>
                  <w:vAlign w:val="center"/>
                </w:tcPr>
                <w:p>
                  <w:pPr>
                    <w:pStyle w:val="10"/>
                    <w:spacing w:line="240" w:lineRule="auto"/>
                    <w:ind w:left="0" w:leftChars="0" w:right="0" w:rightChars="0" w:firstLine="0" w:firstLineChars="0"/>
                    <w:jc w:val="center"/>
                    <w:rPr>
                      <w:b w:val="0"/>
                      <w:bCs/>
                      <w:color w:val="auto"/>
                      <w:sz w:val="21"/>
                      <w:szCs w:val="21"/>
                      <w:highlight w:val="none"/>
                      <w:shd w:val="clear" w:color="auto" w:fill="FFFFFF"/>
                    </w:rPr>
                  </w:pPr>
                  <w:r>
                    <w:rPr>
                      <w:rFonts w:hint="default" w:ascii="Times New Roman" w:hAnsi="Times New Roman" w:cs="Times New Roman"/>
                      <w:b w:val="0"/>
                      <w:bCs/>
                      <w:color w:val="auto"/>
                      <w:sz w:val="21"/>
                      <w:szCs w:val="21"/>
                      <w:highlight w:val="none"/>
                    </w:rPr>
                    <w:t>厂界四周</w:t>
                  </w:r>
                </w:p>
              </w:tc>
              <w:tc>
                <w:tcPr>
                  <w:tcW w:w="1140" w:type="dxa"/>
                  <w:noWrap w:val="0"/>
                  <w:vAlign w:val="center"/>
                </w:tcPr>
                <w:p>
                  <w:pPr>
                    <w:pStyle w:val="10"/>
                    <w:spacing w:line="240" w:lineRule="auto"/>
                    <w:ind w:left="0" w:leftChars="0" w:right="0" w:rightChars="0" w:firstLine="0" w:firstLineChars="0"/>
                    <w:jc w:val="center"/>
                    <w:rPr>
                      <w:b w:val="0"/>
                      <w:bCs/>
                      <w:color w:val="auto"/>
                      <w:sz w:val="21"/>
                      <w:szCs w:val="21"/>
                      <w:highlight w:val="none"/>
                      <w:shd w:val="clear" w:color="auto" w:fill="FFFFFF"/>
                    </w:rPr>
                  </w:pPr>
                  <w:r>
                    <w:rPr>
                      <w:rFonts w:hint="default" w:ascii="Times New Roman" w:hAnsi="Times New Roman" w:cs="Times New Roman"/>
                      <w:b w:val="0"/>
                      <w:bCs/>
                      <w:color w:val="auto"/>
                      <w:sz w:val="21"/>
                      <w:szCs w:val="21"/>
                      <w:highlight w:val="none"/>
                    </w:rPr>
                    <w:t>4</w:t>
                  </w:r>
                </w:p>
              </w:tc>
              <w:tc>
                <w:tcPr>
                  <w:tcW w:w="2790" w:type="dxa"/>
                  <w:noWrap w:val="0"/>
                  <w:vAlign w:val="center"/>
                </w:tcPr>
                <w:p>
                  <w:pPr>
                    <w:pStyle w:val="10"/>
                    <w:spacing w:line="240" w:lineRule="auto"/>
                    <w:ind w:left="0" w:leftChars="0" w:right="0" w:rightChars="0" w:firstLine="0" w:firstLineChars="0"/>
                    <w:jc w:val="center"/>
                    <w:rPr>
                      <w:b w:val="0"/>
                      <w:bCs/>
                      <w:color w:val="auto"/>
                      <w:sz w:val="21"/>
                      <w:szCs w:val="21"/>
                      <w:highlight w:val="none"/>
                      <w:shd w:val="clear" w:color="auto" w:fill="FFFFFF"/>
                    </w:rPr>
                  </w:pPr>
                  <w:r>
                    <w:rPr>
                      <w:rFonts w:hint="default" w:ascii="Times New Roman" w:hAnsi="Times New Roman" w:cs="Times New Roman"/>
                      <w:b w:val="0"/>
                      <w:bCs/>
                      <w:color w:val="auto"/>
                      <w:sz w:val="21"/>
                      <w:szCs w:val="21"/>
                      <w:highlight w:val="none"/>
                    </w:rPr>
                    <w:t>等效A声级</w:t>
                  </w:r>
                </w:p>
              </w:tc>
              <w:tc>
                <w:tcPr>
                  <w:tcW w:w="1447" w:type="dxa"/>
                  <w:noWrap w:val="0"/>
                  <w:vAlign w:val="center"/>
                </w:tcPr>
                <w:p>
                  <w:pPr>
                    <w:pStyle w:val="10"/>
                    <w:spacing w:line="240" w:lineRule="auto"/>
                    <w:ind w:left="0" w:leftChars="0" w:right="0" w:rightChars="0" w:firstLine="0" w:firstLineChars="0"/>
                    <w:jc w:val="center"/>
                    <w:rPr>
                      <w:b w:val="0"/>
                      <w:bCs/>
                      <w:color w:val="auto"/>
                      <w:sz w:val="21"/>
                      <w:szCs w:val="21"/>
                      <w:highlight w:val="none"/>
                      <w:shd w:val="clear" w:color="auto" w:fill="FFFFFF"/>
                    </w:rPr>
                  </w:pPr>
                  <w:r>
                    <w:rPr>
                      <w:rFonts w:hint="default" w:ascii="Times New Roman" w:hAnsi="Times New Roman" w:cs="Times New Roman"/>
                      <w:b w:val="0"/>
                      <w:bCs/>
                      <w:color w:val="auto"/>
                      <w:sz w:val="21"/>
                      <w:szCs w:val="21"/>
                      <w:highlight w:val="none"/>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87" w:type="dxa"/>
                  <w:noWrap w:val="0"/>
                  <w:vAlign w:val="center"/>
                </w:tcPr>
                <w:p>
                  <w:pPr>
                    <w:jc w:val="center"/>
                    <w:rPr>
                      <w:b w:val="0"/>
                      <w:bCs/>
                      <w:color w:val="auto"/>
                      <w:sz w:val="21"/>
                      <w:szCs w:val="21"/>
                      <w:highlight w:val="none"/>
                      <w:shd w:val="clear" w:color="auto" w:fill="FFFFFF"/>
                    </w:rPr>
                  </w:pPr>
                  <w:r>
                    <w:rPr>
                      <w:rFonts w:hint="eastAsia"/>
                      <w:b w:val="0"/>
                      <w:bCs/>
                      <w:color w:val="auto"/>
                      <w:sz w:val="21"/>
                      <w:szCs w:val="21"/>
                      <w:highlight w:val="none"/>
                      <w:shd w:val="clear" w:color="auto" w:fill="FFFFFF"/>
                    </w:rPr>
                    <w:t>无组织</w:t>
                  </w:r>
                  <w:r>
                    <w:rPr>
                      <w:b w:val="0"/>
                      <w:bCs/>
                      <w:color w:val="auto"/>
                      <w:sz w:val="21"/>
                      <w:szCs w:val="21"/>
                      <w:highlight w:val="none"/>
                      <w:shd w:val="clear" w:color="auto" w:fill="FFFFFF"/>
                    </w:rPr>
                    <w:t>废气</w:t>
                  </w:r>
                </w:p>
              </w:tc>
              <w:tc>
                <w:tcPr>
                  <w:tcW w:w="1500" w:type="dxa"/>
                  <w:noWrap w:val="0"/>
                  <w:vAlign w:val="center"/>
                </w:tcPr>
                <w:p>
                  <w:pPr>
                    <w:jc w:val="center"/>
                    <w:rPr>
                      <w:b w:val="0"/>
                      <w:bCs/>
                      <w:color w:val="auto"/>
                      <w:sz w:val="21"/>
                      <w:szCs w:val="21"/>
                      <w:highlight w:val="none"/>
                      <w:shd w:val="clear" w:color="auto" w:fill="FFFFFF"/>
                    </w:rPr>
                  </w:pPr>
                  <w:r>
                    <w:rPr>
                      <w:rFonts w:hint="default" w:ascii="Times New Roman" w:hAnsi="Times New Roman" w:cs="Times New Roman"/>
                      <w:b w:val="0"/>
                      <w:bCs/>
                      <w:color w:val="auto"/>
                      <w:sz w:val="21"/>
                      <w:szCs w:val="21"/>
                      <w:highlight w:val="none"/>
                      <w:lang w:val="en-US" w:eastAsia="zh-CN"/>
                    </w:rPr>
                    <w:t>厂界下风向</w:t>
                  </w:r>
                </w:p>
              </w:tc>
              <w:tc>
                <w:tcPr>
                  <w:tcW w:w="1140" w:type="dxa"/>
                  <w:noWrap w:val="0"/>
                  <w:vAlign w:val="center"/>
                </w:tcPr>
                <w:p>
                  <w:pPr>
                    <w:jc w:val="center"/>
                    <w:rPr>
                      <w:b w:val="0"/>
                      <w:bCs/>
                      <w:color w:val="auto"/>
                      <w:sz w:val="21"/>
                      <w:szCs w:val="21"/>
                      <w:highlight w:val="none"/>
                      <w:shd w:val="clear" w:color="auto" w:fill="FFFFFF"/>
                    </w:rPr>
                  </w:pPr>
                  <w:r>
                    <w:rPr>
                      <w:rFonts w:hint="eastAsia"/>
                      <w:b w:val="0"/>
                      <w:bCs/>
                      <w:color w:val="auto"/>
                      <w:sz w:val="21"/>
                      <w:szCs w:val="21"/>
                      <w:highlight w:val="none"/>
                      <w:shd w:val="clear" w:color="auto" w:fill="FFFFFF"/>
                    </w:rPr>
                    <w:t>4</w:t>
                  </w:r>
                </w:p>
              </w:tc>
              <w:tc>
                <w:tcPr>
                  <w:tcW w:w="2790" w:type="dxa"/>
                  <w:noWrap w:val="0"/>
                  <w:vAlign w:val="center"/>
                </w:tcPr>
                <w:p>
                  <w:pPr>
                    <w:jc w:val="center"/>
                    <w:rPr>
                      <w:rFonts w:hint="default"/>
                      <w:b w:val="0"/>
                      <w:bCs/>
                      <w:color w:val="auto"/>
                      <w:sz w:val="21"/>
                      <w:szCs w:val="21"/>
                      <w:highlight w:val="none"/>
                      <w:shd w:val="clear" w:color="auto" w:fill="FFFFFF"/>
                      <w:lang w:val="en-US"/>
                    </w:rPr>
                  </w:pPr>
                  <w:r>
                    <w:rPr>
                      <w:rFonts w:hint="default" w:ascii="Times New Roman" w:hAnsi="Times New Roman" w:cs="Times New Roman"/>
                      <w:b w:val="0"/>
                      <w:bCs/>
                      <w:color w:val="auto"/>
                      <w:sz w:val="21"/>
                      <w:szCs w:val="21"/>
                      <w:highlight w:val="none"/>
                      <w:lang w:val="en-US" w:eastAsia="zh-CN"/>
                    </w:rPr>
                    <w:t>VOCs、二甲苯、颗粒物、锡及其化合物</w:t>
                  </w:r>
                  <w:r>
                    <w:rPr>
                      <w:rFonts w:hint="eastAsia" w:cs="Times New Roman"/>
                      <w:b w:val="0"/>
                      <w:bCs/>
                      <w:color w:val="auto"/>
                      <w:sz w:val="21"/>
                      <w:szCs w:val="21"/>
                      <w:highlight w:val="none"/>
                      <w:lang w:val="en-US" w:eastAsia="zh-CN"/>
                    </w:rPr>
                    <w:t>、异丙醇</w:t>
                  </w:r>
                </w:p>
              </w:tc>
              <w:tc>
                <w:tcPr>
                  <w:tcW w:w="1447" w:type="dxa"/>
                  <w:noWrap w:val="0"/>
                  <w:vAlign w:val="center"/>
                </w:tcPr>
                <w:p>
                  <w:pPr>
                    <w:jc w:val="center"/>
                    <w:rPr>
                      <w:b w:val="0"/>
                      <w:bCs/>
                      <w:color w:val="auto"/>
                      <w:sz w:val="21"/>
                      <w:szCs w:val="21"/>
                      <w:highlight w:val="none"/>
                      <w:shd w:val="clear" w:color="auto" w:fill="FFFFFF"/>
                    </w:rPr>
                  </w:pPr>
                  <w:r>
                    <w:rPr>
                      <w:b w:val="0"/>
                      <w:bCs/>
                      <w:color w:val="auto"/>
                      <w:sz w:val="21"/>
                      <w:szCs w:val="21"/>
                      <w:highlight w:val="none"/>
                      <w:shd w:val="clear" w:color="auto" w:fill="FFFFFF"/>
                    </w:rPr>
                    <w:t>每</w:t>
                  </w:r>
                  <w:r>
                    <w:rPr>
                      <w:rFonts w:hint="eastAsia"/>
                      <w:b w:val="0"/>
                      <w:bCs/>
                      <w:color w:val="auto"/>
                      <w:sz w:val="21"/>
                      <w:szCs w:val="21"/>
                      <w:highlight w:val="none"/>
                      <w:shd w:val="clear" w:color="auto" w:fill="FFFFFF"/>
                    </w:rPr>
                    <w:t>年</w:t>
                  </w:r>
                  <w:r>
                    <w:rPr>
                      <w:b w:val="0"/>
                      <w:bCs/>
                      <w:color w:val="auto"/>
                      <w:sz w:val="21"/>
                      <w:szCs w:val="21"/>
                      <w:highlight w:val="none"/>
                      <w:shd w:val="clear" w:color="auto" w:fill="FFFFFF"/>
                    </w:rPr>
                    <w:t xml:space="preserve">1次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287" w:type="dxa"/>
                  <w:noWrap w:val="0"/>
                  <w:vAlign w:val="center"/>
                </w:tcPr>
                <w:p>
                  <w:pPr>
                    <w:jc w:val="center"/>
                    <w:rPr>
                      <w:b w:val="0"/>
                      <w:bCs/>
                      <w:color w:val="auto"/>
                      <w:sz w:val="21"/>
                      <w:szCs w:val="21"/>
                      <w:highlight w:val="none"/>
                      <w:shd w:val="clear" w:color="auto" w:fill="FFFFFF"/>
                    </w:rPr>
                  </w:pPr>
                  <w:r>
                    <w:rPr>
                      <w:rFonts w:hint="eastAsia"/>
                      <w:b w:val="0"/>
                      <w:bCs/>
                      <w:color w:val="auto"/>
                      <w:sz w:val="21"/>
                      <w:szCs w:val="21"/>
                      <w:highlight w:val="none"/>
                      <w:shd w:val="clear" w:color="auto" w:fill="FFFFFF"/>
                    </w:rPr>
                    <w:t>有组织</w:t>
                  </w:r>
                  <w:r>
                    <w:rPr>
                      <w:b w:val="0"/>
                      <w:bCs/>
                      <w:color w:val="auto"/>
                      <w:sz w:val="21"/>
                      <w:szCs w:val="21"/>
                      <w:highlight w:val="none"/>
                      <w:shd w:val="clear" w:color="auto" w:fill="FFFFFF"/>
                    </w:rPr>
                    <w:t>废气</w:t>
                  </w:r>
                </w:p>
              </w:tc>
              <w:tc>
                <w:tcPr>
                  <w:tcW w:w="1500" w:type="dxa"/>
                  <w:noWrap w:val="0"/>
                  <w:vAlign w:val="center"/>
                </w:tcPr>
                <w:p>
                  <w:pPr>
                    <w:jc w:val="center"/>
                    <w:rPr>
                      <w:rFonts w:hint="default" w:eastAsia="宋体"/>
                      <w:b w:val="0"/>
                      <w:bCs/>
                      <w:color w:val="auto"/>
                      <w:sz w:val="21"/>
                      <w:szCs w:val="21"/>
                      <w:highlight w:val="none"/>
                      <w:shd w:val="clear" w:color="auto" w:fill="FFFFFF"/>
                      <w:lang w:val="en-US" w:eastAsia="zh-CN"/>
                    </w:rPr>
                  </w:pPr>
                  <w:r>
                    <w:rPr>
                      <w:rFonts w:hint="eastAsia"/>
                      <w:b w:val="0"/>
                      <w:bCs/>
                      <w:color w:val="auto"/>
                      <w:sz w:val="21"/>
                      <w:szCs w:val="21"/>
                      <w:highlight w:val="none"/>
                      <w:shd w:val="clear" w:color="auto" w:fill="FFFFFF"/>
                      <w:lang w:val="en-US" w:eastAsia="zh-CN"/>
                    </w:rPr>
                    <w:t>DA001</w:t>
                  </w:r>
                </w:p>
              </w:tc>
              <w:tc>
                <w:tcPr>
                  <w:tcW w:w="1140" w:type="dxa"/>
                  <w:noWrap w:val="0"/>
                  <w:vAlign w:val="center"/>
                </w:tcPr>
                <w:p>
                  <w:pPr>
                    <w:jc w:val="center"/>
                    <w:rPr>
                      <w:b w:val="0"/>
                      <w:bCs/>
                      <w:color w:val="auto"/>
                      <w:sz w:val="21"/>
                      <w:szCs w:val="21"/>
                      <w:highlight w:val="none"/>
                      <w:shd w:val="clear" w:color="auto" w:fill="FFFFFF"/>
                    </w:rPr>
                  </w:pPr>
                  <w:r>
                    <w:rPr>
                      <w:rFonts w:hint="eastAsia"/>
                      <w:b w:val="0"/>
                      <w:bCs/>
                      <w:color w:val="auto"/>
                      <w:sz w:val="21"/>
                      <w:szCs w:val="21"/>
                      <w:highlight w:val="none"/>
                      <w:shd w:val="clear" w:color="auto" w:fill="FFFFFF"/>
                    </w:rPr>
                    <w:t>1</w:t>
                  </w:r>
                </w:p>
              </w:tc>
              <w:tc>
                <w:tcPr>
                  <w:tcW w:w="2790" w:type="dxa"/>
                  <w:noWrap w:val="0"/>
                  <w:vAlign w:val="center"/>
                </w:tcPr>
                <w:p>
                  <w:pPr>
                    <w:adjustRightInd w:val="0"/>
                    <w:snapToGrid w:val="0"/>
                    <w:spacing w:line="360" w:lineRule="auto"/>
                    <w:ind w:firstLine="420" w:firstLineChars="200"/>
                    <w:jc w:val="center"/>
                    <w:rPr>
                      <w:rFonts w:hint="default" w:eastAsia="宋体"/>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VOCs、二甲苯、颗粒物、锡及其化合物</w:t>
                  </w:r>
                  <w:r>
                    <w:rPr>
                      <w:rFonts w:hint="eastAsia" w:cs="Times New Roman"/>
                      <w:b w:val="0"/>
                      <w:bCs/>
                      <w:color w:val="auto"/>
                      <w:sz w:val="21"/>
                      <w:szCs w:val="21"/>
                      <w:highlight w:val="none"/>
                      <w:lang w:val="en-US" w:eastAsia="zh-CN"/>
                    </w:rPr>
                    <w:t>、异丙醇</w:t>
                  </w:r>
                </w:p>
              </w:tc>
              <w:tc>
                <w:tcPr>
                  <w:tcW w:w="1447" w:type="dxa"/>
                  <w:noWrap w:val="0"/>
                  <w:vAlign w:val="center"/>
                </w:tcPr>
                <w:p>
                  <w:pPr>
                    <w:jc w:val="center"/>
                    <w:rPr>
                      <w:b w:val="0"/>
                      <w:bCs/>
                      <w:color w:val="auto"/>
                      <w:sz w:val="21"/>
                      <w:szCs w:val="21"/>
                      <w:highlight w:val="none"/>
                      <w:shd w:val="clear" w:color="auto" w:fill="FFFFFF"/>
                    </w:rPr>
                  </w:pPr>
                  <w:r>
                    <w:rPr>
                      <w:b w:val="0"/>
                      <w:bCs/>
                      <w:color w:val="auto"/>
                      <w:sz w:val="21"/>
                      <w:szCs w:val="21"/>
                      <w:highlight w:val="none"/>
                      <w:shd w:val="clear" w:color="auto" w:fill="FFFFFF"/>
                    </w:rPr>
                    <w:t>每</w:t>
                  </w:r>
                  <w:r>
                    <w:rPr>
                      <w:rFonts w:hint="eastAsia"/>
                      <w:b w:val="0"/>
                      <w:bCs/>
                      <w:color w:val="auto"/>
                      <w:sz w:val="21"/>
                      <w:szCs w:val="21"/>
                      <w:highlight w:val="none"/>
                      <w:shd w:val="clear" w:color="auto" w:fill="FFFFFF"/>
                    </w:rPr>
                    <w:t>年</w:t>
                  </w:r>
                  <w:r>
                    <w:rPr>
                      <w:b w:val="0"/>
                      <w:bCs/>
                      <w:color w:val="auto"/>
                      <w:sz w:val="21"/>
                      <w:szCs w:val="21"/>
                      <w:highlight w:val="none"/>
                      <w:shd w:val="clear" w:color="auto" w:fill="FFFFFF"/>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287" w:type="dxa"/>
                  <w:noWrap w:val="0"/>
                  <w:vAlign w:val="center"/>
                </w:tcPr>
                <w:p>
                  <w:pPr>
                    <w:pStyle w:val="10"/>
                    <w:spacing w:line="240" w:lineRule="auto"/>
                    <w:ind w:left="0" w:leftChars="0" w:right="0" w:rightChars="0" w:firstLine="0" w:firstLineChars="0"/>
                    <w:jc w:val="center"/>
                    <w:rPr>
                      <w:rFonts w:hint="eastAsia"/>
                      <w:b w:val="0"/>
                      <w:bCs/>
                      <w:color w:val="auto"/>
                      <w:sz w:val="21"/>
                      <w:szCs w:val="21"/>
                      <w:highlight w:val="none"/>
                      <w:shd w:val="clear" w:color="auto" w:fill="FFFFFF"/>
                    </w:rPr>
                  </w:pPr>
                  <w:r>
                    <w:rPr>
                      <w:rFonts w:hint="default" w:ascii="Times New Roman" w:hAnsi="Times New Roman" w:cs="Times New Roman"/>
                      <w:color w:val="auto"/>
                      <w:sz w:val="21"/>
                      <w:szCs w:val="21"/>
                      <w:highlight w:val="none"/>
                    </w:rPr>
                    <w:t>废</w:t>
                  </w:r>
                  <w:r>
                    <w:rPr>
                      <w:rFonts w:hint="default" w:ascii="Times New Roman" w:hAnsi="Times New Roman" w:cs="Times New Roman"/>
                      <w:color w:val="auto"/>
                      <w:sz w:val="21"/>
                      <w:szCs w:val="21"/>
                      <w:highlight w:val="none"/>
                      <w:lang w:eastAsia="zh-CN"/>
                    </w:rPr>
                    <w:t>水</w:t>
                  </w:r>
                </w:p>
              </w:tc>
              <w:tc>
                <w:tcPr>
                  <w:tcW w:w="1500" w:type="dxa"/>
                  <w:noWrap w:val="0"/>
                  <w:vAlign w:val="center"/>
                </w:tcPr>
                <w:p>
                  <w:pPr>
                    <w:pStyle w:val="10"/>
                    <w:spacing w:line="240" w:lineRule="auto"/>
                    <w:ind w:left="0" w:leftChars="0" w:right="0" w:rightChars="0" w:firstLine="0" w:firstLineChars="0"/>
                    <w:jc w:val="center"/>
                    <w:rPr>
                      <w:rFonts w:hint="eastAsia"/>
                      <w:b w:val="0"/>
                      <w:bCs/>
                      <w:color w:val="auto"/>
                      <w:sz w:val="21"/>
                      <w:szCs w:val="21"/>
                      <w:highlight w:val="none"/>
                      <w:shd w:val="clear" w:color="auto" w:fill="FFFFFF"/>
                      <w:lang w:val="en-US" w:eastAsia="zh-CN"/>
                    </w:rPr>
                  </w:pPr>
                  <w:r>
                    <w:rPr>
                      <w:rFonts w:hint="default" w:ascii="Times New Roman" w:hAnsi="Times New Roman" w:cs="Times New Roman"/>
                      <w:color w:val="auto"/>
                      <w:sz w:val="21"/>
                      <w:szCs w:val="21"/>
                      <w:highlight w:val="none"/>
                      <w:lang w:eastAsia="zh-CN"/>
                    </w:rPr>
                    <w:t>厂区生活污水</w:t>
                  </w:r>
                  <w:r>
                    <w:rPr>
                      <w:rFonts w:hint="default" w:ascii="Times New Roman" w:hAnsi="Times New Roman" w:cs="Times New Roman"/>
                      <w:color w:val="auto"/>
                      <w:sz w:val="21"/>
                      <w:szCs w:val="21"/>
                      <w:highlight w:val="none"/>
                    </w:rPr>
                    <w:t>排口（DW001）</w:t>
                  </w:r>
                </w:p>
              </w:tc>
              <w:tc>
                <w:tcPr>
                  <w:tcW w:w="1140" w:type="dxa"/>
                  <w:noWrap w:val="0"/>
                  <w:vAlign w:val="center"/>
                </w:tcPr>
                <w:p>
                  <w:pPr>
                    <w:pStyle w:val="10"/>
                    <w:spacing w:line="240" w:lineRule="auto"/>
                    <w:ind w:left="0" w:leftChars="0" w:right="0" w:rightChars="0" w:firstLine="0" w:firstLineChars="0"/>
                    <w:jc w:val="center"/>
                    <w:rPr>
                      <w:rFonts w:hint="eastAsia"/>
                      <w:b w:val="0"/>
                      <w:bCs/>
                      <w:color w:val="auto"/>
                      <w:sz w:val="21"/>
                      <w:szCs w:val="21"/>
                      <w:highlight w:val="none"/>
                      <w:shd w:val="clear" w:color="auto" w:fill="FFFFFF"/>
                    </w:rPr>
                  </w:pPr>
                  <w:r>
                    <w:rPr>
                      <w:rFonts w:hint="default" w:ascii="Times New Roman" w:hAnsi="Times New Roman" w:cs="Times New Roman"/>
                      <w:color w:val="auto"/>
                      <w:sz w:val="21"/>
                      <w:szCs w:val="21"/>
                      <w:highlight w:val="none"/>
                    </w:rPr>
                    <w:t>1</w:t>
                  </w:r>
                </w:p>
              </w:tc>
              <w:tc>
                <w:tcPr>
                  <w:tcW w:w="2790" w:type="dxa"/>
                  <w:noWrap w:val="0"/>
                  <w:vAlign w:val="center"/>
                </w:tcPr>
                <w:p>
                  <w:pPr>
                    <w:pStyle w:val="10"/>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rPr>
                    <w:t>pH、CODcr、BOD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、SS、TP、氨氮</w:t>
                  </w:r>
                </w:p>
              </w:tc>
              <w:tc>
                <w:tcPr>
                  <w:tcW w:w="1447" w:type="dxa"/>
                  <w:noWrap w:val="0"/>
                  <w:vAlign w:val="center"/>
                </w:tcPr>
                <w:p>
                  <w:pPr>
                    <w:pStyle w:val="10"/>
                    <w:spacing w:line="240" w:lineRule="auto"/>
                    <w:ind w:left="0" w:leftChars="0" w:right="0" w:rightChars="0" w:firstLine="0" w:firstLineChars="0"/>
                    <w:jc w:val="center"/>
                    <w:rPr>
                      <w:b w:val="0"/>
                      <w:bCs/>
                      <w:color w:val="auto"/>
                      <w:sz w:val="21"/>
                      <w:szCs w:val="21"/>
                      <w:highlight w:val="none"/>
                      <w:shd w:val="clear" w:color="auto" w:fill="FFFFFF"/>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次/年</w:t>
                  </w:r>
                </w:p>
              </w:tc>
            </w:tr>
          </w:tbl>
          <w:p>
            <w:pPr>
              <w:pStyle w:val="12"/>
              <w:rPr>
                <w:rFonts w:hint="default" w:ascii="Times New Roman" w:hAnsi="Times New Roman" w:cs="Times New Roman"/>
                <w:b/>
                <w:bCs/>
                <w:color w:val="auto"/>
                <w:sz w:val="24"/>
                <w:highlight w:val="none"/>
                <w:lang w:val="en-US" w:eastAsia="zh-CN"/>
              </w:rPr>
            </w:pPr>
          </w:p>
          <w:p>
            <w:pPr>
              <w:pStyle w:val="2"/>
              <w:keepLines w:val="0"/>
              <w:pageBreakBefore w:val="0"/>
              <w:widowControl w:val="0"/>
              <w:kinsoku/>
              <w:wordWrap/>
              <w:topLinePunct w:val="0"/>
              <w:autoSpaceDE/>
              <w:autoSpaceDN/>
              <w:bidi w:val="0"/>
              <w:adjustRightInd w:val="0"/>
              <w:snapToGrid w:val="0"/>
              <w:spacing w:before="0" w:after="0" w:line="360" w:lineRule="auto"/>
              <w:ind w:left="0"/>
              <w:jc w:val="left"/>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eastAsia"/>
                <w:b/>
                <w:color w:val="auto"/>
                <w:sz w:val="24"/>
                <w:highlight w:val="none"/>
                <w:lang w:val="en-US" w:eastAsia="zh-CN"/>
              </w:rPr>
              <w:t>八、八、</w:t>
            </w:r>
            <w:r>
              <w:rPr>
                <w:rFonts w:hint="eastAsia" w:ascii="Times New Roman" w:hAnsi="Times New Roman" w:eastAsia="宋体" w:cs="Times New Roman"/>
                <w:b/>
                <w:bCs/>
                <w:color w:val="auto"/>
                <w:kern w:val="0"/>
                <w:sz w:val="24"/>
                <w:szCs w:val="24"/>
                <w:highlight w:val="none"/>
                <w:lang w:val="en-US" w:eastAsia="zh-CN" w:bidi="ar-SA"/>
              </w:rPr>
              <w:t>风险事故应急预案</w:t>
            </w:r>
          </w:p>
          <w:p>
            <w:pPr>
              <w:keepLines w:val="0"/>
              <w:pageBreakBefore w:val="0"/>
              <w:widowControl w:val="0"/>
              <w:kinsoku/>
              <w:wordWrap/>
              <w:topLinePunct w:val="0"/>
              <w:autoSpaceDE/>
              <w:autoSpaceDN/>
              <w:bidi w:val="0"/>
              <w:adjustRightInd w:val="0"/>
              <w:snapToGrid w:val="0"/>
              <w:spacing w:line="360" w:lineRule="auto"/>
              <w:ind w:firstLine="480" w:firstLineChars="200"/>
              <w:textAlignment w:val="auto"/>
              <w:rPr>
                <w:rFonts w:ascii="Times New Roman" w:hAnsi="Times New Roman"/>
                <w:bCs/>
                <w:color w:val="auto"/>
                <w:sz w:val="24"/>
                <w:highlight w:val="none"/>
                <w:lang w:eastAsia="zh-CN"/>
              </w:rPr>
            </w:pPr>
            <w:r>
              <w:rPr>
                <w:rFonts w:hint="eastAsia" w:ascii="Times New Roman" w:hAnsi="Times New Roman"/>
                <w:bCs/>
                <w:color w:val="auto"/>
                <w:sz w:val="24"/>
                <w:highlight w:val="none"/>
                <w:lang w:eastAsia="zh-CN"/>
              </w:rPr>
              <w:t>（</w:t>
            </w:r>
            <w:r>
              <w:rPr>
                <w:rFonts w:ascii="Times New Roman" w:hAnsi="Times New Roman"/>
                <w:bCs/>
                <w:color w:val="auto"/>
                <w:sz w:val="24"/>
                <w:highlight w:val="none"/>
                <w:lang w:eastAsia="zh-CN"/>
              </w:rPr>
              <w:t>1</w:t>
            </w:r>
            <w:r>
              <w:rPr>
                <w:rFonts w:hint="eastAsia" w:ascii="Times New Roman" w:hAnsi="Times New Roman"/>
                <w:bCs/>
                <w:color w:val="auto"/>
                <w:sz w:val="24"/>
                <w:highlight w:val="none"/>
                <w:lang w:eastAsia="zh-CN"/>
              </w:rPr>
              <w:t>）应急预案制定原则</w:t>
            </w:r>
          </w:p>
          <w:p>
            <w:pPr>
              <w:keepLines w:val="0"/>
              <w:pageBreakBefore w:val="0"/>
              <w:widowControl w:val="0"/>
              <w:kinsoku/>
              <w:wordWrap/>
              <w:topLinePunct w:val="0"/>
              <w:autoSpaceDE/>
              <w:autoSpaceDN/>
              <w:bidi w:val="0"/>
              <w:adjustRightInd w:val="0"/>
              <w:snapToGrid w:val="0"/>
              <w:spacing w:line="360" w:lineRule="auto"/>
              <w:ind w:firstLine="480" w:firstLineChars="200"/>
              <w:textAlignment w:val="auto"/>
              <w:rPr>
                <w:rFonts w:ascii="Times New Roman" w:hAnsi="Times New Roman"/>
                <w:bCs/>
                <w:color w:val="auto"/>
                <w:sz w:val="24"/>
                <w:highlight w:val="none"/>
                <w:lang w:eastAsia="zh-CN"/>
              </w:rPr>
            </w:pPr>
            <w:r>
              <w:rPr>
                <w:rFonts w:hint="eastAsia" w:ascii="Times New Roman" w:hAnsi="Times New Roman"/>
                <w:bCs/>
                <w:color w:val="auto"/>
                <w:sz w:val="24"/>
                <w:highlight w:val="none"/>
                <w:lang w:eastAsia="zh-CN"/>
              </w:rPr>
              <w:t>将按《突发事件应急预案管理办法的通知》（国办发〔</w:t>
            </w:r>
            <w:r>
              <w:rPr>
                <w:rFonts w:ascii="Times New Roman" w:hAnsi="Times New Roman"/>
                <w:bCs/>
                <w:color w:val="auto"/>
                <w:sz w:val="24"/>
                <w:highlight w:val="none"/>
                <w:lang w:eastAsia="zh-CN"/>
              </w:rPr>
              <w:t>2013</w:t>
            </w:r>
            <w:r>
              <w:rPr>
                <w:rFonts w:hint="eastAsia" w:ascii="Times New Roman" w:hAnsi="Times New Roman"/>
                <w:bCs/>
                <w:color w:val="auto"/>
                <w:sz w:val="24"/>
                <w:highlight w:val="none"/>
                <w:lang w:eastAsia="zh-CN"/>
              </w:rPr>
              <w:t>〕</w:t>
            </w:r>
            <w:r>
              <w:rPr>
                <w:rFonts w:ascii="Times New Roman" w:hAnsi="Times New Roman"/>
                <w:bCs/>
                <w:color w:val="auto"/>
                <w:sz w:val="24"/>
                <w:highlight w:val="none"/>
                <w:lang w:eastAsia="zh-CN"/>
              </w:rPr>
              <w:t>101</w:t>
            </w:r>
            <w:r>
              <w:rPr>
                <w:rFonts w:hint="eastAsia" w:ascii="Times New Roman" w:hAnsi="Times New Roman"/>
                <w:bCs/>
                <w:color w:val="auto"/>
                <w:sz w:val="24"/>
                <w:highlight w:val="none"/>
                <w:lang w:eastAsia="zh-CN"/>
              </w:rPr>
              <w:t>号）编制风险事故应急预案管理方法，提交有关部门进行审批、发布、备案，并进行应急预案的演练、修订、培训。</w:t>
            </w:r>
          </w:p>
          <w:p>
            <w:pPr>
              <w:keepLines w:val="0"/>
              <w:pageBreakBefore w:val="0"/>
              <w:widowControl w:val="0"/>
              <w:kinsoku/>
              <w:wordWrap/>
              <w:topLinePunct w:val="0"/>
              <w:autoSpaceDE/>
              <w:autoSpaceDN/>
              <w:bidi w:val="0"/>
              <w:adjustRightInd w:val="0"/>
              <w:snapToGrid w:val="0"/>
              <w:spacing w:line="360" w:lineRule="auto"/>
              <w:ind w:firstLine="480" w:firstLineChars="200"/>
              <w:textAlignment w:val="auto"/>
              <w:rPr>
                <w:rFonts w:ascii="Times New Roman" w:hAnsi="Times New Roman"/>
                <w:bCs/>
                <w:color w:val="auto"/>
                <w:sz w:val="24"/>
                <w:highlight w:val="none"/>
                <w:lang w:eastAsia="zh-CN"/>
              </w:rPr>
            </w:pPr>
            <w:r>
              <w:rPr>
                <w:rFonts w:hint="eastAsia" w:ascii="Times New Roman" w:hAnsi="Times New Roman"/>
                <w:bCs/>
                <w:color w:val="auto"/>
                <w:sz w:val="24"/>
                <w:highlight w:val="none"/>
                <w:lang w:eastAsia="zh-CN"/>
              </w:rPr>
              <w:t>（2）应急预案内容</w:t>
            </w:r>
          </w:p>
          <w:p>
            <w:pPr>
              <w:keepLines w:val="0"/>
              <w:pageBreakBefore w:val="0"/>
              <w:widowControl w:val="0"/>
              <w:kinsoku/>
              <w:wordWrap/>
              <w:topLinePunct w:val="0"/>
              <w:autoSpaceDE/>
              <w:autoSpaceDN/>
              <w:bidi w:val="0"/>
              <w:adjustRightInd w:val="0"/>
              <w:snapToGrid w:val="0"/>
              <w:spacing w:line="360" w:lineRule="auto"/>
              <w:ind w:firstLine="480" w:firstLineChars="200"/>
              <w:textAlignment w:val="auto"/>
              <w:rPr>
                <w:rFonts w:ascii="Times New Roman" w:hAnsi="Times New Roman"/>
                <w:b/>
                <w:bCs/>
                <w:color w:val="auto"/>
                <w:szCs w:val="21"/>
                <w:highlight w:val="none"/>
                <w:lang w:eastAsia="zh-CN"/>
              </w:rPr>
            </w:pPr>
            <w:r>
              <w:rPr>
                <w:rFonts w:ascii="Times New Roman" w:hAnsi="Times New Roman"/>
                <w:bCs/>
                <w:color w:val="auto"/>
                <w:sz w:val="24"/>
                <w:highlight w:val="none"/>
                <w:lang w:eastAsia="zh-CN"/>
              </w:rPr>
              <w:t>为了切实预防环境风险，厂方制定环境风险应急预案，应急预案包括以下内容，见</w:t>
            </w:r>
            <w:r>
              <w:rPr>
                <w:rFonts w:hint="eastAsia"/>
                <w:bCs/>
                <w:color w:val="auto"/>
                <w:sz w:val="24"/>
                <w:highlight w:val="none"/>
                <w:lang w:val="en-US" w:eastAsia="zh-CN"/>
              </w:rPr>
              <w:t>下</w:t>
            </w:r>
            <w:r>
              <w:rPr>
                <w:rFonts w:ascii="Times New Roman" w:hAnsi="Times New Roman"/>
                <w:bCs/>
                <w:color w:val="auto"/>
                <w:sz w:val="24"/>
                <w:highlight w:val="none"/>
                <w:lang w:eastAsia="zh-CN"/>
              </w:rPr>
              <w:t>表。</w:t>
            </w:r>
          </w:p>
          <w:p>
            <w:pPr>
              <w:adjustRightInd w:val="0"/>
              <w:snapToGrid w:val="0"/>
              <w:spacing w:line="360" w:lineRule="auto"/>
              <w:jc w:val="center"/>
              <w:rPr>
                <w:rFonts w:hint="default" w:ascii="Times New Roman" w:hAnsi="Times New Roman" w:cs="Times New Roman"/>
                <w:b/>
                <w:bCs/>
                <w:color w:val="auto"/>
                <w:sz w:val="24"/>
                <w:highlight w:val="none"/>
                <w:lang w:val="en-US" w:eastAsia="zh-CN"/>
              </w:rPr>
            </w:pPr>
            <w:r>
              <w:rPr>
                <w:rFonts w:ascii="Times New Roman" w:hAnsi="Times New Roman"/>
                <w:b/>
                <w:bCs/>
                <w:color w:val="auto"/>
                <w:szCs w:val="21"/>
                <w:highlight w:val="none"/>
                <w:lang w:eastAsia="zh-CN"/>
              </w:rPr>
              <w:t>表</w:t>
            </w:r>
            <w:r>
              <w:rPr>
                <w:rFonts w:hint="eastAsia" w:ascii="Times New Roman" w:hAnsi="Times New Roman"/>
                <w:b/>
                <w:bCs/>
                <w:color w:val="auto"/>
                <w:szCs w:val="21"/>
                <w:highlight w:val="none"/>
                <w:lang w:val="en-US" w:eastAsia="zh-CN"/>
              </w:rPr>
              <w:t>4-</w:t>
            </w:r>
            <w:r>
              <w:rPr>
                <w:rFonts w:hint="eastAsia"/>
                <w:b/>
                <w:bCs/>
                <w:color w:val="auto"/>
                <w:szCs w:val="21"/>
                <w:highlight w:val="none"/>
                <w:lang w:val="en-US" w:eastAsia="zh-CN"/>
              </w:rPr>
              <w:t>21</w:t>
            </w:r>
            <w:r>
              <w:rPr>
                <w:rFonts w:hint="eastAsia" w:ascii="Times New Roman" w:hAnsi="Times New Roman"/>
                <w:b/>
                <w:bCs/>
                <w:color w:val="auto"/>
                <w:szCs w:val="21"/>
                <w:highlight w:val="none"/>
                <w:lang w:eastAsia="zh-CN"/>
              </w:rPr>
              <w:t xml:space="preserve">  </w:t>
            </w:r>
            <w:r>
              <w:rPr>
                <w:rFonts w:ascii="Times New Roman" w:hAnsi="Times New Roman"/>
                <w:b/>
                <w:bCs/>
                <w:color w:val="auto"/>
                <w:szCs w:val="21"/>
                <w:highlight w:val="none"/>
                <w:lang w:eastAsia="zh-CN"/>
              </w:rPr>
              <w:t xml:space="preserve"> 环境风险突发事故应急预案</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10"/>
              <w:gridCol w:w="6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88" w:type="dxa"/>
                  <w:noWrap w:val="0"/>
                  <w:vAlign w:val="center"/>
                </w:tcPr>
                <w:p>
                  <w:pPr>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序号</w:t>
                  </w:r>
                </w:p>
              </w:tc>
              <w:tc>
                <w:tcPr>
                  <w:tcW w:w="1710" w:type="dxa"/>
                  <w:noWrap w:val="0"/>
                  <w:vAlign w:val="center"/>
                </w:tcPr>
                <w:p>
                  <w:pPr>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项目</w:t>
                  </w:r>
                </w:p>
              </w:tc>
              <w:tc>
                <w:tcPr>
                  <w:tcW w:w="6337" w:type="dxa"/>
                  <w:noWrap w:val="0"/>
                  <w:vAlign w:val="center"/>
                </w:tcPr>
                <w:p>
                  <w:pPr>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总则</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2</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应急计划区</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环境保护目标、储存场所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3</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应急组织</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建设单位成立应急指挥小组，由相关干部人员担任小组长，负责现场全面指挥，专业救援队伍负责事故控制、疏散、救援和善后处理，事故临近地区相关部门实施全部工作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4</w:t>
                  </w:r>
                </w:p>
              </w:tc>
              <w:tc>
                <w:tcPr>
                  <w:tcW w:w="1710"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应急状态分类应急响应程序</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规定环境风险事故的级别及相应的应急状态分类，以此制定相应的应急响应程序。一旦发生事故，相关人员需立即拨打110报警电话，并及时通知周围居民，以便相关部门第一时间组织施救，防止事故环境危害的扩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5</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应急设施</w:t>
                  </w:r>
                </w:p>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设备与材料</w:t>
                  </w:r>
                </w:p>
              </w:tc>
              <w:tc>
                <w:tcPr>
                  <w:tcW w:w="6337" w:type="dxa"/>
                  <w:noWrap w:val="0"/>
                  <w:vAlign w:val="center"/>
                </w:tcPr>
                <w:p>
                  <w:pPr>
                    <w:snapToGrid w:val="0"/>
                    <w:spacing w:line="320" w:lineRule="exact"/>
                    <w:ind w:firstLine="42" w:firstLineChars="20"/>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事故的应急设施、设备与材料等；防有害物质外溢、扩散；中毒人员急救所用的一些药品、器材；必要的防毒面具。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6</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应急通讯</w:t>
                  </w:r>
                </w:p>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通告与交通</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规定应急状态下的通讯、通告方式和交通保障、管理等事项。可充分利用现代化的通信设施，如手机、固定电话、广播、监视电视等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7</w:t>
                  </w:r>
                </w:p>
              </w:tc>
              <w:tc>
                <w:tcPr>
                  <w:tcW w:w="1710"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应急环境监测及事故后评价</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由专业人员对环境风险事故现场进行应急监测，对事故性质、严重程度均所造成的环境危害后果进行评估，吸取经验教训避免再次发生事故，为指挥部门提供决策依据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8</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应急防护措施</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事故现场：控制事故发展，防止扩大、蔓延及连锁反应；对危险区进行隔离；清除现场废物，降低危害；相应的设施器材配备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9</w:t>
                  </w:r>
                </w:p>
              </w:tc>
              <w:tc>
                <w:tcPr>
                  <w:tcW w:w="1710"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应急剂量控制撤离组织计划医疗救护与保护公众健康</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事故现场：事故处理人员制定现场及临近装置人员的撤离组织计划和紧急救护方案；临近地区：制定受事故影响的临近地区内人员的疏散组织计划和紧急救护方案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10</w:t>
                  </w:r>
                </w:p>
              </w:tc>
              <w:tc>
                <w:tcPr>
                  <w:tcW w:w="1710"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应急状态中止</w:t>
                  </w:r>
                </w:p>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恢复措施</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事故现场解除事故警戒，公众返回和善后恢复措施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11</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人员训练</w:t>
                  </w:r>
                </w:p>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与演习</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应急计划制定后，平时安排事故相关人员进行相关知识训练并进行事故应急处理演习；对工作人员进行安全教育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12</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公众教育</w:t>
                  </w:r>
                </w:p>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信息发布</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对临近地区公众开展环境风险事故预防教育、应急知识培训并定期发布相关信息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13</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记录和报告</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14</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更新程序</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适时对应急预案进行更新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88"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15</w:t>
                  </w:r>
                </w:p>
              </w:tc>
              <w:tc>
                <w:tcPr>
                  <w:tcW w:w="1710" w:type="dxa"/>
                  <w:noWrap w:val="0"/>
                  <w:vAlign w:val="center"/>
                </w:tcPr>
                <w:p>
                  <w:pPr>
                    <w:snapToGrid w:val="0"/>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附件</w:t>
                  </w:r>
                </w:p>
              </w:tc>
              <w:tc>
                <w:tcPr>
                  <w:tcW w:w="6337" w:type="dxa"/>
                  <w:noWrap w:val="0"/>
                  <w:vAlign w:val="center"/>
                </w:tcPr>
                <w:p>
                  <w:pPr>
                    <w:snapToGrid w:val="0"/>
                    <w:spacing w:line="320" w:lineRule="exact"/>
                    <w:jc w:val="center"/>
                    <w:rPr>
                      <w:rFonts w:ascii="Times New Roman" w:hAnsi="Times New Roman"/>
                      <w:color w:val="auto"/>
                      <w:szCs w:val="21"/>
                      <w:highlight w:val="none"/>
                      <w:lang w:eastAsia="zh-CN"/>
                    </w:rPr>
                  </w:pPr>
                  <w:r>
                    <w:rPr>
                      <w:rFonts w:ascii="Times New Roman" w:hAnsi="Times New Roman"/>
                      <w:color w:val="auto"/>
                      <w:szCs w:val="21"/>
                      <w:highlight w:val="none"/>
                      <w:lang w:eastAsia="zh-CN"/>
                    </w:rPr>
                    <w:t>准备并形成环境风险事故应急处理有关的附件材料</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Cs/>
                <w:color w:val="auto"/>
                <w:sz w:val="24"/>
                <w:highlight w:val="none"/>
              </w:rPr>
            </w:pPr>
            <w:r>
              <w:rPr>
                <w:rFonts w:hint="default" w:ascii="Times New Roman" w:hAnsi="Times New Roman" w:cs="Times New Roman"/>
                <w:b/>
                <w:bCs/>
                <w:color w:val="auto"/>
                <w:sz w:val="24"/>
                <w:highlight w:val="none"/>
                <w:lang w:eastAsia="zh-CN"/>
              </w:rPr>
              <w:t>九、</w:t>
            </w:r>
            <w:r>
              <w:rPr>
                <w:rFonts w:hint="default" w:ascii="Times New Roman" w:hAnsi="Times New Roman" w:cs="Times New Roman"/>
                <w:b/>
                <w:bCs/>
                <w:color w:val="auto"/>
                <w:sz w:val="24"/>
                <w:highlight w:val="none"/>
              </w:rPr>
              <w:t>环保投资估算一览表</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本项目总投资</w:t>
            </w:r>
            <w:r>
              <w:rPr>
                <w:rFonts w:hint="eastAsia"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0</w:t>
            </w:r>
            <w:r>
              <w:rPr>
                <w:rFonts w:hint="default" w:ascii="Times New Roman" w:hAnsi="Times New Roman" w:cs="Times New Roman"/>
                <w:bCs/>
                <w:color w:val="auto"/>
                <w:sz w:val="24"/>
                <w:highlight w:val="none"/>
              </w:rPr>
              <w:t>万元，环保投资</w:t>
            </w:r>
            <w:r>
              <w:rPr>
                <w:rFonts w:hint="eastAsia" w:cs="Times New Roman"/>
                <w:bCs/>
                <w:color w:val="auto"/>
                <w:sz w:val="24"/>
                <w:highlight w:val="none"/>
                <w:lang w:val="en-US" w:eastAsia="zh-CN"/>
              </w:rPr>
              <w:t>15</w:t>
            </w:r>
            <w:r>
              <w:rPr>
                <w:rFonts w:hint="default" w:ascii="Times New Roman" w:hAnsi="Times New Roman" w:cs="Times New Roman"/>
                <w:bCs/>
                <w:color w:val="auto"/>
                <w:sz w:val="24"/>
                <w:highlight w:val="none"/>
              </w:rPr>
              <w:t>万元，占总投资的</w:t>
            </w:r>
            <w:r>
              <w:rPr>
                <w:rFonts w:hint="eastAsia" w:cs="Times New Roman"/>
                <w:bCs/>
                <w:color w:val="auto"/>
                <w:sz w:val="24"/>
                <w:highlight w:val="none"/>
                <w:lang w:val="en-US" w:eastAsia="zh-CN"/>
              </w:rPr>
              <w:t>3</w:t>
            </w:r>
            <w:r>
              <w:rPr>
                <w:rFonts w:hint="eastAsia" w:ascii="Times New Roman" w:hAnsi="Times New Roman" w:cs="Times New Roman"/>
                <w:bCs/>
                <w:color w:val="auto"/>
                <w:sz w:val="24"/>
                <w:highlight w:val="none"/>
                <w:lang w:val="en-US" w:eastAsia="zh-CN"/>
              </w:rPr>
              <w:t>0</w:t>
            </w:r>
            <w:r>
              <w:rPr>
                <w:rFonts w:hint="default" w:ascii="Times New Roman" w:hAnsi="Times New Roman" w:cs="Times New Roman"/>
                <w:bCs/>
                <w:color w:val="auto"/>
                <w:sz w:val="24"/>
                <w:highlight w:val="none"/>
              </w:rPr>
              <w:t>%。</w:t>
            </w: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22</w:t>
            </w:r>
            <w:r>
              <w:rPr>
                <w:rFonts w:hint="default" w:ascii="Times New Roman" w:hAnsi="Times New Roman" w:cs="Times New Roman"/>
                <w:b/>
                <w:bCs/>
                <w:color w:val="auto"/>
                <w:szCs w:val="21"/>
                <w:highlight w:val="none"/>
              </w:rPr>
              <w:t xml:space="preserve">  环保设施（措施）及投资估算一览表  单位：万元</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7"/>
              <w:gridCol w:w="936"/>
              <w:gridCol w:w="1470"/>
              <w:gridCol w:w="3838"/>
              <w:gridCol w:w="807"/>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noWrap w:val="0"/>
                  <w:vAlign w:val="center"/>
                </w:tcPr>
                <w:p>
                  <w:pPr>
                    <w:spacing w:line="240" w:lineRule="auto"/>
                    <w:jc w:val="center"/>
                    <w:rPr>
                      <w:rFonts w:hint="eastAsia" w:ascii="Times New Roman" w:hAnsi="Times New Roman" w:eastAsia="宋体"/>
                      <w:b/>
                      <w:color w:val="auto"/>
                      <w:sz w:val="21"/>
                      <w:szCs w:val="21"/>
                      <w:highlight w:val="none"/>
                      <w:shd w:val="clear" w:color="auto" w:fill="auto"/>
                    </w:rPr>
                  </w:pPr>
                  <w:r>
                    <w:rPr>
                      <w:rFonts w:hint="eastAsia" w:ascii="Times New Roman" w:hAnsi="Times New Roman" w:eastAsia="宋体"/>
                      <w:b/>
                      <w:color w:val="auto"/>
                      <w:sz w:val="21"/>
                      <w:szCs w:val="21"/>
                      <w:highlight w:val="none"/>
                      <w:shd w:val="clear" w:color="auto" w:fill="auto"/>
                    </w:rPr>
                    <w:t>类别</w:t>
                  </w:r>
                </w:p>
              </w:tc>
              <w:tc>
                <w:tcPr>
                  <w:tcW w:w="529" w:type="pct"/>
                  <w:noWrap w:val="0"/>
                  <w:vAlign w:val="center"/>
                </w:tcPr>
                <w:p>
                  <w:pPr>
                    <w:spacing w:line="240" w:lineRule="auto"/>
                    <w:jc w:val="center"/>
                    <w:rPr>
                      <w:rFonts w:ascii="Times New Roman" w:hAnsi="Times New Roman" w:eastAsia="宋体"/>
                      <w:b/>
                      <w:color w:val="auto"/>
                      <w:sz w:val="21"/>
                      <w:szCs w:val="21"/>
                      <w:highlight w:val="none"/>
                      <w:shd w:val="clear" w:color="auto" w:fill="auto"/>
                    </w:rPr>
                  </w:pPr>
                  <w:r>
                    <w:rPr>
                      <w:rFonts w:ascii="Times New Roman" w:hAnsi="Times New Roman" w:eastAsia="宋体"/>
                      <w:b/>
                      <w:color w:val="auto"/>
                      <w:sz w:val="21"/>
                      <w:szCs w:val="21"/>
                      <w:highlight w:val="none"/>
                      <w:shd w:val="clear" w:color="auto" w:fill="auto"/>
                    </w:rPr>
                    <w:t>项目</w:t>
                  </w:r>
                </w:p>
              </w:tc>
              <w:tc>
                <w:tcPr>
                  <w:tcW w:w="831" w:type="pct"/>
                  <w:noWrap w:val="0"/>
                  <w:vAlign w:val="center"/>
                </w:tcPr>
                <w:p>
                  <w:pPr>
                    <w:spacing w:line="240" w:lineRule="auto"/>
                    <w:jc w:val="center"/>
                    <w:rPr>
                      <w:rFonts w:ascii="Times New Roman" w:hAnsi="Times New Roman" w:eastAsia="宋体"/>
                      <w:b/>
                      <w:color w:val="auto"/>
                      <w:sz w:val="21"/>
                      <w:szCs w:val="21"/>
                      <w:highlight w:val="none"/>
                      <w:shd w:val="clear" w:color="auto" w:fill="auto"/>
                    </w:rPr>
                  </w:pPr>
                  <w:r>
                    <w:rPr>
                      <w:rFonts w:ascii="Times New Roman" w:hAnsi="Times New Roman" w:eastAsia="宋体"/>
                      <w:b/>
                      <w:color w:val="auto"/>
                      <w:sz w:val="21"/>
                      <w:szCs w:val="21"/>
                      <w:highlight w:val="none"/>
                      <w:shd w:val="clear" w:color="auto" w:fill="auto"/>
                    </w:rPr>
                    <w:t>污染物</w:t>
                  </w:r>
                </w:p>
              </w:tc>
              <w:tc>
                <w:tcPr>
                  <w:tcW w:w="2170" w:type="pct"/>
                  <w:noWrap w:val="0"/>
                  <w:vAlign w:val="center"/>
                </w:tcPr>
                <w:p>
                  <w:pPr>
                    <w:spacing w:line="240" w:lineRule="auto"/>
                    <w:jc w:val="center"/>
                    <w:rPr>
                      <w:rFonts w:ascii="Times New Roman" w:hAnsi="Times New Roman" w:eastAsia="宋体"/>
                      <w:b/>
                      <w:color w:val="auto"/>
                      <w:sz w:val="21"/>
                      <w:szCs w:val="21"/>
                      <w:highlight w:val="none"/>
                      <w:shd w:val="clear" w:color="auto" w:fill="auto"/>
                    </w:rPr>
                  </w:pPr>
                  <w:r>
                    <w:rPr>
                      <w:rFonts w:ascii="Times New Roman" w:hAnsi="Times New Roman" w:eastAsia="宋体"/>
                      <w:b/>
                      <w:color w:val="auto"/>
                      <w:sz w:val="21"/>
                      <w:szCs w:val="21"/>
                      <w:highlight w:val="none"/>
                      <w:shd w:val="clear" w:color="auto" w:fill="auto"/>
                    </w:rPr>
                    <w:t>设施概况</w:t>
                  </w:r>
                </w:p>
              </w:tc>
              <w:tc>
                <w:tcPr>
                  <w:tcW w:w="456" w:type="pct"/>
                  <w:noWrap w:val="0"/>
                  <w:vAlign w:val="center"/>
                </w:tcPr>
                <w:p>
                  <w:pPr>
                    <w:spacing w:line="240" w:lineRule="auto"/>
                    <w:jc w:val="center"/>
                    <w:rPr>
                      <w:rFonts w:ascii="Times New Roman" w:hAnsi="Times New Roman" w:eastAsia="宋体"/>
                      <w:b/>
                      <w:color w:val="auto"/>
                      <w:sz w:val="21"/>
                      <w:szCs w:val="21"/>
                      <w:highlight w:val="none"/>
                      <w:shd w:val="clear" w:color="auto" w:fill="auto"/>
                    </w:rPr>
                  </w:pPr>
                  <w:r>
                    <w:rPr>
                      <w:rFonts w:ascii="Times New Roman" w:hAnsi="Times New Roman" w:eastAsia="宋体"/>
                      <w:b/>
                      <w:color w:val="auto"/>
                      <w:sz w:val="21"/>
                      <w:szCs w:val="21"/>
                      <w:highlight w:val="none"/>
                      <w:shd w:val="clear" w:color="auto" w:fill="auto"/>
                    </w:rPr>
                    <w:t>环保投资（万元）</w:t>
                  </w:r>
                </w:p>
              </w:tc>
              <w:tc>
                <w:tcPr>
                  <w:tcW w:w="493"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
                      <w:color w:val="auto"/>
                      <w:sz w:val="21"/>
                      <w:szCs w:val="21"/>
                      <w:highlight w:val="none"/>
                      <w:shd w:val="clear" w:color="auto" w:fil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restar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施工期</w:t>
                  </w:r>
                </w:p>
              </w:tc>
              <w:tc>
                <w:tcPr>
                  <w:tcW w:w="529"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废气治理</w:t>
                  </w:r>
                </w:p>
              </w:tc>
              <w:tc>
                <w:tcPr>
                  <w:tcW w:w="831" w:type="pct"/>
                  <w:noWrap w:val="0"/>
                  <w:vAlign w:val="center"/>
                </w:tcPr>
                <w:p>
                  <w:pPr>
                    <w:autoSpaceDE w:val="0"/>
                    <w:autoSpaceDN w:val="0"/>
                    <w:adjustRightInd w:val="0"/>
                    <w:snapToGrid w:val="0"/>
                    <w:spacing w:line="240" w:lineRule="auto"/>
                    <w:jc w:val="center"/>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颗粒物</w:t>
                  </w:r>
                </w:p>
              </w:tc>
              <w:tc>
                <w:tcPr>
                  <w:tcW w:w="2170" w:type="pct"/>
                  <w:noWrap w:val="0"/>
                  <w:vAlign w:val="center"/>
                </w:tcPr>
                <w:p>
                  <w:pPr>
                    <w:spacing w:line="240" w:lineRule="auto"/>
                    <w:jc w:val="center"/>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厂区抑尘通过洒水除尘；车间封闭处理，洒水降尘</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bCs/>
                      <w:color w:val="auto"/>
                      <w:sz w:val="21"/>
                      <w:szCs w:val="21"/>
                      <w:highlight w:val="none"/>
                      <w:shd w:val="clear" w:color="auto" w:fill="auto"/>
                      <w:lang w:val="en-US" w:eastAsia="zh-CN"/>
                    </w:rPr>
                    <w:t>0.8</w:t>
                  </w:r>
                </w:p>
              </w:tc>
              <w:tc>
                <w:tcPr>
                  <w:tcW w:w="493"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p>
              </w:tc>
              <w:tc>
                <w:tcPr>
                  <w:tcW w:w="529"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噪声治理</w:t>
                  </w:r>
                </w:p>
              </w:tc>
              <w:tc>
                <w:tcPr>
                  <w:tcW w:w="831" w:type="pct"/>
                  <w:noWrap w:val="0"/>
                  <w:vAlign w:val="center"/>
                </w:tcPr>
                <w:p>
                  <w:pPr>
                    <w:autoSpaceDE w:val="0"/>
                    <w:autoSpaceDN w:val="0"/>
                    <w:adjustRightInd w:val="0"/>
                    <w:snapToGrid w:val="0"/>
                    <w:spacing w:line="240" w:lineRule="auto"/>
                    <w:jc w:val="center"/>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安装设备噪声</w:t>
                  </w:r>
                </w:p>
              </w:tc>
              <w:tc>
                <w:tcPr>
                  <w:tcW w:w="2170" w:type="pct"/>
                  <w:noWrap w:val="0"/>
                  <w:vAlign w:val="center"/>
                </w:tcPr>
                <w:p>
                  <w:pPr>
                    <w:spacing w:line="240" w:lineRule="auto"/>
                    <w:rPr>
                      <w:rFonts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厂房隔声、距离衰减。</w:t>
                  </w:r>
                </w:p>
              </w:tc>
              <w:tc>
                <w:tcPr>
                  <w:tcW w:w="456" w:type="pct"/>
                  <w:vMerge w:val="restar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bCs/>
                      <w:color w:val="auto"/>
                      <w:sz w:val="21"/>
                      <w:szCs w:val="21"/>
                      <w:highlight w:val="none"/>
                      <w:shd w:val="clear" w:color="auto" w:fill="auto"/>
                      <w:lang w:val="en-US" w:eastAsia="zh-CN"/>
                    </w:rPr>
                    <w:t>0.2</w:t>
                  </w:r>
                </w:p>
              </w:tc>
              <w:tc>
                <w:tcPr>
                  <w:tcW w:w="493" w:type="pct"/>
                  <w:vMerge w:val="restar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p>
              </w:tc>
              <w:tc>
                <w:tcPr>
                  <w:tcW w:w="529"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固废治理</w:t>
                  </w:r>
                </w:p>
              </w:tc>
              <w:tc>
                <w:tcPr>
                  <w:tcW w:w="831" w:type="pct"/>
                  <w:noWrap w:val="0"/>
                  <w:vAlign w:val="center"/>
                </w:tcPr>
                <w:p>
                  <w:pPr>
                    <w:autoSpaceDE w:val="0"/>
                    <w:autoSpaceDN w:val="0"/>
                    <w:adjustRightInd w:val="0"/>
                    <w:snapToGrid w:val="0"/>
                    <w:spacing w:line="240" w:lineRule="auto"/>
                    <w:jc w:val="center"/>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生活垃圾</w:t>
                  </w:r>
                </w:p>
              </w:tc>
              <w:tc>
                <w:tcPr>
                  <w:tcW w:w="2170" w:type="pct"/>
                  <w:noWrap w:val="0"/>
                  <w:vAlign w:val="center"/>
                </w:tcPr>
                <w:p>
                  <w:pPr>
                    <w:spacing w:line="240" w:lineRule="auto"/>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统一收集后由环卫部门进行清运处理。</w:t>
                  </w:r>
                </w:p>
              </w:tc>
              <w:tc>
                <w:tcPr>
                  <w:tcW w:w="456" w:type="pct"/>
                  <w:vMerge w:val="continue"/>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p>
              </w:tc>
              <w:tc>
                <w:tcPr>
                  <w:tcW w:w="493" w:type="pct"/>
                  <w:vMerge w:val="continue"/>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restar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营运期</w:t>
                  </w:r>
                </w:p>
              </w:tc>
              <w:tc>
                <w:tcPr>
                  <w:tcW w:w="529"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废气治理</w:t>
                  </w:r>
                </w:p>
              </w:tc>
              <w:tc>
                <w:tcPr>
                  <w:tcW w:w="831" w:type="pct"/>
                  <w:noWrap w:val="0"/>
                  <w:vAlign w:val="center"/>
                </w:tcPr>
                <w:p>
                  <w:pPr>
                    <w:jc w:val="center"/>
                    <w:rPr>
                      <w:rFonts w:hint="eastAsia" w:ascii="Times New Roman" w:hAnsi="Times New Roman" w:eastAsia="宋体" w:cs="Times New Roman"/>
                      <w:color w:val="auto"/>
                      <w:sz w:val="21"/>
                      <w:szCs w:val="21"/>
                      <w:highlight w:val="none"/>
                      <w:shd w:val="clear" w:color="auto" w:fill="auto"/>
                    </w:rPr>
                  </w:pPr>
                  <w:r>
                    <w:rPr>
                      <w:rFonts w:hint="eastAsia" w:cs="Times New Roman"/>
                      <w:bCs/>
                      <w:color w:val="auto"/>
                      <w:szCs w:val="21"/>
                      <w:highlight w:val="none"/>
                      <w:lang w:val="en-US" w:eastAsia="zh-CN"/>
                    </w:rPr>
                    <w:t>激光脱皮废气、</w:t>
                  </w:r>
                  <w:r>
                    <w:rPr>
                      <w:rFonts w:hint="eastAsia" w:ascii="Times New Roman" w:hAnsi="Times New Roman" w:eastAsia="宋体" w:cs="Times New Roman"/>
                      <w:bCs/>
                      <w:color w:val="auto"/>
                      <w:szCs w:val="21"/>
                      <w:highlight w:val="none"/>
                      <w:lang w:val="en-US" w:eastAsia="zh-CN"/>
                    </w:rPr>
                    <w:t>焊锡废气、</w:t>
                  </w:r>
                  <w:r>
                    <w:rPr>
                      <w:rFonts w:hint="eastAsia" w:cs="Times New Roman"/>
                      <w:bCs/>
                      <w:color w:val="auto"/>
                      <w:szCs w:val="21"/>
                      <w:highlight w:val="none"/>
                      <w:lang w:val="en-US" w:eastAsia="zh-CN"/>
                    </w:rPr>
                    <w:t>含浸废气、烘干废气</w:t>
                  </w:r>
                </w:p>
              </w:tc>
              <w:tc>
                <w:tcPr>
                  <w:tcW w:w="2170" w:type="pct"/>
                  <w:noWrap w:val="0"/>
                  <w:vAlign w:val="center"/>
                </w:tcPr>
                <w:p>
                  <w:pPr>
                    <w:jc w:val="both"/>
                    <w:rPr>
                      <w:rFonts w:hint="eastAsia" w:ascii="Times New Roman" w:hAnsi="Times New Roman" w:eastAsia="宋体" w:cs="Times New Roman"/>
                      <w:color w:val="auto"/>
                      <w:sz w:val="21"/>
                      <w:szCs w:val="21"/>
                      <w:highlight w:val="none"/>
                      <w:shd w:val="clear" w:color="auto" w:fill="auto"/>
                      <w:lang w:eastAsia="zh-CN"/>
                    </w:rPr>
                  </w:pPr>
                  <w:r>
                    <w:rPr>
                      <w:rFonts w:hint="eastAsia" w:cs="Times New Roman"/>
                      <w:bCs/>
                      <w:color w:val="auto"/>
                      <w:szCs w:val="21"/>
                      <w:highlight w:val="none"/>
                      <w:lang w:val="en-US" w:eastAsia="zh-CN"/>
                    </w:rPr>
                    <w:t>激光脱皮废气、焊锡废气经“集气罩+过滤棉+二级活性炭吸附装置”处理后经15m排气筒（DA001）达标排放；浸漆和烘干废气经“封闭设备集气管收集+过滤棉+二级活性炭吸附装置”处理后经15m排气筒（DA001）达标排放</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color w:val="auto"/>
                      <w:highlight w:val="none"/>
                      <w:lang w:val="en-US" w:eastAsia="zh-CN"/>
                    </w:rPr>
                    <w:t>10.5</w:t>
                  </w:r>
                </w:p>
              </w:tc>
              <w:tc>
                <w:tcPr>
                  <w:tcW w:w="493"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废水治理</w:t>
                  </w:r>
                </w:p>
              </w:tc>
              <w:tc>
                <w:tcPr>
                  <w:tcW w:w="831" w:type="pct"/>
                  <w:noWrap w:val="0"/>
                  <w:vAlign w:val="center"/>
                </w:tcPr>
                <w:p>
                  <w:pPr>
                    <w:autoSpaceDE w:val="0"/>
                    <w:autoSpaceDN w:val="0"/>
                    <w:adjustRightInd w:val="0"/>
                    <w:snapToGrid w:val="0"/>
                    <w:spacing w:line="240" w:lineRule="auto"/>
                    <w:jc w:val="center"/>
                    <w:rPr>
                      <w:rFonts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生活废水</w:t>
                  </w:r>
                </w:p>
              </w:tc>
              <w:tc>
                <w:tcPr>
                  <w:tcW w:w="2170" w:type="pct"/>
                  <w:noWrap w:val="0"/>
                  <w:vAlign w:val="center"/>
                </w:tcPr>
                <w:p>
                  <w:pPr>
                    <w:keepLines/>
                    <w:autoSpaceDE w:val="0"/>
                    <w:autoSpaceDN w:val="0"/>
                    <w:adjustRightInd w:val="0"/>
                    <w:spacing w:line="240" w:lineRule="auto"/>
                    <w:jc w:val="center"/>
                    <w:rPr>
                      <w:rFonts w:hint="eastAsia" w:ascii="Times New Roman" w:hAnsi="Times New Roman" w:eastAsia="宋体"/>
                      <w:color w:val="auto"/>
                      <w:sz w:val="21"/>
                      <w:szCs w:val="21"/>
                      <w:highlight w:val="none"/>
                      <w:shd w:val="clear" w:color="auto" w:fill="auto"/>
                      <w:lang w:val="en-US" w:eastAsia="zh-CN"/>
                    </w:rPr>
                  </w:pPr>
                  <w:r>
                    <w:rPr>
                      <w:rFonts w:hint="eastAsia" w:ascii="Times New Roman" w:hAnsi="Times New Roman" w:eastAsia="宋体"/>
                      <w:color w:val="auto"/>
                      <w:sz w:val="21"/>
                      <w:szCs w:val="21"/>
                      <w:highlight w:val="none"/>
                      <w:shd w:val="clear" w:color="auto" w:fill="auto"/>
                      <w:lang w:val="en-US" w:eastAsia="zh-CN"/>
                    </w:rPr>
                    <w:t>依托厂区已有预处理池</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eastAsia="宋体"/>
                      <w:bCs/>
                      <w:color w:val="auto"/>
                      <w:sz w:val="21"/>
                      <w:szCs w:val="21"/>
                      <w:highlight w:val="none"/>
                      <w:shd w:val="clear" w:color="auto" w:fill="auto"/>
                      <w:lang w:val="en-US" w:eastAsia="zh-CN"/>
                    </w:rPr>
                    <w:t>/</w:t>
                  </w:r>
                </w:p>
              </w:tc>
              <w:tc>
                <w:tcPr>
                  <w:tcW w:w="493"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lang w:eastAsia="zh-CN"/>
                    </w:rPr>
                  </w:pPr>
                  <w:r>
                    <w:rPr>
                      <w:rFonts w:hint="eastAsia" w:ascii="Times New Roman" w:hAnsi="Times New Roman" w:eastAsia="宋体"/>
                      <w:bCs/>
                      <w:color w:val="auto"/>
                      <w:sz w:val="21"/>
                      <w:szCs w:val="21"/>
                      <w:highlight w:val="none"/>
                      <w:shd w:val="clear" w:color="auto" w:fill="auto"/>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噪声治理</w:t>
                  </w:r>
                </w:p>
              </w:tc>
              <w:tc>
                <w:tcPr>
                  <w:tcW w:w="831" w:type="pct"/>
                  <w:noWrap w:val="0"/>
                  <w:vAlign w:val="center"/>
                </w:tcPr>
                <w:p>
                  <w:pPr>
                    <w:autoSpaceDE w:val="0"/>
                    <w:autoSpaceDN w:val="0"/>
                    <w:adjustRightInd w:val="0"/>
                    <w:snapToGrid w:val="0"/>
                    <w:spacing w:line="240" w:lineRule="auto"/>
                    <w:jc w:val="center"/>
                    <w:rPr>
                      <w:rFonts w:ascii="Times New Roman" w:hAnsi="Times New Roman" w:eastAsia="宋体"/>
                      <w:color w:val="auto"/>
                      <w:sz w:val="21"/>
                      <w:szCs w:val="21"/>
                      <w:highlight w:val="none"/>
                      <w:shd w:val="clear" w:color="auto" w:fill="auto"/>
                    </w:rPr>
                  </w:pPr>
                  <w:r>
                    <w:rPr>
                      <w:rFonts w:ascii="Times New Roman" w:hAnsi="Times New Roman" w:eastAsia="宋体"/>
                      <w:color w:val="auto"/>
                      <w:sz w:val="21"/>
                      <w:szCs w:val="21"/>
                      <w:highlight w:val="none"/>
                      <w:shd w:val="clear" w:color="auto" w:fill="auto"/>
                    </w:rPr>
                    <w:t>设备运行噪声</w:t>
                  </w:r>
                </w:p>
              </w:tc>
              <w:tc>
                <w:tcPr>
                  <w:tcW w:w="2170" w:type="pct"/>
                  <w:noWrap w:val="0"/>
                  <w:vAlign w:val="center"/>
                </w:tcPr>
                <w:p>
                  <w:pPr>
                    <w:spacing w:line="240" w:lineRule="auto"/>
                    <w:rPr>
                      <w:rFonts w:hint="eastAsia"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选用低噪声设备、厂房隔声、</w:t>
                  </w:r>
                  <w:r>
                    <w:rPr>
                      <w:rFonts w:hint="eastAsia" w:ascii="Times New Roman" w:hAnsi="Times New Roman" w:eastAsia="宋体"/>
                      <w:bCs/>
                      <w:color w:val="auto"/>
                      <w:sz w:val="21"/>
                      <w:szCs w:val="21"/>
                      <w:highlight w:val="none"/>
                      <w:shd w:val="clear" w:color="auto" w:fill="auto"/>
                      <w:lang w:eastAsia="zh-CN"/>
                    </w:rPr>
                    <w:t>加强绿化、</w:t>
                  </w:r>
                  <w:r>
                    <w:rPr>
                      <w:rFonts w:ascii="Times New Roman" w:hAnsi="Times New Roman" w:eastAsia="宋体"/>
                      <w:bCs/>
                      <w:color w:val="auto"/>
                      <w:sz w:val="21"/>
                      <w:szCs w:val="21"/>
                      <w:highlight w:val="none"/>
                      <w:shd w:val="clear" w:color="auto" w:fill="auto"/>
                    </w:rPr>
                    <w:t>基础减震等</w:t>
                  </w:r>
                  <w:r>
                    <w:rPr>
                      <w:rFonts w:hint="eastAsia" w:ascii="Times New Roman" w:hAnsi="Times New Roman" w:eastAsia="宋体"/>
                      <w:bCs/>
                      <w:color w:val="auto"/>
                      <w:sz w:val="21"/>
                      <w:szCs w:val="21"/>
                      <w:highlight w:val="none"/>
                      <w:shd w:val="clear" w:color="auto" w:fill="auto"/>
                    </w:rPr>
                    <w:t>。</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bCs/>
                      <w:color w:val="auto"/>
                      <w:sz w:val="21"/>
                      <w:szCs w:val="21"/>
                      <w:highlight w:val="none"/>
                      <w:shd w:val="clear" w:color="auto" w:fill="auto"/>
                      <w:lang w:val="en-US" w:eastAsia="zh-CN"/>
                    </w:rPr>
                    <w:t>0.5</w:t>
                  </w:r>
                </w:p>
              </w:tc>
              <w:tc>
                <w:tcPr>
                  <w:tcW w:w="493"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vMerge w:val="restar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固废治理</w:t>
                  </w:r>
                </w:p>
              </w:tc>
              <w:tc>
                <w:tcPr>
                  <w:tcW w:w="831" w:type="pct"/>
                  <w:noWrap w:val="0"/>
                  <w:vAlign w:val="center"/>
                </w:tcPr>
                <w:p>
                  <w:pPr>
                    <w:autoSpaceDE w:val="0"/>
                    <w:autoSpaceDN w:val="0"/>
                    <w:adjustRightInd w:val="0"/>
                    <w:snapToGrid w:val="0"/>
                    <w:spacing w:line="240" w:lineRule="auto"/>
                    <w:jc w:val="center"/>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一般固体废物</w:t>
                  </w:r>
                </w:p>
              </w:tc>
              <w:tc>
                <w:tcPr>
                  <w:tcW w:w="2170" w:type="pct"/>
                  <w:noWrap w:val="0"/>
                  <w:vAlign w:val="center"/>
                </w:tcPr>
                <w:p>
                  <w:pPr>
                    <w:spacing w:line="240" w:lineRule="auto"/>
                    <w:rPr>
                      <w:rFonts w:hint="eastAsia" w:ascii="Times New Roman" w:hAnsi="Times New Roman" w:eastAsia="宋体"/>
                      <w:bCs/>
                      <w:color w:val="auto"/>
                      <w:sz w:val="21"/>
                      <w:szCs w:val="21"/>
                      <w:highlight w:val="none"/>
                      <w:shd w:val="clear" w:color="auto" w:fill="auto"/>
                      <w:lang w:eastAsia="zh-CN"/>
                    </w:rPr>
                  </w:pPr>
                  <w:r>
                    <w:rPr>
                      <w:rFonts w:hint="eastAsia" w:ascii="Times New Roman" w:hAnsi="Times New Roman" w:eastAsia="宋体"/>
                      <w:bCs/>
                      <w:color w:val="auto"/>
                      <w:sz w:val="21"/>
                      <w:szCs w:val="21"/>
                      <w:highlight w:val="none"/>
                      <w:shd w:val="clear" w:color="auto" w:fill="auto"/>
                      <w:lang w:eastAsia="zh-CN"/>
                    </w:rPr>
                    <w:t>生活垃圾由环卫部门进行清运处理；锡渣定期外售综合利用；废包装材料定期外售综合利用；不合格品</w:t>
                  </w:r>
                  <w:r>
                    <w:rPr>
                      <w:rFonts w:hint="eastAsia" w:cs="Times New Roman"/>
                      <w:color w:val="auto"/>
                      <w:kern w:val="0"/>
                      <w:sz w:val="21"/>
                      <w:szCs w:val="21"/>
                      <w:highlight w:val="none"/>
                      <w:lang w:val="en-US" w:eastAsia="zh-CN"/>
                    </w:rPr>
                    <w:t>对其进行拆除，拆除的废铜线及绝缘线这部分外售综合利用，其它的碎骨架及废胶带这部分</w:t>
                  </w:r>
                  <w:r>
                    <w:rPr>
                      <w:rFonts w:hint="eastAsia" w:ascii="Times New Roman" w:hAnsi="Times New Roman" w:eastAsia="宋体"/>
                      <w:bCs/>
                      <w:color w:val="auto"/>
                      <w:sz w:val="21"/>
                      <w:szCs w:val="21"/>
                      <w:highlight w:val="none"/>
                      <w:shd w:val="clear" w:color="auto" w:fill="auto"/>
                      <w:lang w:eastAsia="zh-CN"/>
                    </w:rPr>
                    <w:t>交由环卫部门处理</w:t>
                  </w:r>
                  <w:r>
                    <w:rPr>
                      <w:rFonts w:hint="eastAsia"/>
                      <w:bCs/>
                      <w:color w:val="auto"/>
                      <w:sz w:val="21"/>
                      <w:szCs w:val="21"/>
                      <w:highlight w:val="none"/>
                      <w:shd w:val="clear" w:color="auto" w:fill="auto"/>
                      <w:lang w:eastAsia="zh-CN"/>
                    </w:rPr>
                    <w:t>；</w:t>
                  </w:r>
                  <w:r>
                    <w:rPr>
                      <w:rFonts w:hint="eastAsia" w:ascii="Times New Roman" w:hAnsi="Times New Roman" w:eastAsia="宋体"/>
                      <w:bCs/>
                      <w:color w:val="auto"/>
                      <w:sz w:val="21"/>
                      <w:szCs w:val="21"/>
                      <w:highlight w:val="none"/>
                      <w:shd w:val="clear" w:color="auto" w:fill="auto"/>
                      <w:lang w:eastAsia="zh-CN"/>
                    </w:rPr>
                    <w:t>边角料定期外售综合利用</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bCs/>
                      <w:color w:val="auto"/>
                      <w:sz w:val="21"/>
                      <w:szCs w:val="21"/>
                      <w:highlight w:val="none"/>
                      <w:shd w:val="clear" w:color="auto" w:fill="auto"/>
                      <w:lang w:val="en-US" w:eastAsia="zh-CN"/>
                    </w:rPr>
                    <w:t>0.5</w:t>
                  </w:r>
                </w:p>
              </w:tc>
              <w:tc>
                <w:tcPr>
                  <w:tcW w:w="493"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831" w:type="pct"/>
                  <w:noWrap w:val="0"/>
                  <w:vAlign w:val="center"/>
                </w:tcPr>
                <w:p>
                  <w:pPr>
                    <w:autoSpaceDE w:val="0"/>
                    <w:autoSpaceDN w:val="0"/>
                    <w:adjustRightInd w:val="0"/>
                    <w:snapToGrid w:val="0"/>
                    <w:spacing w:line="240" w:lineRule="auto"/>
                    <w:jc w:val="center"/>
                    <w:rPr>
                      <w:rFonts w:hint="eastAsia" w:ascii="Times New Roman" w:hAnsi="Times New Roman" w:eastAsia="宋体"/>
                      <w:color w:val="auto"/>
                      <w:sz w:val="21"/>
                      <w:szCs w:val="21"/>
                      <w:highlight w:val="none"/>
                      <w:shd w:val="clear" w:color="auto" w:fill="auto"/>
                      <w:lang w:eastAsia="zh-CN"/>
                    </w:rPr>
                  </w:pPr>
                  <w:r>
                    <w:rPr>
                      <w:rFonts w:hint="eastAsia" w:ascii="Times New Roman" w:hAnsi="Times New Roman" w:eastAsia="宋体"/>
                      <w:color w:val="auto"/>
                      <w:sz w:val="21"/>
                      <w:szCs w:val="21"/>
                      <w:highlight w:val="none"/>
                      <w:shd w:val="clear" w:color="auto" w:fill="auto"/>
                      <w:lang w:eastAsia="zh-CN"/>
                    </w:rPr>
                    <w:t>危险废物</w:t>
                  </w:r>
                </w:p>
              </w:tc>
              <w:tc>
                <w:tcPr>
                  <w:tcW w:w="2170" w:type="pct"/>
                  <w:noWrap w:val="0"/>
                  <w:vAlign w:val="center"/>
                </w:tcPr>
                <w:p>
                  <w:pPr>
                    <w:spacing w:line="240" w:lineRule="auto"/>
                    <w:rPr>
                      <w:rFonts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lang w:eastAsia="zh-CN"/>
                    </w:rPr>
                    <w:t>危险废物</w:t>
                  </w:r>
                  <w:r>
                    <w:rPr>
                      <w:rFonts w:hint="eastAsia" w:ascii="Times New Roman" w:hAnsi="Times New Roman" w:eastAsia="宋体"/>
                      <w:bCs/>
                      <w:color w:val="auto"/>
                      <w:sz w:val="21"/>
                      <w:szCs w:val="21"/>
                      <w:highlight w:val="none"/>
                      <w:shd w:val="clear" w:color="auto" w:fill="auto"/>
                    </w:rPr>
                    <w:t>统一收集后放置危废暂存间，定期交由有资质的单位处置</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bCs/>
                      <w:color w:val="auto"/>
                      <w:sz w:val="21"/>
                      <w:szCs w:val="21"/>
                      <w:highlight w:val="none"/>
                      <w:shd w:val="clear" w:color="auto" w:fill="auto"/>
                      <w:lang w:val="en-US" w:eastAsia="zh-CN"/>
                    </w:rPr>
                    <w:t>0.8</w:t>
                  </w:r>
                </w:p>
              </w:tc>
              <w:tc>
                <w:tcPr>
                  <w:tcW w:w="493"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lang w:eastAsia="zh-CN"/>
                    </w:rPr>
                  </w:pPr>
                  <w:r>
                    <w:rPr>
                      <w:rFonts w:hint="eastAsia" w:ascii="Times New Roman" w:hAnsi="Times New Roman" w:eastAsia="宋体"/>
                      <w:bCs/>
                      <w:color w:val="auto"/>
                      <w:sz w:val="21"/>
                      <w:szCs w:val="21"/>
                      <w:highlight w:val="none"/>
                      <w:shd w:val="clear" w:color="auto" w:fill="auto"/>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地下水防治措施</w:t>
                  </w:r>
                </w:p>
              </w:tc>
              <w:tc>
                <w:tcPr>
                  <w:tcW w:w="831"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分区防渗</w:t>
                  </w:r>
                </w:p>
              </w:tc>
              <w:tc>
                <w:tcPr>
                  <w:tcW w:w="2170" w:type="pct"/>
                  <w:noWrap w:val="0"/>
                  <w:vAlign w:val="center"/>
                </w:tcPr>
                <w:p>
                  <w:pPr>
                    <w:spacing w:line="240" w:lineRule="auto"/>
                    <w:rPr>
                      <w:rFonts w:hint="eastAsia" w:ascii="Times New Roman" w:hAnsi="Times New Roman" w:eastAsia="宋体"/>
                      <w:color w:val="auto"/>
                      <w:sz w:val="21"/>
                      <w:szCs w:val="21"/>
                      <w:highlight w:val="none"/>
                      <w:shd w:val="clear" w:color="auto" w:fill="auto"/>
                    </w:rPr>
                  </w:pPr>
                  <w:r>
                    <w:rPr>
                      <w:rFonts w:hint="eastAsia"/>
                      <w:color w:val="auto"/>
                      <w:sz w:val="21"/>
                      <w:szCs w:val="21"/>
                      <w:highlight w:val="none"/>
                      <w:shd w:val="clear" w:color="auto" w:fill="auto"/>
                      <w:lang w:val="en-US" w:eastAsia="zh-CN"/>
                    </w:rPr>
                    <w:t>1、</w:t>
                  </w:r>
                  <w:r>
                    <w:rPr>
                      <w:rFonts w:hint="eastAsia" w:ascii="Times New Roman" w:hAnsi="Times New Roman" w:eastAsia="宋体"/>
                      <w:color w:val="auto"/>
                      <w:sz w:val="21"/>
                      <w:szCs w:val="21"/>
                      <w:highlight w:val="none"/>
                      <w:shd w:val="clear" w:color="auto" w:fill="auto"/>
                    </w:rPr>
                    <w:t>除重点防渗和简单防渗区域外剩余区域进行一般防渗；</w:t>
                  </w:r>
                </w:p>
                <w:p>
                  <w:pPr>
                    <w:spacing w:line="240" w:lineRule="auto"/>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2、对危废暂存间、辅料库房、浸漆烘干区进行重点防渗；</w:t>
                  </w:r>
                </w:p>
                <w:p>
                  <w:pPr>
                    <w:spacing w:line="240" w:lineRule="auto"/>
                    <w:rPr>
                      <w:rFonts w:ascii="Times New Roman" w:hAnsi="Times New Roman" w:eastAsia="宋体"/>
                      <w:bCs/>
                      <w:color w:val="auto"/>
                      <w:sz w:val="21"/>
                      <w:szCs w:val="21"/>
                      <w:highlight w:val="none"/>
                      <w:shd w:val="clear" w:color="auto" w:fill="auto"/>
                    </w:rPr>
                  </w:pPr>
                  <w:r>
                    <w:rPr>
                      <w:rFonts w:hint="eastAsia" w:ascii="Times New Roman" w:hAnsi="Times New Roman" w:eastAsia="宋体"/>
                      <w:color w:val="auto"/>
                      <w:sz w:val="21"/>
                      <w:szCs w:val="21"/>
                      <w:highlight w:val="none"/>
                      <w:shd w:val="clear" w:color="auto" w:fill="auto"/>
                    </w:rPr>
                    <w:t>3、二楼、三楼车间</w:t>
                  </w:r>
                  <w:r>
                    <w:rPr>
                      <w:rFonts w:hint="eastAsia"/>
                      <w:color w:val="auto"/>
                      <w:sz w:val="21"/>
                      <w:szCs w:val="21"/>
                      <w:highlight w:val="none"/>
                      <w:shd w:val="clear" w:color="auto" w:fill="auto"/>
                      <w:lang w:val="en-US" w:eastAsia="zh-CN"/>
                    </w:rPr>
                    <w:t>整体</w:t>
                  </w:r>
                  <w:r>
                    <w:rPr>
                      <w:rFonts w:hint="eastAsia" w:ascii="Times New Roman" w:hAnsi="Times New Roman" w:eastAsia="宋体"/>
                      <w:color w:val="auto"/>
                      <w:sz w:val="21"/>
                      <w:szCs w:val="21"/>
                      <w:highlight w:val="none"/>
                      <w:shd w:val="clear" w:color="auto" w:fill="auto"/>
                    </w:rPr>
                    <w:t>、一楼办公区均为简单防渗。</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eastAsia="宋体"/>
                      <w:bCs/>
                      <w:color w:val="auto"/>
                      <w:sz w:val="21"/>
                      <w:szCs w:val="21"/>
                      <w:highlight w:val="none"/>
                      <w:shd w:val="clear" w:color="auto" w:fill="auto"/>
                      <w:lang w:val="en-US" w:eastAsia="zh-CN"/>
                    </w:rPr>
                    <w:t>1.2</w:t>
                  </w:r>
                </w:p>
              </w:tc>
              <w:tc>
                <w:tcPr>
                  <w:tcW w:w="493" w:type="pct"/>
                  <w:noWrap w:val="0"/>
                  <w:vAlign w:val="center"/>
                </w:tcPr>
                <w:p>
                  <w:pPr>
                    <w:spacing w:line="240" w:lineRule="auto"/>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vMerge w:val="restar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环境风险</w:t>
                  </w:r>
                </w:p>
              </w:tc>
              <w:tc>
                <w:tcPr>
                  <w:tcW w:w="3002" w:type="pct"/>
                  <w:gridSpan w:val="2"/>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自备式呼吸器、面罩、防护服等</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eastAsia="宋体"/>
                      <w:bCs/>
                      <w:color w:val="auto"/>
                      <w:sz w:val="21"/>
                      <w:szCs w:val="21"/>
                      <w:highlight w:val="none"/>
                      <w:shd w:val="clear" w:color="auto" w:fill="auto"/>
                      <w:lang w:val="en-US" w:eastAsia="zh-CN"/>
                    </w:rPr>
                    <w:t>0.</w:t>
                  </w:r>
                  <w:r>
                    <w:rPr>
                      <w:rFonts w:hint="eastAsia"/>
                      <w:bCs/>
                      <w:color w:val="auto"/>
                      <w:sz w:val="21"/>
                      <w:szCs w:val="21"/>
                      <w:highlight w:val="none"/>
                      <w:shd w:val="clear" w:color="auto" w:fill="auto"/>
                      <w:lang w:val="en-US" w:eastAsia="zh-CN"/>
                    </w:rPr>
                    <w:t>3</w:t>
                  </w:r>
                </w:p>
              </w:tc>
              <w:tc>
                <w:tcPr>
                  <w:tcW w:w="493"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18"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529" w:type="pct"/>
                  <w:vMerge w:val="continue"/>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p>
              </w:tc>
              <w:tc>
                <w:tcPr>
                  <w:tcW w:w="831"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消防系统</w:t>
                  </w:r>
                </w:p>
              </w:tc>
              <w:tc>
                <w:tcPr>
                  <w:tcW w:w="2170" w:type="pct"/>
                  <w:noWrap w:val="0"/>
                  <w:vAlign w:val="center"/>
                </w:tcPr>
                <w:p>
                  <w:pPr>
                    <w:spacing w:line="240" w:lineRule="auto"/>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灭火器等消防设施</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eastAsia="宋体"/>
                      <w:bCs/>
                      <w:color w:val="auto"/>
                      <w:sz w:val="21"/>
                      <w:szCs w:val="21"/>
                      <w:highlight w:val="none"/>
                      <w:shd w:val="clear" w:color="auto" w:fill="auto"/>
                      <w:lang w:val="en-US" w:eastAsia="zh-CN"/>
                    </w:rPr>
                    <w:t>0.</w:t>
                  </w:r>
                  <w:r>
                    <w:rPr>
                      <w:rFonts w:hint="eastAsia"/>
                      <w:bCs/>
                      <w:color w:val="auto"/>
                      <w:sz w:val="21"/>
                      <w:szCs w:val="21"/>
                      <w:highlight w:val="none"/>
                      <w:shd w:val="clear" w:color="auto" w:fill="auto"/>
                      <w:lang w:val="en-US" w:eastAsia="zh-CN"/>
                    </w:rPr>
                    <w:t>2</w:t>
                  </w:r>
                </w:p>
              </w:tc>
              <w:tc>
                <w:tcPr>
                  <w:tcW w:w="493"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050" w:type="pct"/>
                  <w:gridSpan w:val="4"/>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合计</w:t>
                  </w:r>
                </w:p>
              </w:tc>
              <w:tc>
                <w:tcPr>
                  <w:tcW w:w="456" w:type="pct"/>
                  <w:noWrap w:val="0"/>
                  <w:vAlign w:val="center"/>
                </w:tcPr>
                <w:p>
                  <w:pPr>
                    <w:spacing w:line="240" w:lineRule="auto"/>
                    <w:jc w:val="center"/>
                    <w:rPr>
                      <w:rFonts w:hint="default" w:ascii="Times New Roman" w:hAnsi="Times New Roman" w:eastAsia="宋体"/>
                      <w:bCs/>
                      <w:color w:val="auto"/>
                      <w:sz w:val="21"/>
                      <w:szCs w:val="21"/>
                      <w:highlight w:val="none"/>
                      <w:shd w:val="clear" w:color="auto" w:fill="auto"/>
                      <w:lang w:val="en-US" w:eastAsia="zh-CN"/>
                    </w:rPr>
                  </w:pPr>
                  <w:r>
                    <w:rPr>
                      <w:rFonts w:hint="eastAsia" w:eastAsia="宋体"/>
                      <w:bCs/>
                      <w:color w:val="auto"/>
                      <w:sz w:val="21"/>
                      <w:szCs w:val="21"/>
                      <w:highlight w:val="none"/>
                      <w:shd w:val="clear" w:color="auto" w:fill="auto"/>
                      <w:lang w:val="en-US" w:eastAsia="zh-CN"/>
                    </w:rPr>
                    <w:t>1</w:t>
                  </w:r>
                  <w:r>
                    <w:rPr>
                      <w:rFonts w:hint="eastAsia"/>
                      <w:bCs/>
                      <w:color w:val="auto"/>
                      <w:sz w:val="21"/>
                      <w:szCs w:val="21"/>
                      <w:highlight w:val="none"/>
                      <w:shd w:val="clear" w:color="auto" w:fill="auto"/>
                      <w:lang w:val="en-US" w:eastAsia="zh-CN"/>
                    </w:rPr>
                    <w:t>5</w:t>
                  </w:r>
                </w:p>
              </w:tc>
              <w:tc>
                <w:tcPr>
                  <w:tcW w:w="493" w:type="pct"/>
                  <w:noWrap w:val="0"/>
                  <w:vAlign w:val="center"/>
                </w:tcPr>
                <w:p>
                  <w:pPr>
                    <w:spacing w:line="240" w:lineRule="auto"/>
                    <w:jc w:val="center"/>
                    <w:rPr>
                      <w:rFonts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w:t>
                  </w:r>
                </w:p>
              </w:tc>
            </w:tr>
          </w:tbl>
          <w:p>
            <w:pPr>
              <w:rPr>
                <w:rFonts w:hint="default"/>
                <w:color w:val="auto"/>
                <w:highlight w:val="none"/>
                <w:vertAlign w:val="baseline"/>
              </w:rPr>
            </w:pPr>
          </w:p>
        </w:tc>
      </w:tr>
    </w:tbl>
    <w:p>
      <w:pPr>
        <w:pStyle w:val="16"/>
        <w:jc w:val="both"/>
        <w:outlineLvl w:val="0"/>
        <w:rPr>
          <w:rFonts w:hint="default" w:ascii="Times New Roman" w:hAnsi="Times New Roman" w:eastAsia="黑体" w:cs="Times New Roman"/>
          <w:snapToGrid w:val="0"/>
          <w:color w:val="auto"/>
          <w:sz w:val="30"/>
          <w:szCs w:val="30"/>
          <w:highlight w:val="none"/>
        </w:rPr>
      </w:pPr>
    </w:p>
    <w:p>
      <w:pPr>
        <w:pStyle w:val="16"/>
        <w:jc w:val="center"/>
        <w:outlineLvl w:val="0"/>
        <w:rPr>
          <w:rFonts w:hint="default" w:ascii="Times New Roman" w:hAnsi="Times New Roman" w:eastAsia="黑体" w:cs="Times New Roman"/>
          <w:snapToGrid w:val="0"/>
          <w:color w:val="auto"/>
          <w:sz w:val="30"/>
          <w:szCs w:val="30"/>
          <w:highlight w:val="none"/>
        </w:rPr>
      </w:pPr>
    </w:p>
    <w:p>
      <w:pPr>
        <w:pStyle w:val="1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0" w:name="_Hlk54167917"/>
      <w:r>
        <w:rPr>
          <w:rFonts w:hint="default" w:ascii="Times New Roman" w:hAnsi="Times New Roman" w:eastAsia="黑体" w:cs="Times New Roman"/>
          <w:snapToGrid w:val="0"/>
          <w:color w:val="auto"/>
          <w:sz w:val="30"/>
          <w:szCs w:val="30"/>
          <w:highlight w:val="none"/>
        </w:rPr>
        <w:t>环境保护措施监督检查清单</w:t>
      </w:r>
      <w:bookmarkEnd w:id="10"/>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624"/>
        <w:gridCol w:w="1541"/>
        <w:gridCol w:w="21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内容</w:t>
            </w:r>
          </w:p>
          <w:p>
            <w:pPr>
              <w:adjustRightInd w:val="0"/>
              <w:snapToGrid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要素</w:t>
            </w:r>
          </w:p>
        </w:tc>
        <w:tc>
          <w:tcPr>
            <w:tcW w:w="1755" w:type="dxa"/>
            <w:noWrap w:val="0"/>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排放口（编号、</w:t>
            </w:r>
          </w:p>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名称）/污染源</w:t>
            </w:r>
          </w:p>
        </w:tc>
        <w:tc>
          <w:tcPr>
            <w:tcW w:w="1624" w:type="dxa"/>
            <w:noWrap w:val="0"/>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污染物项目</w:t>
            </w:r>
          </w:p>
        </w:tc>
        <w:tc>
          <w:tcPr>
            <w:tcW w:w="1541" w:type="dxa"/>
            <w:noWrap w:val="0"/>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环境保护措施</w:t>
            </w:r>
          </w:p>
        </w:tc>
        <w:tc>
          <w:tcPr>
            <w:tcW w:w="2102" w:type="dxa"/>
            <w:noWrap w:val="0"/>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778"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大气环境</w:t>
            </w:r>
          </w:p>
        </w:tc>
        <w:tc>
          <w:tcPr>
            <w:tcW w:w="1755" w:type="dxa"/>
            <w:noWrap w:val="0"/>
            <w:vAlign w:val="center"/>
          </w:tcPr>
          <w:p>
            <w:pPr>
              <w:pStyle w:val="11"/>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宋体"/>
                <w:color w:val="auto"/>
                <w:sz w:val="24"/>
                <w:szCs w:val="24"/>
                <w:highlight w:val="none"/>
                <w:shd w:val="clear" w:color="auto" w:fill="auto"/>
              </w:rPr>
              <w:t>DA001</w:t>
            </w:r>
            <w:r>
              <w:rPr>
                <w:rFonts w:hint="eastAsia" w:ascii="Times New Roman" w:hAnsi="Times New Roman" w:eastAsia="宋体" w:cs="宋体"/>
                <w:color w:val="auto"/>
                <w:sz w:val="24"/>
                <w:szCs w:val="24"/>
                <w:highlight w:val="none"/>
                <w:shd w:val="clear" w:color="auto" w:fill="auto"/>
                <w:lang w:eastAsia="zh-CN"/>
              </w:rPr>
              <w:t>排气筒</w:t>
            </w:r>
          </w:p>
        </w:tc>
        <w:tc>
          <w:tcPr>
            <w:tcW w:w="1624"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宋体"/>
                <w:color w:val="auto"/>
                <w:sz w:val="24"/>
                <w:szCs w:val="24"/>
                <w:highlight w:val="none"/>
                <w:shd w:val="clear" w:color="auto" w:fill="auto"/>
                <w:lang w:val="en-US" w:eastAsia="zh-CN"/>
              </w:rPr>
              <w:t>颗粒物、锡及其化合物、VOCs、二甲苯</w:t>
            </w:r>
            <w:r>
              <w:rPr>
                <w:rFonts w:hint="eastAsia" w:cs="宋体"/>
                <w:color w:val="auto"/>
                <w:sz w:val="24"/>
                <w:szCs w:val="24"/>
                <w:highlight w:val="none"/>
                <w:shd w:val="clear" w:color="auto" w:fill="auto"/>
                <w:lang w:val="en-US" w:eastAsia="zh-CN"/>
              </w:rPr>
              <w:t>、异丙醇</w:t>
            </w:r>
          </w:p>
        </w:tc>
        <w:tc>
          <w:tcPr>
            <w:tcW w:w="1541"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eastAsia" w:cs="Times New Roman"/>
                <w:color w:val="auto"/>
                <w:sz w:val="24"/>
                <w:highlight w:val="none"/>
                <w:lang w:val="en-US" w:eastAsia="zh-CN"/>
              </w:rPr>
              <w:t>激光脱皮废气、焊锡废气经集气罩+过滤棉+二级活性炭吸附装置”处理后经15m排气筒（DA001）达标排放、浸漆和烘干废气经“封闭设备集气管收集+过滤棉+二级活性炭吸附装置”处理后经15m排气筒（DA001）达标排放</w:t>
            </w:r>
          </w:p>
        </w:tc>
        <w:tc>
          <w:tcPr>
            <w:tcW w:w="2102"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eastAsia"/>
                <w:color w:val="auto"/>
                <w:szCs w:val="21"/>
                <w:highlight w:val="none"/>
              </w:rPr>
              <w:t>《四川省固定污染源大气挥发性有机物排放标准》（DB51/2377-2017）《大气污染物综合排放标准》(GB16297-1996)表2二级标准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778"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地表水环境</w:t>
            </w:r>
          </w:p>
        </w:tc>
        <w:tc>
          <w:tcPr>
            <w:tcW w:w="1755"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生活污水</w:t>
            </w:r>
          </w:p>
        </w:tc>
        <w:tc>
          <w:tcPr>
            <w:tcW w:w="1624" w:type="dxa"/>
            <w:noWrap w:val="0"/>
            <w:vAlign w:val="center"/>
          </w:tcPr>
          <w:p>
            <w:pPr>
              <w:adjustRightInd w:val="0"/>
              <w:snapToGrid w:val="0"/>
              <w:spacing w:line="240" w:lineRule="auto"/>
              <w:jc w:val="center"/>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eastAsia="zh-CN"/>
              </w:rPr>
              <w:t>悬浮物、</w:t>
            </w:r>
            <w:r>
              <w:rPr>
                <w:rFonts w:hint="default" w:ascii="Times New Roman" w:hAnsi="Times New Roman" w:cs="Times New Roman"/>
                <w:color w:val="auto"/>
                <w:sz w:val="24"/>
                <w:highlight w:val="none"/>
              </w:rPr>
              <w:t>化学需氧量、悬浮物、五日生化需氧量</w:t>
            </w:r>
            <w:r>
              <w:rPr>
                <w:rFonts w:hint="eastAsia" w:ascii="Times New Roman" w:hAnsi="Times New Roman" w:cs="Times New Roman"/>
                <w:color w:val="auto"/>
                <w:sz w:val="24"/>
                <w:highlight w:val="none"/>
                <w:lang w:eastAsia="zh-CN"/>
              </w:rPr>
              <w:t>、氨氮、总磷</w:t>
            </w:r>
          </w:p>
        </w:tc>
        <w:tc>
          <w:tcPr>
            <w:tcW w:w="1541"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预处理池</w:t>
            </w:r>
          </w:p>
        </w:tc>
        <w:tc>
          <w:tcPr>
            <w:tcW w:w="2102"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污水综合排放标准》（GB8978-1996）中的三级排放标准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声环境</w:t>
            </w:r>
          </w:p>
        </w:tc>
        <w:tc>
          <w:tcPr>
            <w:tcW w:w="1755"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设备运行噪声</w:t>
            </w:r>
          </w:p>
        </w:tc>
        <w:tc>
          <w:tcPr>
            <w:tcW w:w="1624"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w:t>
            </w:r>
          </w:p>
        </w:tc>
        <w:tc>
          <w:tcPr>
            <w:tcW w:w="1541" w:type="dxa"/>
            <w:noWrap w:val="0"/>
            <w:vAlign w:val="center"/>
          </w:tcPr>
          <w:p>
            <w:pPr>
              <w:adjustRightInd w:val="0"/>
              <w:snapToGrid w:val="0"/>
              <w:spacing w:line="240" w:lineRule="auto"/>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选用低噪声设备、规范管理、</w:t>
            </w:r>
            <w:r>
              <w:rPr>
                <w:rFonts w:hint="default" w:ascii="Times New Roman" w:hAnsi="Times New Roman" w:cs="Times New Roman"/>
                <w:color w:val="auto"/>
                <w:sz w:val="24"/>
                <w:highlight w:val="none"/>
                <w:lang w:eastAsia="zh-CN"/>
              </w:rPr>
              <w:t>合理布局</w:t>
            </w:r>
          </w:p>
        </w:tc>
        <w:tc>
          <w:tcPr>
            <w:tcW w:w="2102"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《工业企业厂界环境噪声排放标准》（GB12348-2008）</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电磁辐射</w:t>
            </w:r>
          </w:p>
        </w:tc>
        <w:tc>
          <w:tcPr>
            <w:tcW w:w="1755"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624"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541"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2102"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固体废物</w:t>
            </w:r>
          </w:p>
        </w:tc>
        <w:tc>
          <w:tcPr>
            <w:tcW w:w="7022" w:type="dxa"/>
            <w:gridSpan w:val="4"/>
            <w:noWrap w:val="0"/>
            <w:vAlign w:val="center"/>
          </w:tcPr>
          <w:p>
            <w:pPr>
              <w:adjustRightInd w:val="0"/>
              <w:snapToGrid w:val="0"/>
              <w:spacing w:line="240" w:lineRule="auto"/>
              <w:jc w:val="left"/>
              <w:rPr>
                <w:rFonts w:hint="eastAsia" w:ascii="Times New Roman" w:hAnsi="Times New Roman" w:eastAsia="宋体"/>
                <w:bCs/>
                <w:color w:val="auto"/>
                <w:sz w:val="24"/>
                <w:szCs w:val="24"/>
                <w:highlight w:val="none"/>
                <w:shd w:val="clear" w:color="auto" w:fill="auto"/>
                <w:lang w:eastAsia="zh-CN"/>
              </w:rPr>
            </w:pPr>
            <w:r>
              <w:rPr>
                <w:rFonts w:hint="eastAsia" w:ascii="Times New Roman" w:hAnsi="Times New Roman" w:eastAsia="宋体"/>
                <w:bCs/>
                <w:color w:val="auto"/>
                <w:sz w:val="24"/>
                <w:szCs w:val="24"/>
                <w:highlight w:val="none"/>
                <w:shd w:val="clear" w:color="auto" w:fill="auto"/>
                <w:lang w:eastAsia="zh-CN"/>
              </w:rPr>
              <w:t>生活垃圾由环卫部门进行清运处理；锡渣定期外售综合利用；废包装材料定期外售综合利用；不合格品</w:t>
            </w:r>
            <w:r>
              <w:rPr>
                <w:rFonts w:hint="eastAsia" w:cs="Times New Roman"/>
                <w:color w:val="auto"/>
                <w:kern w:val="0"/>
                <w:sz w:val="24"/>
                <w:szCs w:val="24"/>
                <w:highlight w:val="none"/>
                <w:lang w:val="en-US" w:eastAsia="zh-CN"/>
              </w:rPr>
              <w:t>对其进行拆除，拆除的废铜线及绝缘线这部分外售综合利用，其它的碎骨架及废胶带这部分</w:t>
            </w:r>
            <w:r>
              <w:rPr>
                <w:rFonts w:hint="eastAsia" w:ascii="Times New Roman" w:hAnsi="Times New Roman" w:eastAsia="宋体"/>
                <w:bCs/>
                <w:color w:val="auto"/>
                <w:sz w:val="24"/>
                <w:szCs w:val="24"/>
                <w:highlight w:val="none"/>
                <w:shd w:val="clear" w:color="auto" w:fill="auto"/>
                <w:lang w:eastAsia="zh-CN"/>
              </w:rPr>
              <w:t>交由环卫部门处理</w:t>
            </w:r>
            <w:r>
              <w:rPr>
                <w:rFonts w:hint="eastAsia" w:ascii="Times New Roman" w:hAnsi="Times New Roman"/>
                <w:bCs/>
                <w:color w:val="auto"/>
                <w:sz w:val="24"/>
                <w:szCs w:val="24"/>
                <w:highlight w:val="none"/>
                <w:shd w:val="clear" w:color="auto" w:fill="auto"/>
                <w:lang w:eastAsia="zh-CN"/>
              </w:rPr>
              <w:t>；</w:t>
            </w:r>
            <w:r>
              <w:rPr>
                <w:rFonts w:hint="eastAsia" w:ascii="Times New Roman" w:hAnsi="Times New Roman" w:eastAsia="宋体"/>
                <w:bCs/>
                <w:color w:val="auto"/>
                <w:sz w:val="24"/>
                <w:szCs w:val="24"/>
                <w:highlight w:val="none"/>
                <w:shd w:val="clear" w:color="auto" w:fill="auto"/>
                <w:lang w:eastAsia="zh-CN"/>
              </w:rPr>
              <w:t>边角料定期外售综合利用</w:t>
            </w:r>
            <w:r>
              <w:rPr>
                <w:rFonts w:hint="eastAsia"/>
                <w:bCs/>
                <w:color w:val="auto"/>
                <w:sz w:val="24"/>
                <w:szCs w:val="24"/>
                <w:highlight w:val="none"/>
                <w:shd w:val="clear" w:color="auto" w:fill="auto"/>
                <w:lang w:eastAsia="zh-CN"/>
              </w:rPr>
              <w:t>。</w:t>
            </w:r>
          </w:p>
          <w:p>
            <w:pPr>
              <w:adjustRightInd w:val="0"/>
              <w:snapToGrid w:val="0"/>
              <w:spacing w:line="240" w:lineRule="auto"/>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bCs/>
                <w:color w:val="auto"/>
                <w:sz w:val="24"/>
                <w:szCs w:val="24"/>
                <w:highlight w:val="none"/>
                <w:shd w:val="clear" w:color="auto" w:fill="auto"/>
                <w:lang w:eastAsia="zh-CN"/>
              </w:rPr>
              <w:t>废机油、沾油抹布及手套、废机油桶、废包装桶、废活性炭、废过滤棉分类收集暂存危废暂存间，定期交由危废资质单位处置。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noWrap w:val="0"/>
            <w:vAlign w:val="center"/>
          </w:tcPr>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土壤及地下水</w:t>
            </w:r>
          </w:p>
          <w:p>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污染防治措施</w:t>
            </w:r>
          </w:p>
        </w:tc>
        <w:tc>
          <w:tcPr>
            <w:tcW w:w="7022" w:type="dxa"/>
            <w:gridSpan w:val="4"/>
            <w:noWrap w:val="0"/>
            <w:vAlign w:val="center"/>
          </w:tcPr>
          <w:p>
            <w:pPr>
              <w:adjustRightInd w:val="0"/>
              <w:snapToGrid w:val="0"/>
              <w:spacing w:line="240" w:lineRule="auto"/>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除重点防渗和简单防渗区域外剩余区</w:t>
            </w:r>
            <w:r>
              <w:rPr>
                <w:rFonts w:hint="default" w:ascii="Times New Roman" w:hAnsi="Times New Roman" w:cs="Times New Roman"/>
                <w:color w:val="auto"/>
                <w:sz w:val="24"/>
                <w:highlight w:val="none"/>
              </w:rPr>
              <w:t>域进行一般防渗；</w:t>
            </w:r>
          </w:p>
          <w:p>
            <w:pPr>
              <w:adjustRightInd w:val="0"/>
              <w:snapToGrid w:val="0"/>
              <w:spacing w:line="240" w:lineRule="auto"/>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2、对危废暂存间、</w:t>
            </w:r>
            <w:r>
              <w:rPr>
                <w:rFonts w:hint="eastAsia" w:cs="Times New Roman"/>
                <w:color w:val="auto"/>
                <w:sz w:val="24"/>
                <w:highlight w:val="none"/>
                <w:lang w:val="en-US" w:eastAsia="zh-CN"/>
              </w:rPr>
              <w:t>辅料库房</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浸漆烘干区</w:t>
            </w:r>
            <w:r>
              <w:rPr>
                <w:rFonts w:hint="default" w:ascii="Times New Roman" w:hAnsi="Times New Roman" w:cs="Times New Roman"/>
                <w:color w:val="auto"/>
                <w:sz w:val="24"/>
                <w:highlight w:val="none"/>
              </w:rPr>
              <w:t>进行重点防渗；</w:t>
            </w:r>
          </w:p>
          <w:p>
            <w:pPr>
              <w:adjustRightInd w:val="0"/>
              <w:snapToGrid w:val="0"/>
              <w:spacing w:line="240" w:lineRule="auto"/>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eastAsia" w:cs="Times New Roman"/>
                <w:color w:val="auto"/>
                <w:sz w:val="24"/>
                <w:highlight w:val="none"/>
                <w:lang w:val="en-US" w:eastAsia="zh-CN"/>
              </w:rPr>
              <w:t>二楼和三楼车间整体、一楼办公区均为</w:t>
            </w:r>
            <w:r>
              <w:rPr>
                <w:rFonts w:hint="default" w:ascii="Times New Roman" w:hAnsi="Times New Roman" w:cs="Times New Roman"/>
                <w:color w:val="auto"/>
                <w:sz w:val="24"/>
                <w:highlight w:val="none"/>
              </w:rPr>
              <w:t>简单防渗。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778" w:type="dxa"/>
            <w:noWrap w:val="0"/>
            <w:vAlign w:val="center"/>
          </w:tcPr>
          <w:p>
            <w:pPr>
              <w:adjustRightInd w:val="0"/>
              <w:snapToGrid w:val="0"/>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生态保护措施</w:t>
            </w:r>
          </w:p>
        </w:tc>
        <w:tc>
          <w:tcPr>
            <w:tcW w:w="7022" w:type="dxa"/>
            <w:gridSpan w:val="4"/>
            <w:noWrap w:val="0"/>
            <w:vAlign w:val="center"/>
          </w:tcPr>
          <w:p>
            <w:pPr>
              <w:adjustRightInd w:val="0"/>
              <w:snapToGrid w:val="0"/>
              <w:spacing w:line="360" w:lineRule="auto"/>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营运期不涉及生态破坏，水土流失等生态影响。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环境风险</w:t>
            </w:r>
          </w:p>
          <w:p>
            <w:pPr>
              <w:adjustRightInd w:val="0"/>
              <w:snapToGrid w:val="0"/>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防范措施</w:t>
            </w:r>
          </w:p>
        </w:tc>
        <w:tc>
          <w:tcPr>
            <w:tcW w:w="7022" w:type="dxa"/>
            <w:gridSpan w:val="4"/>
            <w:noWrap w:val="0"/>
            <w:vAlign w:val="center"/>
          </w:tcPr>
          <w:p>
            <w:pPr>
              <w:adjustRightInd w:val="0"/>
              <w:snapToGrid w:val="0"/>
              <w:spacing w:line="360" w:lineRule="auto"/>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严格执行国家的有关防火、防爆和安全卫生标准、规范，加强通风换气，避免粉尘接触明火或高热物质，配置足够的消防栓、灭火器，危废暂存间</w:t>
            </w:r>
            <w:r>
              <w:rPr>
                <w:rFonts w:hint="default" w:ascii="Times New Roman" w:hAnsi="Times New Roman" w:cs="Times New Roman"/>
                <w:color w:val="auto"/>
                <w:spacing w:val="-8"/>
                <w:sz w:val="24"/>
                <w:highlight w:val="none"/>
                <w:lang w:eastAsia="zh-CN"/>
              </w:rPr>
              <w:t>、仓库</w:t>
            </w:r>
            <w:r>
              <w:rPr>
                <w:rFonts w:hint="default" w:ascii="Times New Roman" w:hAnsi="Times New Roman" w:cs="Times New Roman"/>
                <w:color w:val="auto"/>
                <w:spacing w:val="-8"/>
                <w:sz w:val="24"/>
                <w:highlight w:val="none"/>
              </w:rPr>
              <w:t>按有关规范要求进行设计和建设地面应做好防渗防腐处理和围堰设置。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8" w:type="dxa"/>
            <w:noWrap w:val="0"/>
            <w:vAlign w:val="center"/>
          </w:tcPr>
          <w:p>
            <w:pPr>
              <w:adjustRightInd w:val="0"/>
              <w:snapToGrid w:val="0"/>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其他环境</w:t>
            </w:r>
          </w:p>
          <w:p>
            <w:pPr>
              <w:adjustRightInd w:val="0"/>
              <w:snapToGrid w:val="0"/>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管理要求</w:t>
            </w:r>
          </w:p>
        </w:tc>
        <w:tc>
          <w:tcPr>
            <w:tcW w:w="7022" w:type="dxa"/>
            <w:gridSpan w:val="4"/>
            <w:noWrap w:val="0"/>
            <w:vAlign w:val="center"/>
          </w:tcPr>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（1）结合工程工艺状况，制定并贯彻落实符合拟建项目特点的环保方针。遵守国家地方的有关法律、法规以及其它的有关规定。</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（2）根据制定的环保方针，确定本项目的环保工程目标和可量化的环保指标，使全体员工都参与到环保工作中。</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（3）宣传、贯彻国家及地方的环境保护方针、法规、政策，不断提高全体员工的环保意识和遵守环保法规的自觉性。</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（4）组织实施环境保护工作计划、年度污染治理计划、环境监测计划和环保工作计划。</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（5）环保设施的运行管理，保证其正常运行；掌握运行过程中存在的问题，及时提出解决办法和改进措施，监督检查环保设施的日常维护工作。</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（6）建立健全污染源档案工作、环保统计工作，建立本项目环保设施运行情况、污染物排放情况的逐月记录工作。</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（7）按照公司环保管理监测计划，配合环境监测站完成对本项目“三废”污染源监测或环境监测。</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（8）准备和接受环保部门对本项目的排污监理、环保监察、执法检查等工作，并协调处理工作中出现的问题。</w:t>
            </w:r>
          </w:p>
          <w:p>
            <w:pPr>
              <w:adjustRightInd w:val="0"/>
              <w:snapToGrid w:val="0"/>
              <w:spacing w:line="360" w:lineRule="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（9）开展环保管理评审工作，总结环保工作中的成绩和存在的问题，提出改进措施。</w:t>
            </w:r>
          </w:p>
        </w:tc>
      </w:tr>
    </w:tbl>
    <w:p>
      <w:pPr>
        <w:pStyle w:val="1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符合国家现行产业政策，选址符合当地规划要求，无环境制约因素，通过采取的废气、污水、噪声、固废、地下水等污染防治措施技术，加强管理等措施，能降低项目运行对环境的影响。只要认真落实本报告中提出的各项污染防治对策措施，严格执行“三同时”制度，保证环境保护措施的有效运行，确保污染物稳定达标排放，并严格按照环评要求进行环境风险防范，从环保角度而言，本项目的建设是可行的。</w:t>
            </w:r>
          </w:p>
        </w:tc>
      </w:tr>
    </w:tbl>
    <w:p>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adjustRightInd w:val="0"/>
        <w:snapToGrid w:val="0"/>
        <w:spacing w:before="0" w:beforeAutospacing="0" w:after="0" w:afterAutospacing="0" w:line="600" w:lineRule="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16"/>
        <w:adjustRightInd w:val="0"/>
        <w:snapToGrid w:val="0"/>
        <w:spacing w:before="0" w:beforeAutospacing="0" w:after="0" w:afterAutospacing="0" w:line="480" w:lineRule="auto"/>
        <w:jc w:val="center"/>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1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97"/>
        <w:gridCol w:w="1524"/>
        <w:gridCol w:w="1127"/>
        <w:gridCol w:w="1524"/>
        <w:gridCol w:w="1989"/>
        <w:gridCol w:w="1581"/>
        <w:gridCol w:w="1767"/>
        <w:gridCol w:w="13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98" w:type="pct"/>
            <w:tcBorders>
              <w:tl2br w:val="single" w:color="auto" w:sz="4" w:space="0"/>
            </w:tcBorders>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eastAsia" w:ascii="Times New Roman" w:hAnsi="Times New Roman" w:eastAsia="黑体" w:cs="Times New Roman"/>
                <w:snapToGrid w:val="0"/>
                <w:color w:val="auto"/>
                <w:spacing w:val="-6"/>
                <w:kern w:val="21"/>
                <w:szCs w:val="21"/>
                <w:highlight w:val="none"/>
                <w:lang w:val="en-US" w:eastAsia="zh-CN"/>
              </w:rPr>
              <w:t xml:space="preserve">    </w:t>
            </w:r>
            <w:r>
              <w:rPr>
                <w:rFonts w:hint="default" w:ascii="Times New Roman" w:hAnsi="Times New Roman" w:eastAsia="黑体" w:cs="Times New Roman"/>
                <w:snapToGrid w:val="0"/>
                <w:color w:val="auto"/>
                <w:spacing w:val="-6"/>
                <w:kern w:val="21"/>
                <w:szCs w:val="21"/>
                <w:highlight w:val="none"/>
              </w:rPr>
              <w:t>项目</w:t>
            </w:r>
          </w:p>
          <w:p>
            <w:pPr>
              <w:pStyle w:val="28"/>
              <w:spacing w:beforeLines="0" w:afterLines="0" w:line="240" w:lineRule="auto"/>
              <w:ind w:left="396" w:hanging="396"/>
              <w:jc w:val="both"/>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542" w:type="pct"/>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589" w:type="pct"/>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442" w:type="pct"/>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pPr>
              <w:pStyle w:val="28"/>
              <w:spacing w:beforeLines="0" w:afterLines="0"/>
              <w:ind w:left="420" w:hanging="42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589" w:type="pct"/>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540" w:type="pct"/>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610" w:type="pct"/>
            <w:noWrap w:val="0"/>
            <w:tcMar>
              <w:left w:w="28" w:type="dxa"/>
              <w:right w:w="28" w:type="dxa"/>
            </w:tcMar>
            <w:vAlign w:val="center"/>
          </w:tcPr>
          <w:p>
            <w:pPr>
              <w:pStyle w:val="28"/>
              <w:spacing w:beforeLines="0" w:afterLines="0" w:line="240" w:lineRule="auto"/>
              <w:ind w:left="356" w:hanging="356"/>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pPr>
              <w:pStyle w:val="28"/>
              <w:spacing w:beforeLines="0" w:afterLines="0" w:line="240" w:lineRule="auto"/>
              <w:ind w:left="356" w:hanging="356"/>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679" w:type="pct"/>
            <w:noWrap w:val="0"/>
            <w:tcMar>
              <w:left w:w="28" w:type="dxa"/>
              <w:right w:w="28" w:type="dxa"/>
            </w:tcMar>
            <w:vAlign w:val="center"/>
          </w:tcPr>
          <w:p>
            <w:pPr>
              <w:pStyle w:val="28"/>
              <w:spacing w:beforeLines="0" w:afterLines="0" w:line="240" w:lineRule="auto"/>
              <w:ind w:left="356" w:hanging="356"/>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pPr>
              <w:pStyle w:val="28"/>
              <w:spacing w:beforeLines="0" w:afterLines="0" w:line="240" w:lineRule="auto"/>
              <w:ind w:left="356" w:hanging="356"/>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506" w:type="pct"/>
            <w:noWrap w:val="0"/>
            <w:tcMar>
              <w:left w:w="28" w:type="dxa"/>
              <w:right w:w="28" w:type="dxa"/>
            </w:tcMar>
            <w:vAlign w:val="center"/>
          </w:tcPr>
          <w:p>
            <w:pPr>
              <w:pStyle w:val="28"/>
              <w:spacing w:beforeLines="0" w:afterLines="0" w:line="240" w:lineRule="auto"/>
              <w:ind w:left="396" w:hanging="396"/>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pPr>
              <w:pStyle w:val="28"/>
              <w:spacing w:beforeLines="0" w:afterLines="0" w:line="240" w:lineRule="auto"/>
              <w:ind w:left="420" w:hanging="42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restar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542" w:type="pct"/>
            <w:noWrap w:val="0"/>
            <w:vAlign w:val="center"/>
          </w:tcPr>
          <w:p>
            <w:pPr>
              <w:pStyle w:val="28"/>
              <w:spacing w:beforeLines="0" w:afterLines="0" w:line="240" w:lineRule="auto"/>
              <w:ind w:left="420" w:hanging="420"/>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eastAsia="zh-CN"/>
              </w:rPr>
              <w:t>颗粒物</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40" w:type="pct"/>
            <w:noWrap w:val="0"/>
            <w:vAlign w:val="center"/>
          </w:tcPr>
          <w:p>
            <w:pPr>
              <w:pStyle w:val="12"/>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0.2728×10</w:t>
            </w:r>
            <w:r>
              <w:rPr>
                <w:rFonts w:hint="eastAsia" w:ascii="Times New Roman" w:hAnsi="Times New Roman" w:cs="Times New Roman"/>
                <w:snapToGrid w:val="0"/>
                <w:color w:val="auto"/>
                <w:kern w:val="21"/>
                <w:sz w:val="21"/>
                <w:szCs w:val="21"/>
                <w:highlight w:val="none"/>
                <w:vertAlign w:val="superscript"/>
                <w:lang w:val="en-US" w:eastAsia="zh-CN" w:bidi="ar-SA"/>
              </w:rPr>
              <w:t>-3</w:t>
            </w:r>
            <w:r>
              <w:rPr>
                <w:rFonts w:hint="eastAsia" w:ascii="Times New Roman" w:hAnsi="Times New Roman" w:cs="Times New Roman"/>
                <w:snapToGrid w:val="0"/>
                <w:color w:val="auto"/>
                <w:kern w:val="21"/>
                <w:sz w:val="21"/>
                <w:szCs w:val="21"/>
                <w:highlight w:val="none"/>
                <w:lang w:val="en-US" w:eastAsia="zh-CN" w:bidi="ar-SA"/>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679" w:type="pct"/>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pStyle w:val="28"/>
              <w:spacing w:beforeLines="0" w:afterLines="0" w:line="240" w:lineRule="auto"/>
              <w:ind w:left="420" w:hanging="420"/>
              <w:jc w:val="both"/>
              <w:rPr>
                <w:rFonts w:hint="eastAsia" w:ascii="Times New Roman" w:hAnsi="Times New Roman" w:cs="Times New Roman"/>
                <w:snapToGrid w:val="0"/>
                <w:color w:val="auto"/>
                <w:kern w:val="21"/>
                <w:szCs w:val="21"/>
                <w:highlight w:val="none"/>
                <w:lang w:eastAsia="zh-CN"/>
              </w:rPr>
            </w:pPr>
            <w:r>
              <w:rPr>
                <w:rFonts w:hint="eastAsia" w:ascii="Times New Roman" w:hAnsi="Times New Roman" w:cs="Times New Roman"/>
                <w:snapToGrid w:val="0"/>
                <w:color w:val="auto"/>
                <w:kern w:val="21"/>
                <w:szCs w:val="21"/>
                <w:highlight w:val="none"/>
                <w:lang w:eastAsia="zh-CN"/>
              </w:rPr>
              <w:t>锡及其化合物</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40" w:type="pct"/>
            <w:noWrap w:val="0"/>
            <w:vAlign w:val="center"/>
          </w:tcPr>
          <w:p>
            <w:pPr>
              <w:pStyle w:val="12"/>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0.01959×10</w:t>
            </w:r>
            <w:r>
              <w:rPr>
                <w:rFonts w:hint="eastAsia" w:ascii="Times New Roman" w:hAnsi="Times New Roman" w:cs="Times New Roman"/>
                <w:snapToGrid w:val="0"/>
                <w:color w:val="auto"/>
                <w:kern w:val="21"/>
                <w:sz w:val="21"/>
                <w:szCs w:val="21"/>
                <w:highlight w:val="none"/>
                <w:vertAlign w:val="superscript"/>
                <w:lang w:val="en-US" w:eastAsia="zh-CN" w:bidi="ar-SA"/>
              </w:rPr>
              <w:t>-3</w:t>
            </w:r>
            <w:r>
              <w:rPr>
                <w:rFonts w:hint="eastAsia" w:ascii="Times New Roman" w:hAnsi="Times New Roman" w:cs="Times New Roman"/>
                <w:snapToGrid w:val="0"/>
                <w:color w:val="auto"/>
                <w:kern w:val="21"/>
                <w:sz w:val="21"/>
                <w:szCs w:val="21"/>
                <w:highlight w:val="none"/>
                <w:lang w:val="en-US" w:eastAsia="zh-CN" w:bidi="ar-SA"/>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679" w:type="pct"/>
            <w:noWrap w:val="0"/>
            <w:vAlign w:val="center"/>
          </w:tcPr>
          <w:p>
            <w:pPr>
              <w:spacing w:line="240" w:lineRule="auto"/>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1464" w:type="dxa"/>
            <w:noWrap w:val="0"/>
            <w:vAlign w:val="center"/>
          </w:tcPr>
          <w:p>
            <w:pPr>
              <w:pStyle w:val="28"/>
              <w:spacing w:beforeLines="0" w:afterLines="0" w:line="240" w:lineRule="auto"/>
              <w:ind w:left="420" w:leftChars="0" w:hanging="420" w:hangingChars="200"/>
              <w:rPr>
                <w:rFonts w:hint="eastAsia" w:ascii="Times New Roman" w:hAnsi="Times New Roman" w:eastAsia="宋体" w:cs="Times New Roman"/>
                <w:snapToGrid w:val="0"/>
                <w:color w:val="auto"/>
                <w:kern w:val="21"/>
                <w:szCs w:val="21"/>
                <w:highlight w:val="none"/>
                <w:lang w:eastAsia="zh-CN"/>
              </w:rPr>
            </w:pPr>
            <w:r>
              <w:rPr>
                <w:rFonts w:hint="eastAsia" w:ascii="Times New Roman" w:hAnsi="Times New Roman" w:cs="Times New Roman"/>
                <w:snapToGrid w:val="0"/>
                <w:color w:val="auto"/>
                <w:kern w:val="21"/>
                <w:szCs w:val="21"/>
                <w:highlight w:val="none"/>
                <w:lang w:eastAsia="zh-CN"/>
              </w:rPr>
              <w:t>二甲苯</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pStyle w:val="12"/>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0.05583t/a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1464" w:type="dxa"/>
            <w:noWrap w:val="0"/>
            <w:vAlign w:val="center"/>
          </w:tcPr>
          <w:p>
            <w:pPr>
              <w:pStyle w:val="28"/>
              <w:spacing w:beforeLines="0" w:afterLines="0" w:line="240" w:lineRule="auto"/>
              <w:ind w:left="420" w:leftChars="0" w:hanging="420" w:hangingChars="200"/>
              <w:rPr>
                <w:rFonts w:hint="eastAsia" w:ascii="Times New Roman" w:hAnsi="Times New Roman" w:eastAsia="宋体" w:cs="Times New Roman"/>
                <w:snapToGrid w:val="0"/>
                <w:color w:val="auto"/>
                <w:kern w:val="21"/>
                <w:szCs w:val="21"/>
                <w:highlight w:val="none"/>
                <w:lang w:eastAsia="zh-CN"/>
              </w:rPr>
            </w:pPr>
            <w:r>
              <w:rPr>
                <w:rFonts w:hint="eastAsia" w:ascii="Times New Roman" w:cs="Times New Roman"/>
                <w:snapToGrid w:val="0"/>
                <w:color w:val="auto"/>
                <w:kern w:val="21"/>
                <w:szCs w:val="21"/>
                <w:highlight w:val="none"/>
                <w:lang w:val="en-US" w:eastAsia="zh-CN"/>
              </w:rPr>
              <w:t>异丙醇</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pStyle w:val="12"/>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0.2257t/a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VOCs</w:t>
            </w:r>
          </w:p>
        </w:tc>
        <w:tc>
          <w:tcPr>
            <w:tcW w:w="589" w:type="pct"/>
            <w:noWrap w:val="0"/>
            <w:vAlign w:val="center"/>
          </w:tcPr>
          <w:p>
            <w:pPr>
              <w:spacing w:line="240" w:lineRule="auto"/>
              <w:jc w:val="center"/>
              <w:rPr>
                <w:rFonts w:hint="eastAsia" w:ascii="Times New Roman" w:hAnsi="Times New Roman" w:eastAsia="宋体"/>
                <w:snapToGrid w:val="0"/>
                <w:color w:val="auto"/>
                <w:kern w:val="21"/>
                <w:highlight w:val="none"/>
                <w:shd w:val="clear" w:color="auto" w:fill="auto"/>
              </w:rPr>
            </w:pPr>
          </w:p>
        </w:tc>
        <w:tc>
          <w:tcPr>
            <w:tcW w:w="442" w:type="pct"/>
            <w:noWrap w:val="0"/>
            <w:vAlign w:val="center"/>
          </w:tcPr>
          <w:p>
            <w:pPr>
              <w:spacing w:line="240" w:lineRule="auto"/>
              <w:jc w:val="center"/>
              <w:rPr>
                <w:rFonts w:hint="eastAsia" w:ascii="Times New Roman" w:hAnsi="Times New Roman" w:eastAsia="宋体"/>
                <w:snapToGrid w:val="0"/>
                <w:color w:val="auto"/>
                <w:kern w:val="21"/>
                <w:highlight w:val="none"/>
                <w:shd w:val="clear" w:color="auto" w:fill="auto"/>
              </w:rPr>
            </w:pPr>
          </w:p>
        </w:tc>
        <w:tc>
          <w:tcPr>
            <w:tcW w:w="589" w:type="pct"/>
            <w:noWrap w:val="0"/>
            <w:vAlign w:val="center"/>
          </w:tcPr>
          <w:p>
            <w:pPr>
              <w:spacing w:line="240" w:lineRule="auto"/>
              <w:jc w:val="center"/>
              <w:rPr>
                <w:rFonts w:hint="eastAsia" w:ascii="Times New Roman" w:hAnsi="Times New Roman" w:eastAsia="宋体"/>
                <w:snapToGrid w:val="0"/>
                <w:color w:val="auto"/>
                <w:kern w:val="21"/>
                <w:highlight w:val="none"/>
                <w:shd w:val="clear" w:color="auto" w:fill="auto"/>
              </w:rPr>
            </w:pPr>
          </w:p>
        </w:tc>
        <w:tc>
          <w:tcPr>
            <w:tcW w:w="540" w:type="pct"/>
            <w:noWrap w:val="0"/>
            <w:vAlign w:val="center"/>
          </w:tcPr>
          <w:p>
            <w:pPr>
              <w:pStyle w:val="12"/>
              <w:spacing w:line="240" w:lineRule="auto"/>
              <w:ind w:firstLine="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cs="Times New Roman"/>
                <w:snapToGrid w:val="0"/>
                <w:color w:val="auto"/>
                <w:kern w:val="21"/>
                <w:sz w:val="21"/>
                <w:szCs w:val="21"/>
                <w:highlight w:val="none"/>
                <w:lang w:val="en-US" w:eastAsia="zh-CN" w:bidi="ar-SA"/>
              </w:rPr>
              <w:t>0.5246t/a</w:t>
            </w:r>
          </w:p>
        </w:tc>
        <w:tc>
          <w:tcPr>
            <w:tcW w:w="610" w:type="pct"/>
            <w:noWrap w:val="0"/>
            <w:vAlign w:val="center"/>
          </w:tcPr>
          <w:p>
            <w:pPr>
              <w:spacing w:line="240" w:lineRule="auto"/>
              <w:jc w:val="center"/>
              <w:rPr>
                <w:rFonts w:hint="eastAsia" w:ascii="Times New Roman" w:hAnsi="Times New Roman" w:eastAsia="宋体"/>
                <w:snapToGrid w:val="0"/>
                <w:color w:val="auto"/>
                <w:kern w:val="21"/>
                <w:highlight w:val="none"/>
                <w:shd w:val="clear" w:color="auto" w:fill="auto"/>
              </w:rPr>
            </w:pPr>
          </w:p>
        </w:tc>
        <w:tc>
          <w:tcPr>
            <w:tcW w:w="679" w:type="pct"/>
            <w:noWrap w:val="0"/>
            <w:vAlign w:val="center"/>
          </w:tcPr>
          <w:p>
            <w:pPr>
              <w:spacing w:line="240" w:lineRule="auto"/>
              <w:ind w:firstLine="0" w:firstLineChars="0"/>
              <w:jc w:val="center"/>
              <w:rPr>
                <w:rFonts w:hint="eastAsia" w:ascii="Times New Roman" w:hAnsi="Times New Roman" w:eastAsia="宋体"/>
                <w:snapToGrid w:val="0"/>
                <w:color w:val="auto"/>
                <w:kern w:val="21"/>
                <w:highlight w:val="none"/>
                <w:shd w:val="clear" w:color="auto" w:fill="auto"/>
              </w:rPr>
            </w:pPr>
          </w:p>
        </w:tc>
        <w:tc>
          <w:tcPr>
            <w:tcW w:w="506" w:type="pct"/>
            <w:noWrap w:val="0"/>
            <w:vAlign w:val="center"/>
          </w:tcPr>
          <w:p>
            <w:pPr>
              <w:spacing w:line="240" w:lineRule="auto"/>
              <w:jc w:val="center"/>
              <w:rPr>
                <w:rFonts w:hint="eastAsia" w:ascii="Times New Roman" w:hAnsi="Times New Roman" w:eastAsia="宋体"/>
                <w:snapToGrid w:val="0"/>
                <w:color w:val="auto"/>
                <w:kern w:val="21"/>
                <w:highlight w:val="none"/>
                <w:shd w:val="clear" w:color="auto" w:fil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restar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542" w:type="pc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COD</w:t>
            </w:r>
          </w:p>
        </w:tc>
        <w:tc>
          <w:tcPr>
            <w:tcW w:w="589" w:type="pct"/>
            <w:noWrap w:val="0"/>
            <w:vAlign w:val="center"/>
          </w:tcPr>
          <w:p>
            <w:pPr>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w:t>
            </w:r>
            <w:r>
              <w:rPr>
                <w:rFonts w:hint="eastAsia" w:ascii="Times New Roman" w:hAnsi="Times New Roman" w:cs="Times New Roman"/>
                <w:color w:val="auto"/>
                <w:kern w:val="0"/>
                <w:sz w:val="21"/>
                <w:szCs w:val="21"/>
                <w:highlight w:val="none"/>
                <w:lang w:val="en-US" w:eastAsia="zh-CN"/>
              </w:rPr>
              <w:t>25</w:t>
            </w:r>
            <w:r>
              <w:rPr>
                <w:rFonts w:hint="default" w:ascii="Times New Roman" w:hAnsi="Times New Roman" w:cs="Times New Roman"/>
                <w:color w:val="auto"/>
                <w:kern w:val="0"/>
                <w:sz w:val="21"/>
                <w:szCs w:val="21"/>
                <w:highlight w:val="none"/>
              </w:rPr>
              <w:t>t/a</w:t>
            </w:r>
          </w:p>
        </w:tc>
        <w:tc>
          <w:tcPr>
            <w:tcW w:w="610" w:type="pct"/>
            <w:noWrap w:val="0"/>
            <w:vAlign w:val="center"/>
          </w:tcPr>
          <w:p>
            <w:pPr>
              <w:spacing w:line="360" w:lineRule="auto"/>
              <w:ind w:firstLine="480" w:firstLineChars="200"/>
              <w:rPr>
                <w:rFonts w:hint="default" w:ascii="Times New Roman" w:hAnsi="Times New Roman" w:cs="Times New Roman"/>
                <w:color w:val="auto"/>
                <w:sz w:val="24"/>
                <w:highlight w:val="none"/>
              </w:rPr>
            </w:pPr>
          </w:p>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氨氮</w:t>
            </w:r>
          </w:p>
        </w:tc>
        <w:tc>
          <w:tcPr>
            <w:tcW w:w="589" w:type="pct"/>
            <w:noWrap w:val="0"/>
            <w:vAlign w:val="center"/>
          </w:tcPr>
          <w:p>
            <w:pPr>
              <w:spacing w:line="240" w:lineRule="auto"/>
              <w:jc w:val="center"/>
              <w:rPr>
                <w:rFonts w:hint="default" w:ascii="Times New Roman" w:hAnsi="Times New Roman" w:cs="Times New Roman"/>
                <w:color w:val="auto"/>
                <w:kern w:val="2"/>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40" w:type="pct"/>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0.0</w:t>
            </w:r>
            <w:r>
              <w:rPr>
                <w:rFonts w:hint="eastAsia" w:cs="Times New Roman"/>
                <w:color w:val="auto"/>
                <w:kern w:val="0"/>
                <w:sz w:val="21"/>
                <w:szCs w:val="21"/>
                <w:highlight w:val="none"/>
                <w:lang w:val="en-US" w:eastAsia="zh-CN"/>
              </w:rPr>
              <w:t>11</w:t>
            </w:r>
            <w:r>
              <w:rPr>
                <w:rFonts w:hint="eastAsia" w:ascii="Times New Roman" w:hAnsi="Times New Roman" w:cs="Times New Roman"/>
                <w:color w:val="auto"/>
                <w:kern w:val="0"/>
                <w:sz w:val="21"/>
                <w:szCs w:val="21"/>
                <w:highlight w:val="none"/>
                <w:lang w:val="en-US" w:eastAsia="zh-CN"/>
              </w:rPr>
              <w:t>25</w:t>
            </w:r>
            <w:r>
              <w:rPr>
                <w:rFonts w:hint="default" w:ascii="Times New Roman" w:hAnsi="Times New Roman" w:cs="Times New Roman"/>
                <w:color w:val="auto"/>
                <w:kern w:val="0"/>
                <w:sz w:val="21"/>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679" w:type="pct"/>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总磷</w:t>
            </w:r>
          </w:p>
        </w:tc>
        <w:tc>
          <w:tcPr>
            <w:tcW w:w="589" w:type="pct"/>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0.00</w:t>
            </w:r>
            <w:r>
              <w:rPr>
                <w:rFonts w:hint="eastAsia"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restar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生活垃圾</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Cs/>
                <w:color w:val="auto"/>
                <w:kern w:val="0"/>
                <w:szCs w:val="21"/>
                <w:highlight w:val="none"/>
                <w:lang w:val="en-US" w:eastAsia="zh-CN"/>
              </w:rPr>
              <w:t>3.125</w:t>
            </w:r>
            <w:r>
              <w:rPr>
                <w:rFonts w:hint="default" w:ascii="Times New Roman" w:hAnsi="Times New Roman" w:cs="Times New Roman"/>
                <w:bCs/>
                <w:color w:val="auto"/>
                <w:kern w:val="0"/>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eastAsia="宋体" w:cs="Times New Roman"/>
                <w:bCs/>
                <w:color w:val="auto"/>
                <w:kern w:val="0"/>
                <w:szCs w:val="21"/>
                <w:highlight w:val="none"/>
                <w:lang w:eastAsia="zh-CN"/>
              </w:rPr>
            </w:pPr>
            <w:r>
              <w:rPr>
                <w:rFonts w:hint="eastAsia" w:ascii="Times New Roman" w:hAnsi="Times New Roman" w:cs="Times New Roman"/>
                <w:bCs/>
                <w:color w:val="auto"/>
                <w:kern w:val="0"/>
                <w:szCs w:val="21"/>
                <w:highlight w:val="none"/>
                <w:lang w:val="en-US" w:eastAsia="zh-CN"/>
              </w:rPr>
              <w:t>锡渣</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Cs/>
                <w:color w:val="auto"/>
                <w:kern w:val="0"/>
                <w:szCs w:val="21"/>
                <w:highlight w:val="none"/>
                <w:lang w:val="en-US" w:eastAsia="zh-CN"/>
              </w:rPr>
              <w:t>0.</w:t>
            </w:r>
            <w:r>
              <w:rPr>
                <w:rFonts w:hint="eastAsia" w:cs="Times New Roman"/>
                <w:bCs/>
                <w:color w:val="auto"/>
                <w:kern w:val="0"/>
                <w:szCs w:val="21"/>
                <w:highlight w:val="none"/>
                <w:lang w:val="en-US" w:eastAsia="zh-CN"/>
              </w:rPr>
              <w:t>157</w:t>
            </w:r>
            <w:r>
              <w:rPr>
                <w:rFonts w:hint="default" w:ascii="Times New Roman" w:hAnsi="Times New Roman" w:cs="Times New Roman"/>
                <w:bCs/>
                <w:color w:val="auto"/>
                <w:kern w:val="0"/>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lang w:val="en-US"/>
              </w:rPr>
            </w:pPr>
            <w:r>
              <w:rPr>
                <w:rFonts w:hint="default" w:ascii="Times New Roman" w:hAnsi="Times New Roman" w:cs="Times New Roman"/>
                <w:bCs/>
                <w:color w:val="auto"/>
                <w:kern w:val="0"/>
                <w:szCs w:val="21"/>
                <w:highlight w:val="none"/>
                <w:lang w:eastAsia="zh-CN"/>
              </w:rPr>
              <w:t>废</w:t>
            </w:r>
            <w:r>
              <w:rPr>
                <w:rFonts w:hint="eastAsia" w:ascii="Times New Roman" w:hAnsi="Times New Roman" w:cs="Times New Roman"/>
                <w:bCs/>
                <w:color w:val="auto"/>
                <w:kern w:val="0"/>
                <w:szCs w:val="21"/>
                <w:highlight w:val="none"/>
                <w:lang w:val="en-US" w:eastAsia="zh-CN"/>
              </w:rPr>
              <w:t>包装</w:t>
            </w:r>
            <w:r>
              <w:rPr>
                <w:rFonts w:hint="eastAsia" w:cs="Times New Roman"/>
                <w:bCs/>
                <w:color w:val="auto"/>
                <w:kern w:val="0"/>
                <w:szCs w:val="21"/>
                <w:highlight w:val="none"/>
                <w:lang w:val="en-US" w:eastAsia="zh-CN"/>
              </w:rPr>
              <w:t>材料</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Cs/>
                <w:color w:val="auto"/>
                <w:kern w:val="0"/>
                <w:szCs w:val="21"/>
                <w:highlight w:val="none"/>
                <w:lang w:val="en-US" w:eastAsia="zh-CN"/>
              </w:rPr>
              <w:t>0.</w:t>
            </w:r>
            <w:r>
              <w:rPr>
                <w:rFonts w:hint="eastAsia" w:cs="Times New Roman"/>
                <w:bCs/>
                <w:color w:val="auto"/>
                <w:kern w:val="0"/>
                <w:szCs w:val="21"/>
                <w:highlight w:val="none"/>
                <w:lang w:val="en-US" w:eastAsia="zh-CN"/>
              </w:rPr>
              <w:t>20</w:t>
            </w:r>
            <w:r>
              <w:rPr>
                <w:rFonts w:hint="default" w:ascii="Times New Roman" w:hAnsi="Times New Roman" w:cs="Times New Roman"/>
                <w:bCs/>
                <w:color w:val="auto"/>
                <w:kern w:val="0"/>
                <w:szCs w:val="21"/>
                <w:highlight w:val="none"/>
                <w:lang w:val="en-US" w:eastAsia="zh-CN"/>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lang w:val="en-US" w:eastAsia="zh-CN"/>
              </w:rPr>
            </w:pPr>
            <w:r>
              <w:rPr>
                <w:rFonts w:hint="eastAsia" w:cs="Times New Roman"/>
                <w:bCs/>
                <w:color w:val="auto"/>
                <w:kern w:val="0"/>
                <w:szCs w:val="21"/>
                <w:highlight w:val="none"/>
                <w:lang w:val="en-US" w:eastAsia="zh-CN"/>
              </w:rPr>
              <w:t>边角料</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bCs/>
                <w:color w:val="auto"/>
                <w:kern w:val="0"/>
                <w:szCs w:val="21"/>
                <w:highlight w:val="none"/>
                <w:lang w:val="en-US" w:eastAsia="zh-CN"/>
              </w:rPr>
              <w:t>0.</w:t>
            </w:r>
            <w:r>
              <w:rPr>
                <w:rFonts w:hint="eastAsia" w:cs="Times New Roman"/>
                <w:bCs/>
                <w:color w:val="auto"/>
                <w:kern w:val="0"/>
                <w:szCs w:val="21"/>
                <w:highlight w:val="none"/>
                <w:lang w:val="en-US" w:eastAsia="zh-CN"/>
              </w:rPr>
              <w:t>50</w:t>
            </w:r>
            <w:r>
              <w:rPr>
                <w:rFonts w:hint="default" w:ascii="Times New Roman" w:hAnsi="Times New Roman" w:cs="Times New Roman"/>
                <w:bCs/>
                <w:color w:val="auto"/>
                <w:kern w:val="0"/>
                <w:szCs w:val="21"/>
                <w:highlight w:val="none"/>
                <w:lang w:val="en-US" w:eastAsia="zh-CN"/>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不合格品</w:t>
            </w:r>
          </w:p>
        </w:tc>
        <w:tc>
          <w:tcPr>
            <w:tcW w:w="589" w:type="pct"/>
            <w:noWrap w:val="0"/>
            <w:vAlign w:val="center"/>
          </w:tcPr>
          <w:p>
            <w:pPr>
              <w:spacing w:line="240" w:lineRule="auto"/>
              <w:jc w:val="center"/>
              <w:rPr>
                <w:rFonts w:ascii="Times New Roman" w:hAnsi="Times New Roman" w:eastAsia="宋体"/>
                <w:snapToGrid w:val="0"/>
                <w:color w:val="auto"/>
                <w:kern w:val="21"/>
                <w:highlight w:val="none"/>
                <w:shd w:val="clear" w:color="auto" w:fill="auto"/>
              </w:rPr>
            </w:pPr>
            <w:r>
              <w:rPr>
                <w:rFonts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ascii="Times New Roman" w:hAnsi="Times New Roman" w:eastAsia="宋体"/>
                <w:snapToGrid w:val="0"/>
                <w:color w:val="auto"/>
                <w:kern w:val="21"/>
                <w:highlight w:val="none"/>
                <w:shd w:val="clear" w:color="auto" w:fill="auto"/>
              </w:rPr>
            </w:pPr>
            <w:r>
              <w:rPr>
                <w:rFonts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ascii="Times New Roman" w:hAnsi="Times New Roman" w:eastAsia="宋体"/>
                <w:snapToGrid w:val="0"/>
                <w:color w:val="auto"/>
                <w:kern w:val="21"/>
                <w:highlight w:val="none"/>
                <w:shd w:val="clear" w:color="auto" w:fill="auto"/>
              </w:rPr>
            </w:pPr>
            <w:r>
              <w:rPr>
                <w:rFonts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0.</w:t>
            </w:r>
            <w:r>
              <w:rPr>
                <w:rFonts w:hint="eastAsia" w:cs="Times New Roman"/>
                <w:bCs/>
                <w:color w:val="auto"/>
                <w:kern w:val="0"/>
                <w:szCs w:val="21"/>
                <w:highlight w:val="none"/>
                <w:lang w:val="en-US" w:eastAsia="zh-CN"/>
              </w:rPr>
              <w:t>20</w:t>
            </w:r>
            <w:r>
              <w:rPr>
                <w:rFonts w:hint="default" w:ascii="Times New Roman" w:hAnsi="Times New Roman" w:cs="Times New Roman"/>
                <w:bCs/>
                <w:color w:val="auto"/>
                <w:kern w:val="0"/>
                <w:szCs w:val="21"/>
                <w:highlight w:val="none"/>
                <w:lang w:val="en-US" w:eastAsia="zh-CN"/>
              </w:rPr>
              <w:t>t/a</w:t>
            </w:r>
          </w:p>
        </w:tc>
        <w:tc>
          <w:tcPr>
            <w:tcW w:w="610" w:type="pct"/>
            <w:noWrap w:val="0"/>
            <w:vAlign w:val="center"/>
          </w:tcPr>
          <w:p>
            <w:pPr>
              <w:spacing w:line="240" w:lineRule="auto"/>
              <w:jc w:val="center"/>
              <w:rPr>
                <w:rFonts w:ascii="Times New Roman" w:hAnsi="Times New Roman" w:eastAsia="宋体"/>
                <w:snapToGrid w:val="0"/>
                <w:color w:val="auto"/>
                <w:kern w:val="21"/>
                <w:highlight w:val="none"/>
                <w:shd w:val="clear" w:color="auto" w:fill="auto"/>
              </w:rPr>
            </w:pPr>
            <w:r>
              <w:rPr>
                <w:rFonts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eastAsia" w:ascii="Times New Roman" w:hAnsi="Times New Roman" w:eastAsia="宋体"/>
                <w:snapToGrid w:val="0"/>
                <w:color w:val="auto"/>
                <w:kern w:val="21"/>
                <w:highlight w:val="none"/>
                <w:shd w:val="clear" w:color="auto" w:fill="auto"/>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ascii="Times New Roman" w:hAnsi="Times New Roman" w:eastAsia="宋体"/>
                <w:snapToGrid w:val="0"/>
                <w:color w:val="auto"/>
                <w:kern w:val="21"/>
                <w:highlight w:val="none"/>
                <w:shd w:val="clear" w:color="auto" w:fill="auto"/>
              </w:rPr>
            </w:pPr>
            <w:r>
              <w:rPr>
                <w:rFonts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restart"/>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废机油</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bCs/>
                <w:color w:val="auto"/>
                <w:kern w:val="0"/>
                <w:szCs w:val="21"/>
                <w:highlight w:val="none"/>
                <w:lang w:val="en-US" w:eastAsia="zh-CN"/>
              </w:rPr>
              <w:t>0.0</w:t>
            </w:r>
            <w:r>
              <w:rPr>
                <w:rFonts w:hint="eastAsia" w:cs="Times New Roman"/>
                <w:bCs/>
                <w:color w:val="auto"/>
                <w:kern w:val="0"/>
                <w:szCs w:val="21"/>
                <w:highlight w:val="none"/>
                <w:lang w:val="en-US" w:eastAsia="zh-CN"/>
              </w:rPr>
              <w:t>8</w:t>
            </w:r>
            <w:r>
              <w:rPr>
                <w:rFonts w:hint="default" w:ascii="Times New Roman" w:hAnsi="Times New Roman" w:cs="Times New Roman"/>
                <w:bCs/>
                <w:color w:val="auto"/>
                <w:kern w:val="0"/>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沾油抹布及手套</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Cs/>
                <w:color w:val="auto"/>
                <w:kern w:val="0"/>
                <w:szCs w:val="21"/>
                <w:highlight w:val="none"/>
              </w:rPr>
              <w:t>0.0</w:t>
            </w:r>
            <w:r>
              <w:rPr>
                <w:rFonts w:hint="eastAsia"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废机油桶</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Cs/>
                <w:color w:val="auto"/>
                <w:kern w:val="0"/>
                <w:szCs w:val="21"/>
                <w:highlight w:val="none"/>
              </w:rPr>
              <w:t>0.0</w:t>
            </w:r>
            <w:r>
              <w:rPr>
                <w:rFonts w:hint="eastAsia"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废包装桶</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Cs/>
                <w:color w:val="auto"/>
                <w:kern w:val="0"/>
                <w:szCs w:val="21"/>
                <w:highlight w:val="none"/>
              </w:rPr>
              <w:t>0</w:t>
            </w:r>
            <w:r>
              <w:rPr>
                <w:rFonts w:hint="default" w:ascii="Times New Roman" w:hAnsi="Times New Roman" w:cs="Times New Roman"/>
                <w:bCs/>
                <w:color w:val="auto"/>
                <w:kern w:val="0"/>
                <w:szCs w:val="21"/>
                <w:highlight w:val="none"/>
                <w:lang w:val="en-US" w:eastAsia="zh-CN"/>
              </w:rPr>
              <w:t>.</w:t>
            </w:r>
            <w:r>
              <w:rPr>
                <w:rFonts w:hint="eastAsia" w:cs="Times New Roman"/>
                <w:bCs/>
                <w:color w:val="auto"/>
                <w:kern w:val="0"/>
                <w:szCs w:val="21"/>
                <w:highlight w:val="none"/>
                <w:lang w:val="en-US" w:eastAsia="zh-CN"/>
              </w:rPr>
              <w:t>10</w:t>
            </w:r>
            <w:r>
              <w:rPr>
                <w:rFonts w:hint="default" w:ascii="Times New Roman" w:hAnsi="Times New Roman" w:cs="Times New Roman"/>
                <w:bCs/>
                <w:color w:val="auto"/>
                <w:kern w:val="0"/>
                <w:szCs w:val="21"/>
                <w:highlight w:val="none"/>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lang w:val="en-US" w:eastAsia="zh-CN"/>
              </w:rPr>
              <w:t>废活性炭</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bCs/>
                <w:color w:val="auto"/>
                <w:kern w:val="0"/>
                <w:szCs w:val="21"/>
                <w:highlight w:val="none"/>
                <w:lang w:val="en-US" w:eastAsia="zh-CN"/>
              </w:rPr>
              <w:t>16.2804</w:t>
            </w:r>
            <w:r>
              <w:rPr>
                <w:rFonts w:hint="eastAsia" w:ascii="Times New Roman" w:hAnsi="Times New Roman" w:cs="Times New Roman"/>
                <w:bCs/>
                <w:color w:val="auto"/>
                <w:kern w:val="0"/>
                <w:szCs w:val="21"/>
                <w:highlight w:val="none"/>
                <w:lang w:val="en-US" w:eastAsia="zh-CN"/>
              </w:rPr>
              <w:t>t/a</w:t>
            </w:r>
          </w:p>
        </w:tc>
        <w:tc>
          <w:tcPr>
            <w:tcW w:w="610"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8" w:type="pct"/>
            <w:vMerge w:val="continue"/>
            <w:noWrap w:val="0"/>
            <w:vAlign w:val="center"/>
          </w:tcPr>
          <w:p>
            <w:pPr>
              <w:pStyle w:val="28"/>
              <w:spacing w:beforeLines="0" w:afterLines="0" w:line="240" w:lineRule="auto"/>
              <w:ind w:left="420" w:hanging="420"/>
              <w:rPr>
                <w:rFonts w:hint="default" w:ascii="Times New Roman" w:hAnsi="Times New Roman" w:cs="Times New Roman"/>
                <w:snapToGrid w:val="0"/>
                <w:color w:val="auto"/>
                <w:kern w:val="21"/>
                <w:szCs w:val="21"/>
                <w:highlight w:val="none"/>
              </w:rPr>
            </w:pPr>
          </w:p>
        </w:tc>
        <w:tc>
          <w:tcPr>
            <w:tcW w:w="542" w:type="pct"/>
            <w:noWrap w:val="0"/>
            <w:vAlign w:val="center"/>
          </w:tcPr>
          <w:p>
            <w:pPr>
              <w:tabs>
                <w:tab w:val="left" w:pos="195"/>
              </w:tabs>
              <w:jc w:val="center"/>
              <w:rPr>
                <w:rFonts w:hint="eastAsia"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废过滤棉</w:t>
            </w:r>
          </w:p>
        </w:tc>
        <w:tc>
          <w:tcPr>
            <w:tcW w:w="589" w:type="pct"/>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442" w:type="pct"/>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89" w:type="pct"/>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40" w:type="pct"/>
            <w:noWrap w:val="0"/>
            <w:vAlign w:val="center"/>
          </w:tcPr>
          <w:p>
            <w:pPr>
              <w:tabs>
                <w:tab w:val="left" w:pos="195"/>
              </w:tabs>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Cs/>
                <w:color w:val="auto"/>
                <w:kern w:val="0"/>
                <w:szCs w:val="21"/>
                <w:highlight w:val="none"/>
                <w:lang w:val="en-US" w:eastAsia="zh-CN"/>
              </w:rPr>
              <w:t>1.2</w:t>
            </w:r>
            <w:r>
              <w:rPr>
                <w:rFonts w:hint="eastAsia" w:ascii="Times New Roman" w:hAnsi="Times New Roman" w:cs="Times New Roman"/>
                <w:bCs/>
                <w:color w:val="auto"/>
                <w:kern w:val="0"/>
                <w:szCs w:val="21"/>
                <w:highlight w:val="none"/>
                <w:lang w:val="en-US" w:eastAsia="zh-CN"/>
              </w:rPr>
              <w:t>t/a</w:t>
            </w:r>
          </w:p>
        </w:tc>
        <w:tc>
          <w:tcPr>
            <w:tcW w:w="610" w:type="pct"/>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679" w:type="pct"/>
            <w:noWrap w:val="0"/>
            <w:vAlign w:val="center"/>
          </w:tcPr>
          <w:p>
            <w:pPr>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c>
          <w:tcPr>
            <w:tcW w:w="506" w:type="pct"/>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highlight w:val="none"/>
                <w:shd w:val="clear" w:color="auto" w:fill="auto"/>
              </w:rPr>
              <w:t>/</w:t>
            </w:r>
          </w:p>
        </w:tc>
      </w:tr>
    </w:tbl>
    <w:p>
      <w:pPr>
        <w:pStyle w:val="28"/>
        <w:spacing w:before="192" w:beforeLines="80" w:after="24"/>
        <w:ind w:left="420" w:hanging="420"/>
        <w:jc w:val="left"/>
        <w:outlineLvl w:val="0"/>
        <w:rPr>
          <w:rFonts w:hint="default" w:ascii="Times New Roman" w:hAnsi="Times New Roman" w:eastAsia="黑体"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color w:val="auto"/>
          <w:highlight w:val="none"/>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方正仿宋_GBK"/>
    <w:panose1 w:val="02010609060101010101"/>
    <w:charset w:val="86"/>
    <w:family w:val="auto"/>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altName w:val="方正黑体_GBK"/>
    <w:panose1 w:val="020B0503020204020204"/>
    <w:charset w:val="86"/>
    <w:family w:val="auto"/>
    <w:pitch w:val="default"/>
    <w:sig w:usb0="00000000" w:usb1="00000000" w:usb2="00000016" w:usb3="00000000" w:csb0="0004001F" w:csb1="00000000"/>
  </w:font>
  <w:font w:name="Cambria Math">
    <w:altName w:val="DejaVu Math TeX Gyre"/>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20</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wKV+Mg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MDApX4yAgAAYwQAAA4AAAAAAAAAAQAgAAAA&#10;NQEAAGRycy9lMm9Eb2MueG1sUEsFBgAAAAAGAAYAWQEAANkFAAAAAA==&#10;">
              <v:fill on="f" focussize="0,0"/>
              <v:stroke on="f" weight="0.5pt"/>
              <v:imagedata o:title=""/>
              <o:lock v:ext="edit" aspectratio="f"/>
              <v:textbox inset="0mm,0mm,0mm,0mm" style="mso-fit-shape-to-text:t;">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20</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61</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CaDKRMwIAAGMEAAAOAAAAAAAAAAEAIAAA&#10;ADUBAABkcnMvZTJvRG9jLnhtbFBLBQYAAAAABgAGAFkBAADaBQAAAAA=&#10;">
              <v:fill on="f" focussize="0,0"/>
              <v:stroke on="f" weight="0.5pt"/>
              <v:imagedata o:title=""/>
              <o:lock v:ext="edit" aspectratio="f"/>
              <v:textbox inset="0mm,0mm,0mm,0mm" style="mso-fit-shape-to-text:t;">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61</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F6A728"/>
    <w:multiLevelType w:val="singleLevel"/>
    <w:tmpl w:val="EEF6A728"/>
    <w:lvl w:ilvl="0" w:tentative="0">
      <w:start w:val="1"/>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NTg2ZTgxNjViMDBkZWRhNTdjODY4NTA5YzNhYTkifQ=="/>
  </w:docVars>
  <w:rsids>
    <w:rsidRoot w:val="44407EA8"/>
    <w:rsid w:val="00020789"/>
    <w:rsid w:val="0002117A"/>
    <w:rsid w:val="00172E78"/>
    <w:rsid w:val="004E4106"/>
    <w:rsid w:val="005E1494"/>
    <w:rsid w:val="00A840A3"/>
    <w:rsid w:val="00AD7338"/>
    <w:rsid w:val="00C55D0D"/>
    <w:rsid w:val="00D04F81"/>
    <w:rsid w:val="00E84244"/>
    <w:rsid w:val="010C3305"/>
    <w:rsid w:val="010D77AC"/>
    <w:rsid w:val="0119677B"/>
    <w:rsid w:val="0150121D"/>
    <w:rsid w:val="0183453D"/>
    <w:rsid w:val="01A8117E"/>
    <w:rsid w:val="021A6C4F"/>
    <w:rsid w:val="02DD6E97"/>
    <w:rsid w:val="02EB05EB"/>
    <w:rsid w:val="035E3634"/>
    <w:rsid w:val="0368505E"/>
    <w:rsid w:val="03E272F9"/>
    <w:rsid w:val="03F1578E"/>
    <w:rsid w:val="03FB03BA"/>
    <w:rsid w:val="040C2FA4"/>
    <w:rsid w:val="041D42E4"/>
    <w:rsid w:val="043B4C5B"/>
    <w:rsid w:val="04850444"/>
    <w:rsid w:val="04912ACD"/>
    <w:rsid w:val="04DA2016"/>
    <w:rsid w:val="04F05A45"/>
    <w:rsid w:val="05370B8F"/>
    <w:rsid w:val="053A27F7"/>
    <w:rsid w:val="05AC4062"/>
    <w:rsid w:val="05CA1674"/>
    <w:rsid w:val="065E4C2E"/>
    <w:rsid w:val="070000D4"/>
    <w:rsid w:val="077948BA"/>
    <w:rsid w:val="07C408F5"/>
    <w:rsid w:val="07E6312F"/>
    <w:rsid w:val="08163A15"/>
    <w:rsid w:val="08296CA4"/>
    <w:rsid w:val="088F37C7"/>
    <w:rsid w:val="08B12A10"/>
    <w:rsid w:val="091D0DD3"/>
    <w:rsid w:val="094E5251"/>
    <w:rsid w:val="096133B5"/>
    <w:rsid w:val="097E7C74"/>
    <w:rsid w:val="0A1A3FBC"/>
    <w:rsid w:val="0A40121D"/>
    <w:rsid w:val="0A424F95"/>
    <w:rsid w:val="0A453286"/>
    <w:rsid w:val="0A6842D0"/>
    <w:rsid w:val="0AB63C64"/>
    <w:rsid w:val="0B023928"/>
    <w:rsid w:val="0B0C4302"/>
    <w:rsid w:val="0B187B0D"/>
    <w:rsid w:val="0B4043E5"/>
    <w:rsid w:val="0B7A00EB"/>
    <w:rsid w:val="0B9C2483"/>
    <w:rsid w:val="0BCB0FBA"/>
    <w:rsid w:val="0BCC3352"/>
    <w:rsid w:val="0C004584"/>
    <w:rsid w:val="0C2F6EBE"/>
    <w:rsid w:val="0C3636FB"/>
    <w:rsid w:val="0CC94EBC"/>
    <w:rsid w:val="0D3F756A"/>
    <w:rsid w:val="0D5F19BA"/>
    <w:rsid w:val="0D647B4A"/>
    <w:rsid w:val="0D957AD2"/>
    <w:rsid w:val="0DBA6674"/>
    <w:rsid w:val="0DDA3736"/>
    <w:rsid w:val="0DE61A42"/>
    <w:rsid w:val="0DEB4D82"/>
    <w:rsid w:val="0DF20A80"/>
    <w:rsid w:val="0E574D87"/>
    <w:rsid w:val="0F3C07E6"/>
    <w:rsid w:val="0FA77648"/>
    <w:rsid w:val="0FB35FED"/>
    <w:rsid w:val="0FC14BAE"/>
    <w:rsid w:val="0FD416B1"/>
    <w:rsid w:val="0FF56606"/>
    <w:rsid w:val="1021389E"/>
    <w:rsid w:val="10347621"/>
    <w:rsid w:val="105E2D2F"/>
    <w:rsid w:val="107A449D"/>
    <w:rsid w:val="10BE2E9B"/>
    <w:rsid w:val="10E01064"/>
    <w:rsid w:val="10EA5A3E"/>
    <w:rsid w:val="115455AE"/>
    <w:rsid w:val="115B145F"/>
    <w:rsid w:val="118A0FD0"/>
    <w:rsid w:val="11C24C0D"/>
    <w:rsid w:val="11C608AF"/>
    <w:rsid w:val="12BC165D"/>
    <w:rsid w:val="12ED1816"/>
    <w:rsid w:val="132C67E2"/>
    <w:rsid w:val="13A740BB"/>
    <w:rsid w:val="13EE2874"/>
    <w:rsid w:val="140F626D"/>
    <w:rsid w:val="141554C8"/>
    <w:rsid w:val="142179C9"/>
    <w:rsid w:val="14401B9A"/>
    <w:rsid w:val="14537D9F"/>
    <w:rsid w:val="14904B4F"/>
    <w:rsid w:val="149F4D92"/>
    <w:rsid w:val="14D03633"/>
    <w:rsid w:val="157224A6"/>
    <w:rsid w:val="1581385E"/>
    <w:rsid w:val="15852F26"/>
    <w:rsid w:val="16007AB2"/>
    <w:rsid w:val="16145818"/>
    <w:rsid w:val="161672D6"/>
    <w:rsid w:val="161D1CE9"/>
    <w:rsid w:val="161F43DC"/>
    <w:rsid w:val="16C26EE7"/>
    <w:rsid w:val="16CD208A"/>
    <w:rsid w:val="16F75359"/>
    <w:rsid w:val="1723614E"/>
    <w:rsid w:val="174B1B73"/>
    <w:rsid w:val="1767603B"/>
    <w:rsid w:val="17A76437"/>
    <w:rsid w:val="18351C95"/>
    <w:rsid w:val="18463EA2"/>
    <w:rsid w:val="185F6D12"/>
    <w:rsid w:val="187A7CA8"/>
    <w:rsid w:val="190903DF"/>
    <w:rsid w:val="192F0DDA"/>
    <w:rsid w:val="19406B43"/>
    <w:rsid w:val="194C1E51"/>
    <w:rsid w:val="195A634B"/>
    <w:rsid w:val="19E51499"/>
    <w:rsid w:val="1A404921"/>
    <w:rsid w:val="1A413A7B"/>
    <w:rsid w:val="1A8A3DEE"/>
    <w:rsid w:val="1AB35150"/>
    <w:rsid w:val="1AC217DA"/>
    <w:rsid w:val="1ACA2A9C"/>
    <w:rsid w:val="1B38002E"/>
    <w:rsid w:val="1B4A10A4"/>
    <w:rsid w:val="1B6A60FA"/>
    <w:rsid w:val="1C185B56"/>
    <w:rsid w:val="1C625409"/>
    <w:rsid w:val="1CB25FAA"/>
    <w:rsid w:val="1D0D1198"/>
    <w:rsid w:val="1D3A5FA0"/>
    <w:rsid w:val="1D8F2F77"/>
    <w:rsid w:val="1D90796E"/>
    <w:rsid w:val="1DB01DBE"/>
    <w:rsid w:val="1DF75C3F"/>
    <w:rsid w:val="1E2C2D12"/>
    <w:rsid w:val="1E430E84"/>
    <w:rsid w:val="1E652BA8"/>
    <w:rsid w:val="1E9E0543"/>
    <w:rsid w:val="1EC57AEB"/>
    <w:rsid w:val="1EDA5AE4"/>
    <w:rsid w:val="1EEB7551"/>
    <w:rsid w:val="1F2C36C6"/>
    <w:rsid w:val="1F3618E7"/>
    <w:rsid w:val="1F811C64"/>
    <w:rsid w:val="1FB7272B"/>
    <w:rsid w:val="1FDE0E64"/>
    <w:rsid w:val="1FE12702"/>
    <w:rsid w:val="20341CDC"/>
    <w:rsid w:val="20404FC1"/>
    <w:rsid w:val="20407429"/>
    <w:rsid w:val="206967F2"/>
    <w:rsid w:val="206C021E"/>
    <w:rsid w:val="20BF655A"/>
    <w:rsid w:val="21052421"/>
    <w:rsid w:val="21494A03"/>
    <w:rsid w:val="22084D63"/>
    <w:rsid w:val="22177CC3"/>
    <w:rsid w:val="221F7512"/>
    <w:rsid w:val="23051594"/>
    <w:rsid w:val="23627FFE"/>
    <w:rsid w:val="23757D31"/>
    <w:rsid w:val="23815D4C"/>
    <w:rsid w:val="2389485B"/>
    <w:rsid w:val="23B24AE2"/>
    <w:rsid w:val="23D700A4"/>
    <w:rsid w:val="245C67FB"/>
    <w:rsid w:val="24970E04"/>
    <w:rsid w:val="24FA4EB0"/>
    <w:rsid w:val="251A293E"/>
    <w:rsid w:val="25480F3B"/>
    <w:rsid w:val="26046D67"/>
    <w:rsid w:val="260E0022"/>
    <w:rsid w:val="262477ED"/>
    <w:rsid w:val="26DD33E6"/>
    <w:rsid w:val="26F40F6D"/>
    <w:rsid w:val="26F83852"/>
    <w:rsid w:val="27196C26"/>
    <w:rsid w:val="273B3040"/>
    <w:rsid w:val="277800FD"/>
    <w:rsid w:val="27CB3713"/>
    <w:rsid w:val="280478D6"/>
    <w:rsid w:val="28321D4D"/>
    <w:rsid w:val="285F4B0C"/>
    <w:rsid w:val="28771E56"/>
    <w:rsid w:val="28773C04"/>
    <w:rsid w:val="29827E50"/>
    <w:rsid w:val="29B64C00"/>
    <w:rsid w:val="29DF6D2B"/>
    <w:rsid w:val="29E74DB9"/>
    <w:rsid w:val="2A07545B"/>
    <w:rsid w:val="2A97233B"/>
    <w:rsid w:val="2AA44B2B"/>
    <w:rsid w:val="2AB729DE"/>
    <w:rsid w:val="2AC944BF"/>
    <w:rsid w:val="2B10378B"/>
    <w:rsid w:val="2B85488A"/>
    <w:rsid w:val="2B98280F"/>
    <w:rsid w:val="2BBB2606"/>
    <w:rsid w:val="2C005DCA"/>
    <w:rsid w:val="2C406B1A"/>
    <w:rsid w:val="2C477D91"/>
    <w:rsid w:val="2C7F570C"/>
    <w:rsid w:val="2C9166EC"/>
    <w:rsid w:val="2CA43435"/>
    <w:rsid w:val="2CF47F19"/>
    <w:rsid w:val="2D485B6F"/>
    <w:rsid w:val="2D605B59"/>
    <w:rsid w:val="2D88240F"/>
    <w:rsid w:val="2D9A5504"/>
    <w:rsid w:val="2E4B1DBB"/>
    <w:rsid w:val="2E5D23FE"/>
    <w:rsid w:val="2E734E6D"/>
    <w:rsid w:val="2EB37960"/>
    <w:rsid w:val="2EE45D6B"/>
    <w:rsid w:val="2F0142BB"/>
    <w:rsid w:val="2F0D617F"/>
    <w:rsid w:val="2F4231B5"/>
    <w:rsid w:val="30136048"/>
    <w:rsid w:val="30281C88"/>
    <w:rsid w:val="3040408F"/>
    <w:rsid w:val="308F473C"/>
    <w:rsid w:val="30D47E17"/>
    <w:rsid w:val="314825E1"/>
    <w:rsid w:val="317165EF"/>
    <w:rsid w:val="319B1582"/>
    <w:rsid w:val="31D21297"/>
    <w:rsid w:val="31E63BA8"/>
    <w:rsid w:val="321E3342"/>
    <w:rsid w:val="3276707E"/>
    <w:rsid w:val="32AA2E28"/>
    <w:rsid w:val="32CC0FF0"/>
    <w:rsid w:val="32F26CA9"/>
    <w:rsid w:val="332826CA"/>
    <w:rsid w:val="3364565D"/>
    <w:rsid w:val="33AE06F6"/>
    <w:rsid w:val="34507E2B"/>
    <w:rsid w:val="34583ED8"/>
    <w:rsid w:val="34B64942"/>
    <w:rsid w:val="35123632"/>
    <w:rsid w:val="3513391B"/>
    <w:rsid w:val="355C2AFF"/>
    <w:rsid w:val="355E1BAA"/>
    <w:rsid w:val="357726B5"/>
    <w:rsid w:val="3579479B"/>
    <w:rsid w:val="358156C4"/>
    <w:rsid w:val="36266C69"/>
    <w:rsid w:val="364E31D7"/>
    <w:rsid w:val="369242A1"/>
    <w:rsid w:val="369462C9"/>
    <w:rsid w:val="36C456AD"/>
    <w:rsid w:val="36F04CBD"/>
    <w:rsid w:val="36F079A3"/>
    <w:rsid w:val="372F07D3"/>
    <w:rsid w:val="37CB4872"/>
    <w:rsid w:val="38637D01"/>
    <w:rsid w:val="38766094"/>
    <w:rsid w:val="38887767"/>
    <w:rsid w:val="389471A0"/>
    <w:rsid w:val="39013DC6"/>
    <w:rsid w:val="392751D2"/>
    <w:rsid w:val="392A6C14"/>
    <w:rsid w:val="3A284A62"/>
    <w:rsid w:val="3A4D14B3"/>
    <w:rsid w:val="3A9643BE"/>
    <w:rsid w:val="3AA7481D"/>
    <w:rsid w:val="3B2F65C0"/>
    <w:rsid w:val="3B5F50F7"/>
    <w:rsid w:val="3B72794D"/>
    <w:rsid w:val="3BA725FA"/>
    <w:rsid w:val="3BB54D17"/>
    <w:rsid w:val="3C1C6B44"/>
    <w:rsid w:val="3C3976F6"/>
    <w:rsid w:val="3C4A1903"/>
    <w:rsid w:val="3C601127"/>
    <w:rsid w:val="3C6149A9"/>
    <w:rsid w:val="3C683CBF"/>
    <w:rsid w:val="3DE713D4"/>
    <w:rsid w:val="3E341045"/>
    <w:rsid w:val="3E483849"/>
    <w:rsid w:val="3E752DDF"/>
    <w:rsid w:val="3E990920"/>
    <w:rsid w:val="3EA352FB"/>
    <w:rsid w:val="3ED951C1"/>
    <w:rsid w:val="3F0C10F2"/>
    <w:rsid w:val="3F2006FA"/>
    <w:rsid w:val="3F222EE5"/>
    <w:rsid w:val="3F373C34"/>
    <w:rsid w:val="3F8769CB"/>
    <w:rsid w:val="3FA516C0"/>
    <w:rsid w:val="3FF1653A"/>
    <w:rsid w:val="40291830"/>
    <w:rsid w:val="40D0614F"/>
    <w:rsid w:val="41475C6A"/>
    <w:rsid w:val="41850CE8"/>
    <w:rsid w:val="41E53D50"/>
    <w:rsid w:val="42562684"/>
    <w:rsid w:val="42E67653"/>
    <w:rsid w:val="43723352"/>
    <w:rsid w:val="439E42E3"/>
    <w:rsid w:val="43BC2ACA"/>
    <w:rsid w:val="43DF61E6"/>
    <w:rsid w:val="44407EA8"/>
    <w:rsid w:val="445968E0"/>
    <w:rsid w:val="44697081"/>
    <w:rsid w:val="45084C8C"/>
    <w:rsid w:val="453170D2"/>
    <w:rsid w:val="453E3447"/>
    <w:rsid w:val="456946EE"/>
    <w:rsid w:val="45C53E19"/>
    <w:rsid w:val="463D6035"/>
    <w:rsid w:val="46477507"/>
    <w:rsid w:val="464C1D11"/>
    <w:rsid w:val="46712183"/>
    <w:rsid w:val="46745ABF"/>
    <w:rsid w:val="467523B1"/>
    <w:rsid w:val="468F574E"/>
    <w:rsid w:val="46AC31BB"/>
    <w:rsid w:val="4755115C"/>
    <w:rsid w:val="477D2815"/>
    <w:rsid w:val="485214F9"/>
    <w:rsid w:val="48537D92"/>
    <w:rsid w:val="48662E5F"/>
    <w:rsid w:val="487922F3"/>
    <w:rsid w:val="48C52AC1"/>
    <w:rsid w:val="490270C2"/>
    <w:rsid w:val="493354CD"/>
    <w:rsid w:val="494F67AB"/>
    <w:rsid w:val="496E5106"/>
    <w:rsid w:val="49AE2DA6"/>
    <w:rsid w:val="49B22896"/>
    <w:rsid w:val="49E76718"/>
    <w:rsid w:val="4A0A26D2"/>
    <w:rsid w:val="4A574BD0"/>
    <w:rsid w:val="4AC76127"/>
    <w:rsid w:val="4AE25026"/>
    <w:rsid w:val="4BC34C93"/>
    <w:rsid w:val="4BF16188"/>
    <w:rsid w:val="4C020AA3"/>
    <w:rsid w:val="4C270A49"/>
    <w:rsid w:val="4C2B497B"/>
    <w:rsid w:val="4C514633"/>
    <w:rsid w:val="4CC254E6"/>
    <w:rsid w:val="4CD36CD8"/>
    <w:rsid w:val="4CDE3246"/>
    <w:rsid w:val="4D1558A9"/>
    <w:rsid w:val="4D405E7B"/>
    <w:rsid w:val="4D7B124F"/>
    <w:rsid w:val="4D7F33D7"/>
    <w:rsid w:val="4D9608DB"/>
    <w:rsid w:val="4DA62712"/>
    <w:rsid w:val="4DB0533F"/>
    <w:rsid w:val="4DE04E20"/>
    <w:rsid w:val="4DF83ABF"/>
    <w:rsid w:val="4E525304"/>
    <w:rsid w:val="4EA66F64"/>
    <w:rsid w:val="4ECF5003"/>
    <w:rsid w:val="4F0F15B8"/>
    <w:rsid w:val="4FA86E02"/>
    <w:rsid w:val="4FD1609F"/>
    <w:rsid w:val="501D79A8"/>
    <w:rsid w:val="50223919"/>
    <w:rsid w:val="506D7517"/>
    <w:rsid w:val="50974594"/>
    <w:rsid w:val="51581E40"/>
    <w:rsid w:val="517843C5"/>
    <w:rsid w:val="51BF0246"/>
    <w:rsid w:val="523921D2"/>
    <w:rsid w:val="52434EB9"/>
    <w:rsid w:val="52462715"/>
    <w:rsid w:val="52846D9A"/>
    <w:rsid w:val="52A116FA"/>
    <w:rsid w:val="52D24131"/>
    <w:rsid w:val="52DF6735"/>
    <w:rsid w:val="530103EA"/>
    <w:rsid w:val="53174FF2"/>
    <w:rsid w:val="53213CEC"/>
    <w:rsid w:val="53654E1D"/>
    <w:rsid w:val="539D34C5"/>
    <w:rsid w:val="53E2646E"/>
    <w:rsid w:val="548D63DA"/>
    <w:rsid w:val="549C661D"/>
    <w:rsid w:val="54F71AA5"/>
    <w:rsid w:val="550C37A2"/>
    <w:rsid w:val="557E3F74"/>
    <w:rsid w:val="55CE0A58"/>
    <w:rsid w:val="55E1718B"/>
    <w:rsid w:val="55EC5382"/>
    <w:rsid w:val="56004989"/>
    <w:rsid w:val="560816A7"/>
    <w:rsid w:val="561B1367"/>
    <w:rsid w:val="56743197"/>
    <w:rsid w:val="569D50FF"/>
    <w:rsid w:val="56A17838"/>
    <w:rsid w:val="56A33C92"/>
    <w:rsid w:val="56B23ED5"/>
    <w:rsid w:val="57565A67"/>
    <w:rsid w:val="577943F2"/>
    <w:rsid w:val="57825F9E"/>
    <w:rsid w:val="57947A7F"/>
    <w:rsid w:val="57DD1426"/>
    <w:rsid w:val="57E427B4"/>
    <w:rsid w:val="581F1A3E"/>
    <w:rsid w:val="58E94E5E"/>
    <w:rsid w:val="594B40EE"/>
    <w:rsid w:val="5967369D"/>
    <w:rsid w:val="5978399B"/>
    <w:rsid w:val="59B85CA7"/>
    <w:rsid w:val="5A0311FA"/>
    <w:rsid w:val="5A0C5257"/>
    <w:rsid w:val="5A2F2076"/>
    <w:rsid w:val="5A6F0209"/>
    <w:rsid w:val="5A7C23FE"/>
    <w:rsid w:val="5AC73CC7"/>
    <w:rsid w:val="5AF01470"/>
    <w:rsid w:val="5B417F1E"/>
    <w:rsid w:val="5B61735E"/>
    <w:rsid w:val="5B863B83"/>
    <w:rsid w:val="5BF22FC6"/>
    <w:rsid w:val="5BFA528F"/>
    <w:rsid w:val="5C3E76ED"/>
    <w:rsid w:val="5C7659A5"/>
    <w:rsid w:val="5C7F2AAC"/>
    <w:rsid w:val="5C8E0F41"/>
    <w:rsid w:val="5CC130C4"/>
    <w:rsid w:val="5CE4729D"/>
    <w:rsid w:val="5CFC13F8"/>
    <w:rsid w:val="5CFD7E74"/>
    <w:rsid w:val="5D013F78"/>
    <w:rsid w:val="5D0B07E3"/>
    <w:rsid w:val="5D2A6942"/>
    <w:rsid w:val="5D5A47A8"/>
    <w:rsid w:val="5D5D0727"/>
    <w:rsid w:val="5D681792"/>
    <w:rsid w:val="5D6B1282"/>
    <w:rsid w:val="5DAB2583"/>
    <w:rsid w:val="5DB77D99"/>
    <w:rsid w:val="5E0D2339"/>
    <w:rsid w:val="5E2D1827"/>
    <w:rsid w:val="5E7A5C21"/>
    <w:rsid w:val="5E9F5687"/>
    <w:rsid w:val="5EF37B31"/>
    <w:rsid w:val="5F145A97"/>
    <w:rsid w:val="5F6E5059"/>
    <w:rsid w:val="5FB25842"/>
    <w:rsid w:val="5FCC24AC"/>
    <w:rsid w:val="5FD21144"/>
    <w:rsid w:val="601E082E"/>
    <w:rsid w:val="60253C66"/>
    <w:rsid w:val="602F2231"/>
    <w:rsid w:val="60402552"/>
    <w:rsid w:val="60964868"/>
    <w:rsid w:val="60B41A34"/>
    <w:rsid w:val="60E47381"/>
    <w:rsid w:val="61023CAB"/>
    <w:rsid w:val="61730705"/>
    <w:rsid w:val="619F774C"/>
    <w:rsid w:val="61D03DA9"/>
    <w:rsid w:val="62145A44"/>
    <w:rsid w:val="627B5EA3"/>
    <w:rsid w:val="629E5C56"/>
    <w:rsid w:val="62ED08B8"/>
    <w:rsid w:val="63155F18"/>
    <w:rsid w:val="632E6FDA"/>
    <w:rsid w:val="63414027"/>
    <w:rsid w:val="635148C1"/>
    <w:rsid w:val="637A5D7B"/>
    <w:rsid w:val="63911317"/>
    <w:rsid w:val="63AA3E84"/>
    <w:rsid w:val="63EB6861"/>
    <w:rsid w:val="64044275"/>
    <w:rsid w:val="641C5084"/>
    <w:rsid w:val="641E6E0A"/>
    <w:rsid w:val="64321541"/>
    <w:rsid w:val="644E148D"/>
    <w:rsid w:val="645512FD"/>
    <w:rsid w:val="64632CB3"/>
    <w:rsid w:val="64A77044"/>
    <w:rsid w:val="651B43DF"/>
    <w:rsid w:val="652B3002"/>
    <w:rsid w:val="65402FF4"/>
    <w:rsid w:val="657D5E17"/>
    <w:rsid w:val="660E03DC"/>
    <w:rsid w:val="66620910"/>
    <w:rsid w:val="66636F9A"/>
    <w:rsid w:val="669B2BD8"/>
    <w:rsid w:val="66BB126F"/>
    <w:rsid w:val="66E55C01"/>
    <w:rsid w:val="67080B97"/>
    <w:rsid w:val="67414DAC"/>
    <w:rsid w:val="67550FD9"/>
    <w:rsid w:val="677F6856"/>
    <w:rsid w:val="67EB5499"/>
    <w:rsid w:val="682B1D3A"/>
    <w:rsid w:val="683F3A37"/>
    <w:rsid w:val="684C43B6"/>
    <w:rsid w:val="688E1B8B"/>
    <w:rsid w:val="68A51AEC"/>
    <w:rsid w:val="693410C2"/>
    <w:rsid w:val="69450BD9"/>
    <w:rsid w:val="69595CE7"/>
    <w:rsid w:val="698C2CAC"/>
    <w:rsid w:val="69C75A92"/>
    <w:rsid w:val="6A1707C7"/>
    <w:rsid w:val="6A296884"/>
    <w:rsid w:val="6A466E90"/>
    <w:rsid w:val="6A80490F"/>
    <w:rsid w:val="6AAB7162"/>
    <w:rsid w:val="6B016D82"/>
    <w:rsid w:val="6B3711DF"/>
    <w:rsid w:val="6B6F37A5"/>
    <w:rsid w:val="6B760381"/>
    <w:rsid w:val="6B9B2D32"/>
    <w:rsid w:val="6BB83FA7"/>
    <w:rsid w:val="6BE13212"/>
    <w:rsid w:val="6BE506A2"/>
    <w:rsid w:val="6C133210"/>
    <w:rsid w:val="6C2429A7"/>
    <w:rsid w:val="6C6E48EB"/>
    <w:rsid w:val="6C77379F"/>
    <w:rsid w:val="6C953C26"/>
    <w:rsid w:val="6CE801F9"/>
    <w:rsid w:val="6D016014"/>
    <w:rsid w:val="6D527D69"/>
    <w:rsid w:val="6DC522E8"/>
    <w:rsid w:val="6DCE1E10"/>
    <w:rsid w:val="6DDB20C3"/>
    <w:rsid w:val="6E184B0E"/>
    <w:rsid w:val="6E3B25AB"/>
    <w:rsid w:val="6E646681"/>
    <w:rsid w:val="6E7206C2"/>
    <w:rsid w:val="6E9640E8"/>
    <w:rsid w:val="6E9F6FDD"/>
    <w:rsid w:val="6EE40E94"/>
    <w:rsid w:val="6F2E07B9"/>
    <w:rsid w:val="6F5229B1"/>
    <w:rsid w:val="6FA06B69"/>
    <w:rsid w:val="6FEE1FCA"/>
    <w:rsid w:val="7047792D"/>
    <w:rsid w:val="7056191E"/>
    <w:rsid w:val="70C049EF"/>
    <w:rsid w:val="70EE7DA8"/>
    <w:rsid w:val="710F044A"/>
    <w:rsid w:val="712C1BB8"/>
    <w:rsid w:val="713C6E68"/>
    <w:rsid w:val="71461992"/>
    <w:rsid w:val="71C254BD"/>
    <w:rsid w:val="71E03B95"/>
    <w:rsid w:val="71F55FE7"/>
    <w:rsid w:val="72391E84"/>
    <w:rsid w:val="72516841"/>
    <w:rsid w:val="725A443B"/>
    <w:rsid w:val="727A3768"/>
    <w:rsid w:val="72964253"/>
    <w:rsid w:val="72CC236B"/>
    <w:rsid w:val="72EA68E6"/>
    <w:rsid w:val="72FA4FE0"/>
    <w:rsid w:val="735C549D"/>
    <w:rsid w:val="7363682B"/>
    <w:rsid w:val="738506E5"/>
    <w:rsid w:val="73B078B9"/>
    <w:rsid w:val="73B43CB4"/>
    <w:rsid w:val="73B83F07"/>
    <w:rsid w:val="749173C8"/>
    <w:rsid w:val="74E20F01"/>
    <w:rsid w:val="74E5099C"/>
    <w:rsid w:val="74FD05BA"/>
    <w:rsid w:val="75B0387E"/>
    <w:rsid w:val="75B85BED"/>
    <w:rsid w:val="75F66D26"/>
    <w:rsid w:val="768E6BA8"/>
    <w:rsid w:val="76C770D1"/>
    <w:rsid w:val="77343AE1"/>
    <w:rsid w:val="77951E3D"/>
    <w:rsid w:val="78686692"/>
    <w:rsid w:val="786C6182"/>
    <w:rsid w:val="78715547"/>
    <w:rsid w:val="78820F49"/>
    <w:rsid w:val="78D855C6"/>
    <w:rsid w:val="78E81581"/>
    <w:rsid w:val="78FD327E"/>
    <w:rsid w:val="79B50AEB"/>
    <w:rsid w:val="79B8543F"/>
    <w:rsid w:val="79E27A58"/>
    <w:rsid w:val="79FD2E0A"/>
    <w:rsid w:val="7A102B3D"/>
    <w:rsid w:val="7A163396"/>
    <w:rsid w:val="7A684727"/>
    <w:rsid w:val="7A6B2707"/>
    <w:rsid w:val="7A811C8D"/>
    <w:rsid w:val="7B2C7E4B"/>
    <w:rsid w:val="7B2F16E9"/>
    <w:rsid w:val="7B7B048A"/>
    <w:rsid w:val="7BCF6C70"/>
    <w:rsid w:val="7BD9615B"/>
    <w:rsid w:val="7C0D22DA"/>
    <w:rsid w:val="7C223F19"/>
    <w:rsid w:val="7C596A1E"/>
    <w:rsid w:val="7C756054"/>
    <w:rsid w:val="7D284642"/>
    <w:rsid w:val="7D567401"/>
    <w:rsid w:val="7D627F79"/>
    <w:rsid w:val="7D7505CF"/>
    <w:rsid w:val="7E576F8D"/>
    <w:rsid w:val="7E696C8C"/>
    <w:rsid w:val="7F2344A4"/>
    <w:rsid w:val="7F2C67E1"/>
    <w:rsid w:val="7F313C82"/>
    <w:rsid w:val="7F3FB150"/>
    <w:rsid w:val="7F5C11A2"/>
    <w:rsid w:val="7FA97CBC"/>
    <w:rsid w:val="7FD66045"/>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spacing w:line="360" w:lineRule="auto"/>
      <w:ind w:firstLine="560" w:firstLineChars="200"/>
      <w:outlineLvl w:val="1"/>
    </w:pPr>
    <w:rPr>
      <w:rFonts w:ascii="仿宋_GB2312" w:eastAsia="仿宋_GB2312"/>
      <w:sz w:val="28"/>
    </w:rPr>
  </w:style>
  <w:style w:type="paragraph" w:styleId="4">
    <w:name w:val="heading 4"/>
    <w:basedOn w:val="1"/>
    <w:next w:val="1"/>
    <w:qFormat/>
    <w:uiPriority w:val="0"/>
    <w:pPr>
      <w:keepNext/>
      <w:keepLines/>
      <w:adjustRightInd w:val="0"/>
      <w:spacing w:before="280" w:after="290" w:line="376" w:lineRule="atLeast"/>
      <w:jc w:val="left"/>
      <w:textAlignment w:val="baseline"/>
      <w:outlineLvl w:val="3"/>
    </w:pPr>
    <w:rPr>
      <w:rFonts w:ascii="Arial" w:hAnsi="Arial" w:eastAsia="黑体"/>
      <w:b/>
      <w:kern w:val="0"/>
      <w:sz w:val="28"/>
      <w:szCs w:val="20"/>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toa heading"/>
    <w:basedOn w:val="1"/>
    <w:next w:val="1"/>
    <w:unhideWhenUsed/>
    <w:qFormat/>
    <w:uiPriority w:val="99"/>
    <w:pPr>
      <w:spacing w:before="120" w:line="360" w:lineRule="auto"/>
    </w:pPr>
    <w:rPr>
      <w:rFonts w:ascii="Arial" w:hAnsi="Arial" w:cs="Arial"/>
      <w:kern w:val="0"/>
      <w:sz w:val="24"/>
      <w:szCs w:val="20"/>
    </w:rPr>
  </w:style>
  <w:style w:type="paragraph" w:styleId="7">
    <w:name w:val="annotation text"/>
    <w:basedOn w:val="1"/>
    <w:qFormat/>
    <w:uiPriority w:val="0"/>
    <w:pPr>
      <w:jc w:val="left"/>
    </w:pPr>
    <w:rPr>
      <w:kern w:val="0"/>
      <w:sz w:val="24"/>
      <w:szCs w:val="20"/>
    </w:r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Body Text Indent"/>
    <w:basedOn w:val="1"/>
    <w:next w:val="1"/>
    <w:qFormat/>
    <w:uiPriority w:val="0"/>
    <w:pPr>
      <w:spacing w:after="120"/>
      <w:ind w:left="420" w:leftChars="200"/>
    </w:pPr>
    <w:rPr>
      <w:kern w:val="0"/>
      <w:sz w:val="24"/>
      <w:szCs w:val="20"/>
    </w:rPr>
  </w:style>
  <w:style w:type="paragraph" w:styleId="10">
    <w:name w:val="Block Text"/>
    <w:basedOn w:val="1"/>
    <w:qFormat/>
    <w:uiPriority w:val="0"/>
    <w:pPr>
      <w:adjustRightInd w:val="0"/>
      <w:snapToGrid w:val="0"/>
      <w:spacing w:line="440" w:lineRule="exact"/>
      <w:ind w:left="140" w:right="118" w:firstLine="560"/>
    </w:pPr>
    <w:rPr>
      <w:rFonts w:ascii="宋体"/>
      <w:color w:val="0000FF"/>
      <w:sz w:val="27"/>
      <w:szCs w:val="27"/>
    </w:rPr>
  </w:style>
  <w:style w:type="paragraph" w:styleId="11">
    <w:name w:val="Plain Text"/>
    <w:basedOn w:val="1"/>
    <w:qFormat/>
    <w:uiPriority w:val="0"/>
    <w:rPr>
      <w:rFonts w:ascii="宋体" w:hAnsi="Courier New"/>
      <w:sz w:val="28"/>
      <w:szCs w:val="21"/>
    </w:rPr>
  </w:style>
  <w:style w:type="paragraph" w:styleId="12">
    <w:name w:val="Body Text Indent 2"/>
    <w:basedOn w:val="1"/>
    <w:qFormat/>
    <w:uiPriority w:val="0"/>
    <w:pPr>
      <w:tabs>
        <w:tab w:val="left" w:pos="3300"/>
      </w:tabs>
      <w:spacing w:line="360" w:lineRule="auto"/>
      <w:ind w:firstLine="480" w:firstLineChars="200"/>
    </w:pPr>
    <w:rPr>
      <w:rFonts w:ascii="宋体" w:hAnsi="宋体"/>
      <w:sz w:val="24"/>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List"/>
    <w:basedOn w:val="1"/>
    <w:qFormat/>
    <w:uiPriority w:val="0"/>
    <w:pPr>
      <w:ind w:left="200" w:hanging="200" w:hangingChars="200"/>
    </w:pPr>
    <w:rPr>
      <w:szCs w:val="20"/>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qFormat/>
    <w:uiPriority w:val="0"/>
    <w:pPr>
      <w:spacing w:before="240" w:after="60"/>
      <w:jc w:val="center"/>
      <w:outlineLvl w:val="0"/>
    </w:pPr>
    <w:rPr>
      <w:rFonts w:ascii="Cambria" w:hAnsi="Cambria"/>
      <w:b/>
      <w:bCs/>
      <w:sz w:val="32"/>
      <w:szCs w:val="32"/>
    </w:rPr>
  </w:style>
  <w:style w:type="paragraph" w:styleId="18">
    <w:name w:val="Body Text First Indent"/>
    <w:basedOn w:val="8"/>
    <w:next w:val="1"/>
    <w:qFormat/>
    <w:uiPriority w:val="0"/>
    <w:pPr>
      <w:widowControl w:val="0"/>
      <w:snapToGrid/>
      <w:spacing w:before="0" w:after="120" w:line="240" w:lineRule="auto"/>
      <w:ind w:right="0" w:firstLine="420" w:firstLineChars="100"/>
    </w:pPr>
    <w:rPr>
      <w:kern w:val="2"/>
      <w:sz w:val="21"/>
    </w:rPr>
  </w:style>
  <w:style w:type="table" w:styleId="20">
    <w:name w:val="Table Grid"/>
    <w:basedOn w:val="19"/>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character" w:styleId="23">
    <w:name w:val="Hyperlink"/>
    <w:basedOn w:val="21"/>
    <w:qFormat/>
    <w:uiPriority w:val="0"/>
    <w:rPr>
      <w:color w:val="0000FF"/>
      <w:u w:val="single"/>
    </w:rPr>
  </w:style>
  <w:style w:type="character" w:styleId="24">
    <w:name w:val="annotation reference"/>
    <w:qFormat/>
    <w:uiPriority w:val="0"/>
    <w:rPr>
      <w:sz w:val="21"/>
    </w:rPr>
  </w:style>
  <w:style w:type="paragraph" w:customStyle="1" w:styleId="25">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1表格标题"/>
    <w:qFormat/>
    <w:uiPriority w:val="0"/>
    <w:pPr>
      <w:adjustRightInd w:val="0"/>
      <w:snapToGrid w:val="0"/>
      <w:spacing w:before="50" w:beforeLines="50"/>
      <w:jc w:val="center"/>
    </w:pPr>
    <w:rPr>
      <w:rFonts w:ascii="Times New Roman" w:hAnsi="Times New Roman" w:eastAsia="仿宋" w:cs="Times New Roman"/>
      <w:b/>
      <w:bCs/>
      <w:snapToGrid w:val="0"/>
      <w:sz w:val="21"/>
      <w:szCs w:val="21"/>
      <w:lang w:val="en-US" w:eastAsia="zh-CN" w:bidi="ar-SA"/>
    </w:rPr>
  </w:style>
  <w:style w:type="paragraph" w:customStyle="1" w:styleId="27">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28">
    <w:name w:val="表格"/>
    <w:basedOn w:val="15"/>
    <w:next w:val="1"/>
    <w:qFormat/>
    <w:uiPriority w:val="0"/>
    <w:pPr>
      <w:adjustRightInd w:val="0"/>
      <w:snapToGrid w:val="0"/>
      <w:spacing w:beforeLines="10" w:afterLines="10" w:line="259" w:lineRule="auto"/>
      <w:jc w:val="center"/>
    </w:pPr>
    <w:rPr>
      <w:rFonts w:ascii="宋体"/>
      <w:kern w:val="0"/>
    </w:rPr>
  </w:style>
  <w:style w:type="paragraph" w:customStyle="1" w:styleId="29">
    <w:name w:val="正文-欣欣"/>
    <w:basedOn w:val="1"/>
    <w:qFormat/>
    <w:uiPriority w:val="0"/>
    <w:pPr>
      <w:widowControl w:val="0"/>
      <w:spacing w:after="0" w:line="360" w:lineRule="auto"/>
      <w:ind w:firstLine="200" w:firstLineChars="200"/>
    </w:pPr>
    <w:rPr>
      <w:rFonts w:ascii="Times New Roman" w:hAnsi="Times New Roman" w:eastAsia="宋体"/>
      <w:kern w:val="2"/>
      <w:sz w:val="24"/>
      <w:szCs w:val="30"/>
    </w:rPr>
  </w:style>
  <w:style w:type="paragraph" w:customStyle="1" w:styleId="30">
    <w:name w:val="样式1-正文"/>
    <w:basedOn w:val="1"/>
    <w:qFormat/>
    <w:uiPriority w:val="0"/>
    <w:pPr>
      <w:spacing w:line="360" w:lineRule="auto"/>
      <w:ind w:firstLine="200" w:firstLineChars="200"/>
    </w:pPr>
    <w:rPr>
      <w:rFonts w:ascii="Times New Roman" w:hAnsi="Times New Roman" w:eastAsia="宋体"/>
      <w:kern w:val="0"/>
      <w:sz w:val="24"/>
    </w:rPr>
  </w:style>
  <w:style w:type="paragraph" w:customStyle="1" w:styleId="31">
    <w:name w:val="样式9"/>
    <w:basedOn w:val="1"/>
    <w:qFormat/>
    <w:uiPriority w:val="0"/>
    <w:pPr>
      <w:adjustRightInd w:val="0"/>
      <w:snapToGrid w:val="0"/>
      <w:spacing w:line="360" w:lineRule="exact"/>
      <w:jc w:val="center"/>
    </w:pPr>
    <w:rPr>
      <w:rFonts w:hAnsi="宋体"/>
      <w:kern w:val="0"/>
      <w:szCs w:val="21"/>
    </w:rPr>
  </w:style>
  <w:style w:type="paragraph" w:customStyle="1" w:styleId="3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3">
    <w:name w:val="表格文字2"/>
    <w:basedOn w:val="1"/>
    <w:qFormat/>
    <w:uiPriority w:val="0"/>
    <w:pPr>
      <w:adjustRightInd w:val="0"/>
      <w:spacing w:before="60"/>
      <w:jc w:val="center"/>
      <w:textAlignment w:val="baseline"/>
    </w:pPr>
    <w:rPr>
      <w:rFonts w:ascii="宋体"/>
      <w:kern w:val="0"/>
      <w:sz w:val="24"/>
      <w:szCs w:val="20"/>
    </w:rPr>
  </w:style>
  <w:style w:type="paragraph" w:customStyle="1" w:styleId="34">
    <w:name w:val="Default"/>
    <w:basedOn w:val="35"/>
    <w:next w:val="36"/>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5">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6">
    <w:name w:val="样式35"/>
    <w:basedOn w:val="1"/>
    <w:next w:val="1"/>
    <w:qFormat/>
    <w:uiPriority w:val="0"/>
    <w:pPr>
      <w:spacing w:line="312" w:lineRule="auto"/>
      <w:ind w:firstLine="567"/>
    </w:pPr>
    <w:rPr>
      <w:rFonts w:ascii="宋体"/>
      <w:sz w:val="28"/>
    </w:rPr>
  </w:style>
  <w:style w:type="paragraph" w:customStyle="1" w:styleId="37">
    <w:name w:val="真·正文"/>
    <w:basedOn w:val="32"/>
    <w:next w:val="38"/>
    <w:qFormat/>
    <w:uiPriority w:val="0"/>
    <w:pPr>
      <w:widowControl w:val="0"/>
      <w:spacing w:after="0" w:line="360" w:lineRule="auto"/>
      <w:ind w:firstLine="200" w:firstLineChars="200"/>
      <w:jc w:val="both"/>
    </w:pPr>
    <w:rPr>
      <w:kern w:val="2"/>
      <w:szCs w:val="21"/>
    </w:rPr>
  </w:style>
  <w:style w:type="paragraph" w:customStyle="1" w:styleId="38">
    <w:name w:val="1表格"/>
    <w:basedOn w:val="1"/>
    <w:next w:val="8"/>
    <w:qFormat/>
    <w:uiPriority w:val="0"/>
    <w:pPr>
      <w:snapToGrid w:val="0"/>
      <w:spacing w:line="160" w:lineRule="atLeast"/>
      <w:jc w:val="center"/>
    </w:pPr>
    <w:rPr>
      <w:rFonts w:eastAsia="仿宋_GB2312"/>
      <w:sz w:val="21"/>
      <w:szCs w:val="20"/>
    </w:rPr>
  </w:style>
  <w:style w:type="paragraph" w:customStyle="1" w:styleId="39">
    <w:name w:val="真·表头"/>
    <w:basedOn w:val="1"/>
    <w:qFormat/>
    <w:uiPriority w:val="0"/>
    <w:pPr>
      <w:adjustRightInd w:val="0"/>
      <w:snapToGrid w:val="0"/>
      <w:spacing w:beforeLines="50" w:line="360" w:lineRule="auto"/>
      <w:jc w:val="center"/>
    </w:pPr>
    <w:rPr>
      <w:rFonts w:ascii="Times New Roman" w:hAnsi="Times New Roman" w:eastAsia="黑体"/>
      <w:sz w:val="24"/>
      <w:szCs w:val="30"/>
    </w:rPr>
  </w:style>
  <w:style w:type="paragraph" w:customStyle="1" w:styleId="40">
    <w:name w:val="无间隔3"/>
    <w:qFormat/>
    <w:uiPriority w:val="1"/>
    <w:pPr>
      <w:adjustRightInd w:val="0"/>
      <w:snapToGrid w:val="0"/>
      <w:jc w:val="center"/>
    </w:pPr>
    <w:rPr>
      <w:rFonts w:ascii="Times New Roman" w:hAnsi="Times New Roman" w:eastAsia="宋体" w:cs="Times New Roman"/>
      <w:sz w:val="21"/>
      <w:szCs w:val="22"/>
      <w:lang w:val="en-US" w:eastAsia="zh-CN" w:bidi="ar-SA"/>
    </w:rPr>
  </w:style>
  <w:style w:type="paragraph" w:customStyle="1" w:styleId="41">
    <w:name w:val="表格内容"/>
    <w:basedOn w:val="1"/>
    <w:next w:val="1"/>
    <w:qFormat/>
    <w:uiPriority w:val="0"/>
    <w:pPr>
      <w:spacing w:line="280" w:lineRule="exact"/>
      <w:jc w:val="center"/>
    </w:pPr>
    <w:rPr>
      <w:rFonts w:ascii="宋体" w:hAnsi="宋体"/>
      <w:snapToGrid w:val="0"/>
      <w:sz w:val="18"/>
      <w:szCs w:val="20"/>
    </w:rPr>
  </w:style>
  <w:style w:type="paragraph" w:customStyle="1" w:styleId="42">
    <w:name w:val="我的样式"/>
    <w:basedOn w:val="1"/>
    <w:qFormat/>
    <w:uiPriority w:val="0"/>
    <w:pPr>
      <w:adjustRightInd w:val="0"/>
      <w:snapToGrid w:val="0"/>
      <w:spacing w:line="360" w:lineRule="auto"/>
      <w:ind w:firstLine="200" w:firstLineChars="200"/>
      <w:jc w:val="left"/>
    </w:pPr>
    <w:rPr>
      <w:rFonts w:ascii="宋体" w:hAnsi="宋体"/>
      <w:snapToGrid w:val="0"/>
      <w:kern w:val="0"/>
      <w:sz w:val="28"/>
      <w:szCs w:val="20"/>
    </w:rPr>
  </w:style>
  <w:style w:type="paragraph" w:customStyle="1" w:styleId="43">
    <w:name w:val="正文00"/>
    <w:qFormat/>
    <w:uiPriority w:val="0"/>
    <w:pPr>
      <w:overflowPunct w:val="0"/>
      <w:topLinePunct/>
      <w:adjustRightInd w:val="0"/>
      <w:snapToGri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44">
    <w:name w:val="环评表头"/>
    <w:basedOn w:val="45"/>
    <w:qFormat/>
    <w:uiPriority w:val="0"/>
    <w:rPr>
      <w:rFonts w:hAnsi="黑体"/>
      <w:b/>
      <w:kern w:val="0"/>
      <w:sz w:val="24"/>
      <w:szCs w:val="20"/>
    </w:rPr>
  </w:style>
  <w:style w:type="paragraph" w:customStyle="1" w:styleId="45">
    <w:name w:val="【正文】"/>
    <w:basedOn w:val="1"/>
    <w:qFormat/>
    <w:uiPriority w:val="0"/>
    <w:pPr>
      <w:spacing w:line="440" w:lineRule="exact"/>
      <w:ind w:firstLine="544" w:firstLineChars="200"/>
    </w:pPr>
    <w:rPr>
      <w:sz w:val="24"/>
      <w:szCs w:val="20"/>
    </w:rPr>
  </w:style>
  <w:style w:type="paragraph" w:customStyle="1" w:styleId="46">
    <w:name w:val="报告"/>
    <w:basedOn w:val="1"/>
    <w:next w:val="1"/>
    <w:qFormat/>
    <w:uiPriority w:val="0"/>
    <w:pPr>
      <w:adjustRightInd w:val="0"/>
      <w:spacing w:line="360" w:lineRule="auto"/>
      <w:ind w:firstLine="505"/>
      <w:jc w:val="left"/>
      <w:textAlignment w:val="baseline"/>
    </w:pPr>
  </w:style>
  <w:style w:type="paragraph" w:customStyle="1" w:styleId="47">
    <w:name w:val="样式6"/>
    <w:basedOn w:val="11"/>
    <w:qFormat/>
    <w:uiPriority w:val="0"/>
    <w:pPr>
      <w:tabs>
        <w:tab w:val="left" w:pos="-280"/>
        <w:tab w:val="left" w:pos="-220"/>
      </w:tabs>
    </w:pPr>
    <w:rPr>
      <w:rFonts w:ascii="Times New Roman" w:hAnsi="Times New Roman"/>
      <w:sz w:val="24"/>
    </w:rPr>
  </w:style>
  <w:style w:type="paragraph" w:customStyle="1" w:styleId="48">
    <w:name w:val="1   正文   2字符  首行缩进"/>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2"/>
      <w:lang w:val="en-US" w:eastAsia="zh-CN" w:bidi="ar"/>
    </w:rPr>
  </w:style>
  <w:style w:type="paragraph" w:customStyle="1" w:styleId="49">
    <w:name w:val="1   正文   表头"/>
    <w:qFormat/>
    <w:uiPriority w:val="0"/>
    <w:pPr>
      <w:jc w:val="center"/>
    </w:pPr>
    <w:rPr>
      <w:rFonts w:ascii="Times New Roman" w:hAnsi="Times New Roman" w:eastAsia="宋体" w:cs="Times New Roman"/>
      <w:b/>
      <w:kern w:val="2"/>
      <w:sz w:val="21"/>
      <w:szCs w:val="21"/>
      <w:lang w:val="en-US" w:eastAsia="zh-CN" w:bidi="ar-SA"/>
    </w:rPr>
  </w:style>
  <w:style w:type="character" w:customStyle="1" w:styleId="50">
    <w:name w:val="font81"/>
    <w:basedOn w:val="21"/>
    <w:qFormat/>
    <w:uiPriority w:val="0"/>
    <w:rPr>
      <w:rFonts w:hint="eastAsia" w:ascii="宋体" w:hAnsi="宋体" w:eastAsia="宋体" w:cs="宋体"/>
      <w:color w:val="000000"/>
      <w:sz w:val="22"/>
      <w:szCs w:val="22"/>
      <w:u w:val="none"/>
    </w:rPr>
  </w:style>
  <w:style w:type="character" w:customStyle="1" w:styleId="51">
    <w:name w:val="font41"/>
    <w:basedOn w:val="21"/>
    <w:qFormat/>
    <w:uiPriority w:val="0"/>
    <w:rPr>
      <w:rFonts w:hint="default" w:ascii="Times New Roman" w:hAnsi="Times New Roman" w:cs="Times New Roman"/>
      <w:color w:val="000000"/>
      <w:sz w:val="22"/>
      <w:szCs w:val="22"/>
      <w:u w:val="none"/>
    </w:rPr>
  </w:style>
  <w:style w:type="paragraph" w:customStyle="1" w:styleId="52">
    <w:name w:val="表格表题00"/>
    <w:basedOn w:val="5"/>
    <w:qFormat/>
    <w:uiPriority w:val="0"/>
    <w:pPr>
      <w:adjustRightInd w:val="0"/>
      <w:snapToGrid w:val="0"/>
      <w:spacing w:beforeLines="50" w:line="360" w:lineRule="auto"/>
      <w:ind w:firstLine="0"/>
      <w:jc w:val="center"/>
    </w:pPr>
    <w:rPr>
      <w:rFonts w:ascii="Times New Roman" w:hAnsi="Times New Roman" w:eastAsia="宋体"/>
      <w:b/>
      <w:bCs/>
      <w:color w:val="0000FF"/>
      <w:sz w:val="21"/>
      <w:szCs w:val="21"/>
    </w:rPr>
  </w:style>
  <w:style w:type="paragraph" w:customStyle="1" w:styleId="53">
    <w:name w:val="样式4"/>
    <w:basedOn w:val="1"/>
    <w:qFormat/>
    <w:uiPriority w:val="0"/>
    <w:pPr>
      <w:spacing w:line="360" w:lineRule="auto"/>
    </w:pPr>
    <w:rPr>
      <w:rFonts w:eastAsia="黑体"/>
      <w:b/>
      <w:sz w:val="24"/>
    </w:rPr>
  </w:style>
  <w:style w:type="paragraph" w:customStyle="1" w:styleId="54">
    <w:name w:val="自定义缩进"/>
    <w:basedOn w:val="1"/>
    <w:qFormat/>
    <w:uiPriority w:val="0"/>
    <w:pPr>
      <w:keepNext/>
      <w:spacing w:line="336" w:lineRule="auto"/>
      <w:ind w:firstLine="480" w:firstLineChars="200"/>
    </w:pPr>
    <w:rPr>
      <w:rFonts w:ascii="宋体" w:hAnsi="宋体"/>
      <w:color w:val="000000"/>
      <w:sz w:val="24"/>
    </w:rPr>
  </w:style>
  <w:style w:type="paragraph" w:customStyle="1" w:styleId="55">
    <w:name w:val="表格标题"/>
    <w:basedOn w:val="1"/>
    <w:next w:val="1"/>
    <w:qFormat/>
    <w:uiPriority w:val="0"/>
    <w:pPr>
      <w:adjustRightInd w:val="0"/>
      <w:jc w:val="center"/>
      <w:textAlignment w:val="baseline"/>
    </w:pPr>
    <w:rPr>
      <w:b/>
      <w:bCs/>
      <w:szCs w:val="21"/>
    </w:rPr>
  </w:style>
  <w:style w:type="paragraph" w:customStyle="1" w:styleId="56">
    <w:name w:val="真·小标题"/>
    <w:basedOn w:val="1"/>
    <w:next w:val="1"/>
    <w:qFormat/>
    <w:uiPriority w:val="0"/>
    <w:pPr>
      <w:adjustRightInd w:val="0"/>
      <w:snapToGrid w:val="0"/>
      <w:spacing w:line="360" w:lineRule="auto"/>
      <w:ind w:firstLine="200" w:firstLineChars="200"/>
      <w:jc w:val="left"/>
    </w:pPr>
    <w:rPr>
      <w:rFonts w:eastAsia="黑体"/>
      <w:kern w:val="0"/>
      <w:sz w:val="24"/>
    </w:rPr>
  </w:style>
  <w:style w:type="character" w:customStyle="1" w:styleId="57">
    <w:name w:val="fontstyle01"/>
    <w:qFormat/>
    <w:uiPriority w:val="0"/>
    <w:rPr>
      <w:rFonts w:hint="eastAsia" w:ascii="宋体" w:hAnsi="宋体" w:eastAsia="宋体" w:cs="宋体"/>
      <w:color w:val="000000"/>
      <w:sz w:val="24"/>
      <w:szCs w:val="24"/>
    </w:rPr>
  </w:style>
  <w:style w:type="table" w:customStyle="1" w:styleId="5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9.wmf"/><Relationship Id="rId27" Type="http://schemas.openxmlformats.org/officeDocument/2006/relationships/oleObject" Target="embeddings/oleObject2.bin"/><Relationship Id="rId26" Type="http://schemas.openxmlformats.org/officeDocument/2006/relationships/image" Target="media/image18.wmf"/><Relationship Id="rId25" Type="http://schemas.openxmlformats.org/officeDocument/2006/relationships/oleObject" Target="embeddings/oleObject1.bin"/><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c5MzczMTAzMTQ0IiwKCSJHcm91cElkIiA6ICI0NDY3MDcwMDAiLAoJIkltYWdlIiA6ICJpVkJPUncwS0dnb0FBQUFOU1VoRVVnQUFBNEVBQUFFMENBWUFBQUNTTWpZakFBQUFBWE5TUjBJQXJzNGM2UUFBSUFCSlJFRlVlSnpzM1hsY1Rmbi9CL0RYdWZkMkt5b2wyWm1vS0NhUkx4bkxHRnRqTUV6V3NSc01neUhDMk5kaHlMNWttNmF5VExZaCt6cGt6VExXYkpVMUpHMWF0SGVYOC91ajZmeGNsV0p3MGV2NWVIaE05M3crbjNQZTV6TGQrejZmRF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lBIOFB5cnN2V3VtRG1kL0FBQUFBRWxGVGtTdVFtQ0MiLAoJIlRoZW1lIiA6ICIiLAoJIlR5cGUiIDogImZsb3ciLAoJIlZlcnNpb24iIDogIiIKfQo="/>
    </extobj>
    <extobj name="ECB019B1-382A-4266-B25C-5B523AA43C14-2">
      <extobjdata type="ECB019B1-382A-4266-B25C-5B523AA43C14" data="ewoJIkZpbGVJZCIgOiAiMjgwMTM5OTk4NjYyIiwKCSJHcm91cElkIiA6ICI0NDY3MDcwMDAiLAoJIkltYWdlIiA6ICJpVkJPUncwS0dnb0FBQUFOU1VoRVVnQUFBcDBBQUFFUUNBWUFBQUR5RTgrbEFBQUFBWE5TUjBJQXJzNGM2UUFBSUFCSlJFRlVlSnpzM1hkOFRlY2Z3UEhQdWJrSmlZZ0VDVFdEeElnYTBWcE5ReW1xdEdvV3JaYXFxbHFwVVhzclJleFZxY1p1UWhGYjBSby9vN1JHUkJBaGlDMlNrTWlRY1hQUDc0ODBwMjV2Qm9wVWZOK3ZsMWZ1ZWM3em5QT2NrOXY2ZWlZ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0JmN0g1cXpEckdGdEtZVEFBQUFBRWxGVGtTdVFtQ0MiLAoJIlRoZW1lIiA6ICIiLAoJIlR5cGUiIDogImZsb3ciLAoJIlZlcnNpb24iIDogIiIKfQo="/>
    </extobj>
    <extobj name="ECB019B1-382A-4266-B25C-5B523AA43C14-3">
      <extobjdata type="ECB019B1-382A-4266-B25C-5B523AA43C14" data="ewoJIkZpbGVJZCIgOiAiMjgwMTQzNTkzNTk4IiwKCSJHcm91cElkIiA6ICI0NDY3MDcwMDAiLAoJIkltYWdlIiA6ICJpVkJPUncwS0dnb0FBQUFOU1VoRVVnQUFBcW9BQUFFa0NBWUFBQURuMXhOZkFBQUFBWE5TUjBJQXJzNGM2UUFBSUFCSlJFRlVlSnpzM1hkOFR1Zi8rUEhYZldjVFd4S2pTR3BYa1VRYkk5VDRXa1g1MUtoWlVxTmFLNGlxRlRGaXhaWlFQdmFPRlpXUFZhMVFwZFFLUVNKR0V4SWhCQWxKWk43bjkwZCtPYzB0Q2FISThINCtIbjA4bk90YzF6blhmZHlOZDY1enZhOEx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RQdnoveDM5UXpZRGg5a0hBQUFBQUVsRlRrU3VRbUNDIiwKCSJUaGVtZSIgOiAiIiwKCSJUeXBlIiA6ICJmbG93IiwKCSJWZXJzaW9uIiA6ICIiCn0K"/>
    </extobj>
    <extobj name="ECB019B1-382A-4266-B25C-5B523AA43C14-4">
      <extobjdata type="ECB019B1-382A-4266-B25C-5B523AA43C14" data="ewoJIkZpbGVJZCIgOiAiMjYzNTQ4NDg0MjkxIiwKCSJHcm91cElkIiA6ICI0NDY3MDcwMDAiLAoJIkltYWdlIiA6ICJpVkJPUncwS0dnb0FBQUFOU1VoRVVnQUFBL0lBQUFERUNBWUFBQUE4cVJvVkFBQUFBWE5TUjBJQXJzNGM2UUFBSUFCSlJFRlVlSnpzM1hsY1ZGWC9CL0RQdVRQQWdJQm9Lcm1qWWVJQ3pMMW9aV2x1aithVGFXWlBMdVZTcG1XdWFXcVAxcE5tR2xxWitXVDZhSnFsbGt1MldLWXRtcGxicHN3TWlKaEtpZnVLb29DeXpOenorNE5oZm96TXNDaTQ5WG0vWHJ5WU9lZmNjOCtkRjVlNTMzdlBBaE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Oam4vd09tMFlTQjRIK2JEUUFBQUFCSlJVNUVya0pnZ2c9PSIsCgkiVGhlbWUiIDogIiIsCgkiVHlwZSIgOiAiZmxvdyIsCgkiVmVyc2lvbiIgOiAiMjIiCn0K"/>
    </extobj>
    <extobj name="ECB019B1-382A-4266-B25C-5B523AA43C14-5">
      <extobjdata type="ECB019B1-382A-4266-B25C-5B523AA43C14" data="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"/>
    </extobj>
    <extobj name="ECB019B1-382A-4266-B25C-5B523AA43C14-6">
      <extobjdata type="ECB019B1-382A-4266-B25C-5B523AA43C14" data="ewoJIkZpbGVJZCIgOiAiMjYyMTQ3MjkwOTA4IiwKCSJHcm91cElkIiA6ICI0NDY3MDcwMDAiLAoJIkltYWdlIiA6ICJpVkJPUncwS0dnb0FBQUFOU1VoRVVnQUFBMFVBQUFNdUNBWUFBQURXdEtnc0FBQUFBWE5TUjBJQXJzNGM2UUFBSUFCSlJFRlVlSnpzM1hsNFZOWDVCL0R2ZTJjbUc0UVFoQ0FLaW9vQ2dVem0zSkc2Rkt1MWlrdXRWZXR1VzYzaWJ0M0FXaXVXdWt0cFM2dTI0bEtVaXJXaVFtMVYzSmVLZStmZW1RQUJGSlVmbTRBSWdVaklNblBlM3grWm1VNUN3aTRCK1g2ZXg0ZTU1NTV6N3BrcklmZTlad09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TFHWDlmM2pYU25HdDdXa0JBQUFBQUVsRlRrU3VRbUNDIiwKCSJUaGVtZSIgOiAiIiwKCSJUeXBlIiA6ICJmbG93IiwKCSJWZXJzaW9uIiA6ICIxMj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50352</Words>
  <Characters>57577</Characters>
  <Lines>0</Lines>
  <Paragraphs>0</Paragraphs>
  <TotalTime>82</TotalTime>
  <ScaleCrop>false</ScaleCrop>
  <LinksUpToDate>false</LinksUpToDate>
  <CharactersWithSpaces>57932</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2023-11-02T16:16:00Z</dcterms:created>
  <dc:creator>近当这些人</dc:creator>
  <cp:lastModifiedBy>hbj2</cp:lastModifiedBy>
  <cp:lastPrinted>2024-01-22T11:55:00Z</cp:lastPrinted>
  <dcterms:modified xsi:type="dcterms:W3CDTF">2024-03-13T11:16:53Z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11D318311C8C7950A51AF1651C81C268</vt:lpwstr>
  </property>
</Properties>
</file>